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数据敏感性分析报告</w:t>
      </w:r>
    </w:p>
    <w:p>
      <w:pPr>
        <w:pStyle w:val="Heading1"/>
      </w:pPr>
      <w:r>
        <w:t>1. 敏感性标准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字段</w:t>
            </w:r>
          </w:p>
        </w:tc>
        <w:tc>
          <w:tcPr>
            <w:tcW w:type="dxa" w:w="2880"/>
          </w:tcPr>
          <w:p>
            <w:r>
              <w:t>敏感度</w:t>
            </w:r>
          </w:p>
        </w:tc>
        <w:tc>
          <w:tcPr>
            <w:tcW w:type="dxa" w:w="2880"/>
          </w:tcPr>
          <w:p>
            <w:r>
              <w:t>理由</w:t>
            </w:r>
          </w:p>
        </w:tc>
      </w:tr>
      <w:tr>
        <w:tc>
          <w:tcPr>
            <w:tcW w:type="dxa" w:w="2880"/>
          </w:tcPr>
          <w:p>
            <w:r>
              <w:t>RatType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该字段可能指示网络类型，没有明确的个人身份信息，不属于敏感数据。</w:t>
            </w:r>
          </w:p>
        </w:tc>
      </w:tr>
      <w:tr>
        <w:tc>
          <w:tcPr>
            <w:tcW w:type="dxa" w:w="2880"/>
          </w:tcPr>
          <w:p>
            <w:r>
              <w:t>StartTime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时间戳可以指示用户的活动时间，可能与用户的行为模式相关，但单独情况下不易直接识别个人。</w:t>
            </w:r>
          </w:p>
        </w:tc>
      </w:tr>
      <w:tr>
        <w:tc>
          <w:tcPr>
            <w:tcW w:type="dxa" w:w="2880"/>
          </w:tcPr>
          <w:p>
            <w:r>
              <w:t>EndTime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与StartTime类似，这个字段可以用来推断用户的活动，但缺乏足够的信息来直接识别个人。</w:t>
            </w:r>
          </w:p>
        </w:tc>
      </w:tr>
      <w:tr>
        <w:tc>
          <w:tcPr>
            <w:tcW w:type="dxa" w:w="2880"/>
          </w:tcPr>
          <w:p>
            <w:r>
              <w:t>PrivateIP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尽管这个字段可能与特定设备的身份绑定，但通常不会直接用于识别个人，因此属于中等敏感性。</w:t>
            </w:r>
          </w:p>
        </w:tc>
      </w:tr>
      <w:tr>
        <w:tc>
          <w:tcPr>
            <w:tcW w:type="dxa" w:w="2880"/>
          </w:tcPr>
          <w:p>
            <w:r>
              <w:t>TerminalIP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类似于PrivateIP，更能够表明特定设备的使用情况，可能存在被追溯到用户的风险。</w:t>
            </w:r>
          </w:p>
        </w:tc>
      </w:tr>
      <w:tr>
        <w:tc>
          <w:tcPr>
            <w:tcW w:type="dxa" w:w="2880"/>
          </w:tcPr>
          <w:p>
            <w:r>
              <w:t>VisitIP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这是与用户活动关联的IP地址，可能会对用户的网络行为进行推测，因此有一定的敏感性。</w:t>
            </w:r>
          </w:p>
        </w:tc>
      </w:tr>
      <w:tr>
        <w:tc>
          <w:tcPr>
            <w:tcW w:type="dxa" w:w="2880"/>
          </w:tcPr>
          <w:p>
            <w:r>
              <w:t>sourcePort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源端口通常不涉及个人身份信息，主要用于网络通信，没有直接的敏感性。</w:t>
            </w:r>
          </w:p>
        </w:tc>
      </w:tr>
      <w:tr>
        <w:tc>
          <w:tcPr>
            <w:tcW w:type="dxa" w:w="2880"/>
          </w:tcPr>
          <w:p>
            <w:r>
              <w:t>destinationPort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与sourcePort相似，目的端口的使用不涉及到个人身份信息，属于低敏感性字段。</w:t>
            </w:r>
          </w:p>
        </w:tc>
      </w:tr>
      <w:tr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高</w:t>
            </w:r>
          </w:p>
        </w:tc>
        <w:tc>
          <w:tcPr>
            <w:tcW w:type="dxa" w:w="2880"/>
          </w:tcPr>
          <w:p>
            <w:r>
              <w:t>该字段可能包含用户访问的具体网站信息，可能暴露用户的兴趣和行为，存在较高的隐私风险。</w:t>
            </w:r>
          </w:p>
        </w:tc>
      </w:tr>
      <w:tr>
        <w:tc>
          <w:tcPr>
            <w:tcW w:type="dxa" w:w="2880"/>
          </w:tcPr>
          <w:p>
            <w:r>
              <w:t>IMSI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高</w:t>
            </w:r>
          </w:p>
        </w:tc>
        <w:tc>
          <w:tcPr>
            <w:tcW w:type="dxa" w:w="2880"/>
          </w:tcPr>
          <w:p>
            <w:r>
              <w:t>国际移动用户身份，这是一种唯一标识符，可以直接关联到特定用户，属于高敏感性数据。</w:t>
            </w:r>
          </w:p>
        </w:tc>
      </w:tr>
      <w:tr>
        <w:tc>
          <w:tcPr>
            <w:tcW w:type="dxa" w:w="2880"/>
          </w:tcPr>
          <w:p>
            <w:r>
              <w:t>phoneNum</w:t>
            </w:r>
          </w:p>
        </w:tc>
        <w:tc>
          <w:tcPr>
            <w:tcW w:type="dxa" w:w="2880"/>
          </w:tcPr>
          <w:p>
            <w:r>
              <w:rPr>
                <w:color w:val="FF0000"/>
              </w:rPr>
              <w:t>高</w:t>
            </w:r>
          </w:p>
        </w:tc>
        <w:tc>
          <w:tcPr>
            <w:tcW w:type="dxa" w:w="2880"/>
          </w:tcPr>
          <w:p>
            <w:r>
              <w:t>电话号码是直接的个人识别信息，属于高敏感性数据，可能会被滥用。</w:t>
            </w:r>
          </w:p>
        </w:tc>
      </w:tr>
      <w:tr>
        <w:tc>
          <w:tcPr>
            <w:tcW w:type="dxa" w:w="2880"/>
          </w:tcPr>
          <w:p>
            <w:r>
              <w:t>area</w:t>
            </w:r>
          </w:p>
        </w:tc>
        <w:tc>
          <w:tcPr>
            <w:tcW w:type="dxa" w:w="2880"/>
          </w:tcPr>
          <w:p>
            <w:r>
              <w:t>中</w:t>
            </w:r>
          </w:p>
        </w:tc>
        <w:tc>
          <w:tcPr>
            <w:tcW w:type="dxa" w:w="2880"/>
          </w:tcPr>
          <w:p>
            <w:r>
              <w:t>地区信息可以提供用户的地理位置，但不足以直接识别个人，故为中等敏感性。</w:t>
            </w:r>
          </w:p>
        </w:tc>
      </w:tr>
      <w:tr>
        <w:tc>
          <w:tcPr>
            <w:tcW w:type="dxa" w:w="2880"/>
          </w:tcPr>
          <w:p>
            <w:r>
              <w:t>user_scope</w:t>
            </w:r>
          </w:p>
        </w:tc>
        <w:tc>
          <w:tcPr>
            <w:tcW w:type="dxa" w:w="2880"/>
          </w:tcPr>
          <w:p>
            <w:r>
              <w:t>低</w:t>
            </w:r>
          </w:p>
        </w:tc>
        <w:tc>
          <w:tcPr>
            <w:tcW w:type="dxa" w:w="2880"/>
          </w:tcPr>
          <w:p>
            <w:r>
              <w:t>用户范围可能涉及权限或角色划分，但并不直接涉及个人身份信息，属于低敏感性。</w:t>
            </w:r>
          </w:p>
        </w:tc>
      </w:tr>
    </w:tbl>
    <w:p>
      <w:pPr>
        <w:pStyle w:val="Heading1"/>
      </w:pPr>
      <w:r>
        <w:t>2. 评价体系</w:t>
      </w:r>
    </w:p>
    <w:p>
      <w:r>
        <w:t>AHP矩阵一致性：通过 (CR=0.0290)</w:t>
      </w:r>
    </w:p>
    <w:p>
      <w:pPr>
        <w:pStyle w:val="ListBullet"/>
      </w:pPr>
      <w:r>
        <w:t>数据安全: 衡量数据是否容易被未授权访问或泄露，从而影响数据的安全程度。</w:t>
      </w:r>
    </w:p>
    <w:p>
      <w:pPr>
        <w:pStyle w:val="ListBullet"/>
      </w:pPr>
      <w:r>
        <w:t>合规风险: 评估数据的处理和存储是否符合相关法律法规的要求，降低因违规而产生的风险。</w:t>
      </w:r>
    </w:p>
    <w:p>
      <w:pPr>
        <w:pStyle w:val="ListBullet"/>
      </w:pPr>
      <w:r>
        <w:t>业务影响: 分析数据泄露或不当使用对公司的业务运营和声誉的潜在影响。</w:t>
      </w:r>
    </w:p>
    <w:p>
      <w:pPr>
        <w:pStyle w:val="ListBullet"/>
      </w:pPr>
      <w:r>
        <w:t>用户隐私: 考虑数据如何影响用户的个人隐私，特别是包含敏感个人信息的数据。</w:t>
      </w:r>
    </w:p>
    <w:p>
      <w:pPr>
        <w:pStyle w:val="ListBullet"/>
      </w:pPr>
      <w:r>
        <w:t>数据可用性: 评估在需要时数据是否能够及时和有效地被访问和使用，以支持业务需求。</w:t>
      </w:r>
    </w:p>
    <w:p>
      <w:pPr>
        <w:pStyle w:val="Heading1"/>
      </w:pPr>
      <w:r>
        <w:t>3. 综合评分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字段</w:t>
            </w:r>
          </w:p>
        </w:tc>
        <w:tc>
          <w:tcPr>
            <w:tcW w:type="dxa" w:w="1234"/>
          </w:tcPr>
          <w:p>
            <w:r>
              <w:t>数据安全</w:t>
            </w:r>
          </w:p>
        </w:tc>
        <w:tc>
          <w:tcPr>
            <w:tcW w:type="dxa" w:w="1234"/>
          </w:tcPr>
          <w:p>
            <w:r>
              <w:t>合规风险</w:t>
            </w:r>
          </w:p>
        </w:tc>
        <w:tc>
          <w:tcPr>
            <w:tcW w:type="dxa" w:w="1234"/>
          </w:tcPr>
          <w:p>
            <w:r>
              <w:t>业务影响</w:t>
            </w:r>
          </w:p>
        </w:tc>
        <w:tc>
          <w:tcPr>
            <w:tcW w:type="dxa" w:w="1234"/>
          </w:tcPr>
          <w:p>
            <w:r>
              <w:t>用户隐私</w:t>
            </w:r>
          </w:p>
        </w:tc>
        <w:tc>
          <w:tcPr>
            <w:tcW w:type="dxa" w:w="1234"/>
          </w:tcPr>
          <w:p>
            <w:r>
              <w:t>数据可用性</w:t>
            </w:r>
          </w:p>
        </w:tc>
        <w:tc>
          <w:tcPr>
            <w:tcW w:type="dxa" w:w="1234"/>
          </w:tcPr>
          <w:p>
            <w:r>
              <w:t>综合评分</w:t>
            </w:r>
          </w:p>
        </w:tc>
      </w:tr>
      <w:tr>
        <w:tc>
          <w:tcPr>
            <w:tcW w:type="dxa" w:w="1234"/>
          </w:tcPr>
          <w:p>
            <w:r>
              <w:t>RatType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3.49</w:t>
            </w:r>
          </w:p>
        </w:tc>
      </w:tr>
      <w:tr>
        <w:tc>
          <w:tcPr>
            <w:tcW w:type="dxa" w:w="1234"/>
          </w:tcPr>
          <w:p>
            <w:r>
              <w:t>StartTime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4.49</w:t>
            </w:r>
          </w:p>
        </w:tc>
      </w:tr>
      <w:tr>
        <w:tc>
          <w:tcPr>
            <w:tcW w:type="dxa" w:w="1234"/>
          </w:tcPr>
          <w:p>
            <w:r>
              <w:t>EndTime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4.49</w:t>
            </w:r>
          </w:p>
        </w:tc>
      </w:tr>
      <w:tr>
        <w:tc>
          <w:tcPr>
            <w:tcW w:type="dxa" w:w="1234"/>
          </w:tcPr>
          <w:p>
            <w:r>
              <w:t>PrivateIP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5.40</w:t>
            </w:r>
          </w:p>
        </w:tc>
      </w:tr>
      <w:tr>
        <w:tc>
          <w:tcPr>
            <w:tcW w:type="dxa" w:w="1234"/>
          </w:tcPr>
          <w:p>
            <w:r>
              <w:t>TerminalIP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5.40</w:t>
            </w:r>
          </w:p>
        </w:tc>
      </w:tr>
      <w:tr>
        <w:tc>
          <w:tcPr>
            <w:tcW w:type="dxa" w:w="1234"/>
          </w:tcPr>
          <w:p>
            <w:r>
              <w:t>VisitIP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5.66</w:t>
            </w:r>
          </w:p>
        </w:tc>
      </w:tr>
      <w:tr>
        <w:tc>
          <w:tcPr>
            <w:tcW w:type="dxa" w:w="1234"/>
          </w:tcPr>
          <w:p>
            <w:r>
              <w:t>sourcePort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2.01</w:t>
            </w:r>
          </w:p>
        </w:tc>
      </w:tr>
      <w:tr>
        <w:tc>
          <w:tcPr>
            <w:tcW w:type="dxa" w:w="1234"/>
          </w:tcPr>
          <w:p>
            <w:r>
              <w:t>destinationPort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1.00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2.01</w:t>
            </w:r>
          </w:p>
        </w:tc>
      </w:tr>
      <w:tr>
        <w:tc>
          <w:tcPr>
            <w:tcW w:type="dxa" w:w="1234"/>
          </w:tcPr>
          <w:p>
            <w:r>
              <w:t>URL</w:t>
            </w:r>
          </w:p>
        </w:tc>
        <w:tc>
          <w:tcPr>
            <w:tcW w:type="dxa" w:w="1234"/>
          </w:tcPr>
          <w:p>
            <w:r>
              <w:t>8.00</w:t>
            </w:r>
          </w:p>
        </w:tc>
        <w:tc>
          <w:tcPr>
            <w:tcW w:type="dxa" w:w="1234"/>
          </w:tcPr>
          <w:p>
            <w:r>
              <w:t>7.00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7.97</w:t>
            </w:r>
          </w:p>
        </w:tc>
      </w:tr>
      <w:tr>
        <w:tc>
          <w:tcPr>
            <w:tcW w:type="dxa" w:w="1234"/>
          </w:tcPr>
          <w:p>
            <w:r>
              <w:t>IMSI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8.00</w:t>
            </w:r>
          </w:p>
        </w:tc>
        <w:tc>
          <w:tcPr>
            <w:tcW w:type="dxa" w:w="1234"/>
          </w:tcPr>
          <w:p>
            <w:r>
              <w:t>8.00</w:t>
            </w:r>
          </w:p>
        </w:tc>
        <w:tc>
          <w:tcPr>
            <w:tcW w:type="dxa" w:w="1234"/>
          </w:tcPr>
          <w:p>
            <w:r>
              <w:t>10.00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8.76</w:t>
            </w:r>
          </w:p>
        </w:tc>
      </w:tr>
      <w:tr>
        <w:tc>
          <w:tcPr>
            <w:tcW w:type="dxa" w:w="1234"/>
          </w:tcPr>
          <w:p>
            <w:r>
              <w:t>phoneNum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9.00</w:t>
            </w:r>
          </w:p>
        </w:tc>
        <w:tc>
          <w:tcPr>
            <w:tcW w:type="dxa" w:w="1234"/>
          </w:tcPr>
          <w:p>
            <w:r>
              <w:t>8.00</w:t>
            </w:r>
          </w:p>
        </w:tc>
        <w:tc>
          <w:tcPr>
            <w:tcW w:type="dxa" w:w="1234"/>
          </w:tcPr>
          <w:p>
            <w:r>
              <w:t>10.00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8.83</w:t>
            </w:r>
          </w:p>
        </w:tc>
      </w:tr>
      <w:tr>
        <w:tc>
          <w:tcPr>
            <w:tcW w:type="dxa" w:w="1234"/>
          </w:tcPr>
          <w:p>
            <w:r>
              <w:t>area</w:t>
            </w:r>
          </w:p>
        </w:tc>
        <w:tc>
          <w:tcPr>
            <w:tcW w:type="dxa" w:w="1234"/>
          </w:tcPr>
          <w:p>
            <w:r>
              <w:t>5.00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4.00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4.34</w:t>
            </w:r>
          </w:p>
        </w:tc>
      </w:tr>
      <w:tr>
        <w:tc>
          <w:tcPr>
            <w:tcW w:type="dxa" w:w="1234"/>
          </w:tcPr>
          <w:p>
            <w:r>
              <w:t>user_scope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3.00</w:t>
            </w:r>
          </w:p>
        </w:tc>
        <w:tc>
          <w:tcPr>
            <w:tcW w:type="dxa" w:w="1234"/>
          </w:tcPr>
          <w:p>
            <w:r>
              <w:t>2.00</w:t>
            </w:r>
          </w:p>
        </w:tc>
        <w:tc>
          <w:tcPr>
            <w:tcW w:type="dxa" w:w="1234"/>
          </w:tcPr>
          <w:p>
            <w:r>
              <w:t>6.00</w:t>
            </w:r>
          </w:p>
        </w:tc>
        <w:tc>
          <w:tcPr>
            <w:tcW w:type="dxa" w:w="1234"/>
          </w:tcPr>
          <w:p>
            <w:r>
              <w:t>2.84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8B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