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F37A0">
      <w:pPr>
        <w:pBdr>
          <w:bottom w:val="single" w:color="FF8000" w:sz="12" w:space="6"/>
        </w:pBdr>
        <w:rPr>
          <w:rFonts w:hint="default" w:ascii="Arial" w:hAnsi="Arial" w:cs="Arial"/>
          <w:sz w:val="28"/>
          <w:szCs w:val="28"/>
          <w:lang w:val="de-DE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8"/>
          <w:szCs w:val="28"/>
        </w:rPr>
        <w:t>B.2 – Lead-Kategorisierung</w:t>
      </w:r>
      <w:r>
        <w:rPr>
          <w:rFonts w:hint="default" w:ascii="Arial" w:hAnsi="Arial" w:cs="Arial"/>
          <w:b/>
          <w:bCs/>
          <w:color w:val="E46C0A" w:themeColor="accent6" w:themeShade="BF"/>
          <w:sz w:val="28"/>
          <w:szCs w:val="28"/>
          <w:lang w:val="de-DE"/>
        </w:rPr>
        <w:t xml:space="preserve"> </w:t>
      </w:r>
      <w:r>
        <w:rPr>
          <w:rFonts w:hint="default" w:ascii="Arial" w:hAnsi="Arial" w:cs="Arial"/>
          <w:b/>
          <w:color w:val="E46C0A" w:themeColor="accent6" w:themeShade="BF"/>
          <w:sz w:val="28"/>
          <w:szCs w:val="28"/>
          <w:lang w:val="de-DE"/>
        </w:rPr>
        <w:t>(659</w:t>
      </w:r>
      <w:r>
        <w:rPr>
          <w:rFonts w:hint="default" w:ascii="Arial" w:hAnsi="Arial" w:cs="Arial"/>
          <w:b/>
          <w:bCs/>
          <w:color w:val="E46C0A" w:themeColor="accent6" w:themeShade="BF"/>
          <w:sz w:val="28"/>
          <w:szCs w:val="28"/>
        </w:rPr>
        <w:t xml:space="preserve"> € netto</w:t>
      </w:r>
      <w:r>
        <w:rPr>
          <w:rFonts w:hint="default" w:ascii="Arial" w:hAnsi="Arial" w:cs="Arial"/>
          <w:b/>
          <w:bCs/>
          <w:color w:val="E46C0A" w:themeColor="accent6" w:themeShade="BF"/>
          <w:sz w:val="28"/>
          <w:szCs w:val="28"/>
          <w:lang w:val="de-DE"/>
        </w:rPr>
        <w:t>)</w:t>
      </w:r>
    </w:p>
    <w:p w14:paraId="5AD17008">
      <w:pPr>
        <w:ind w:right="567"/>
        <w:rPr>
          <w:rFonts w:hint="default" w:ascii="Arial" w:hAnsi="Arial" w:cs="Arial"/>
          <w:sz w:val="20"/>
          <w:szCs w:val="20"/>
        </w:rPr>
      </w:pPr>
    </w:p>
    <w:p w14:paraId="5FBE49CA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Produktbeschreibung:</w:t>
      </w:r>
    </w:p>
    <w:p w14:paraId="59CEF476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Mit dem Paket B.2 – Lead-Kategorisierung werden vorhandene Leads automatisiert angereichert und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nach definierten Kriterien wie Branche, Unternehmensgröße oder Region kategorisiert. Dadurch lassen sich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Zielgruppen sauber segmentieren und für nachfolgende Prozesse optimieren.</w:t>
      </w:r>
    </w:p>
    <w:p w14:paraId="70C2E27D">
      <w:pPr>
        <w:rPr>
          <w:rFonts w:hint="default" w:ascii="Arial" w:hAnsi="Arial" w:cs="Arial"/>
          <w:sz w:val="20"/>
          <w:szCs w:val="20"/>
        </w:rPr>
      </w:pPr>
    </w:p>
    <w:p w14:paraId="220F69BE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Zielgruppe:</w:t>
      </w:r>
    </w:p>
    <w:p w14:paraId="04FAA45B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Unternehmen, die bereits Leads besitzen (z. B. aus B.1 oder anderen Quellen) und diese automatisiert anreichern und segmentieren möchten, um zielgerichtete Folgeaktionen effizient umsetzen zu können.</w:t>
      </w:r>
    </w:p>
    <w:p w14:paraId="4637C828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2E36F3E3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Preis &amp; Folgekosten:</w:t>
      </w:r>
    </w:p>
    <w:p w14:paraId="3D7433B9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Einmalpreis: 659 € netto</w:t>
      </w:r>
      <w:r>
        <w:rPr>
          <w:rFonts w:hint="default" w:ascii="Arial" w:hAnsi="Arial" w:cs="Arial"/>
          <w:sz w:val="20"/>
          <w:szCs w:val="20"/>
        </w:rPr>
        <w:t xml:space="preserve"> (steuerbefreit nach §19 UStG)</w:t>
      </w:r>
    </w:p>
    <w:p w14:paraId="0690075A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Für den Betrieb dieses Pakets sind bestimmte </w:t>
      </w:r>
      <w:r>
        <w:rPr>
          <w:rFonts w:hint="default" w:ascii="Arial" w:hAnsi="Arial" w:cs="Arial"/>
          <w:sz w:val="20"/>
          <w:szCs w:val="20"/>
          <w:u w:val="single"/>
        </w:rPr>
        <w:t>externe Tools und Dienste erforderlich, die separat vom    Kunden gebucht und bezahlt</w:t>
      </w:r>
      <w:r>
        <w:rPr>
          <w:rFonts w:hint="default" w:ascii="Arial" w:hAnsi="Arial" w:cs="Arial"/>
          <w:sz w:val="20"/>
          <w:szCs w:val="20"/>
        </w:rPr>
        <w:t xml:space="preserve"> werden. Diese Dienste arbeiten mit Nutzungslimits (z. B. maximale Leads   pro Monat, maximale Datenabfragen pro Tag, maximale Workflow-Durchläufe pro Monat). Überschreiten diese Werte, entstehen beim jeweiligen Anbieter zusätzliche monatliche Kosten.</w:t>
      </w:r>
    </w:p>
    <w:p w14:paraId="0B7E08F4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u w:val="single"/>
        </w:rPr>
        <w:t>Erforderliche Dienste und typische Kosten</w:t>
      </w:r>
      <w:r>
        <w:rPr>
          <w:rFonts w:hint="default" w:ascii="Arial" w:hAnsi="Arial" w:cs="Arial"/>
          <w:sz w:val="20"/>
          <w:szCs w:val="20"/>
          <w:u w:val="none"/>
        </w:rPr>
        <w:t xml:space="preserve"> </w:t>
      </w:r>
      <w:r>
        <w:rPr>
          <w:rFonts w:hint="default" w:ascii="Arial" w:hAnsi="Arial" w:cs="Arial"/>
          <w:sz w:val="20"/>
          <w:szCs w:val="20"/>
        </w:rPr>
        <w:t>(Stand: 13.08.2025):</w:t>
      </w:r>
    </w:p>
    <w:p w14:paraId="1CB483C2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KI-Analyse-Service – Grundversion: ca. </w:t>
      </w:r>
      <w:r>
        <w:rPr>
          <w:rFonts w:hint="default" w:ascii="Arial" w:hAnsi="Arial" w:cs="Arial"/>
          <w:sz w:val="20"/>
          <w:szCs w:val="20"/>
          <w:u w:val="single"/>
        </w:rPr>
        <w:t>2 €/Monat, ausreichend für bis zu 500 Leads pro Monat</w:t>
      </w:r>
      <w:r>
        <w:rPr>
          <w:rFonts w:hint="default" w:ascii="Arial" w:hAnsi="Arial" w:cs="Arial"/>
          <w:sz w:val="20"/>
          <w:szCs w:val="20"/>
        </w:rPr>
        <w:t>;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erweiterte Version: ca. 8 €/Monat, geeignet für bis zu 2.000 Leads pro Monat; höhere Volumenpakete auf Anfrage möglich</w:t>
      </w:r>
    </w:p>
    <w:p w14:paraId="658C6AFD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Datenabfrage-/API-Service – Grundversion: oft </w:t>
      </w:r>
      <w:r>
        <w:rPr>
          <w:rFonts w:hint="default" w:ascii="Arial" w:hAnsi="Arial" w:cs="Arial"/>
          <w:sz w:val="20"/>
          <w:szCs w:val="20"/>
          <w:u w:val="single"/>
        </w:rPr>
        <w:t>kostenlos bis zu 100 Datenabfragen pro Tag</w:t>
      </w:r>
      <w:r>
        <w:rPr>
          <w:rFonts w:hint="default" w:ascii="Arial" w:hAnsi="Arial" w:cs="Arial"/>
          <w:sz w:val="20"/>
          <w:szCs w:val="20"/>
        </w:rPr>
        <w:t>;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Standardtarif: ca. 25 €/Monat, bis zu 1.000 Datenabfragen pro Tag; Business-Tarif: ca. 50 €/Monat, bis zu 5.000 Datenabfragen pro Tag</w:t>
      </w:r>
    </w:p>
    <w:p w14:paraId="704B4449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Automations-Plattform – Grundversion: </w:t>
      </w:r>
      <w:r>
        <w:rPr>
          <w:rFonts w:hint="default" w:ascii="Arial" w:hAnsi="Arial" w:cs="Arial"/>
          <w:sz w:val="20"/>
          <w:szCs w:val="20"/>
          <w:u w:val="single"/>
        </w:rPr>
        <w:t>ca. 9 €/Monat, bis zu 1.000 Workflow-Durchläufe pro Monat</w:t>
      </w:r>
      <w:r>
        <w:rPr>
          <w:rFonts w:hint="default" w:ascii="Arial" w:hAnsi="Arial" w:cs="Arial"/>
          <w:sz w:val="20"/>
          <w:szCs w:val="20"/>
        </w:rPr>
        <w:t>; Standardtarif: ca. 29 €/Monat, bis zu 10.000 Workflow-Durchläufe pro Monat; höhere Tarife für mehr   Durchläufe möglich</w:t>
      </w:r>
    </w:p>
    <w:p w14:paraId="6BFB7489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Der Kunde erhält mit der Projektdokumentation zusätzlich eine </w:t>
      </w:r>
      <w:r>
        <w:rPr>
          <w:rFonts w:hint="default" w:ascii="Arial" w:hAnsi="Arial" w:cs="Arial"/>
          <w:sz w:val="20"/>
          <w:szCs w:val="20"/>
          <w:u w:val="single"/>
        </w:rPr>
        <w:t>Schwellenwert-Tabelle</w:t>
      </w:r>
      <w:r>
        <w:rPr>
          <w:rFonts w:hint="default" w:ascii="Arial" w:hAnsi="Arial" w:cs="Arial"/>
          <w:sz w:val="20"/>
          <w:szCs w:val="20"/>
        </w:rPr>
        <w:t xml:space="preserve"> mit den aktuellen  Grenzwerten der eingesetzten Tools, um die möglichen laufenden Kosten selbst einschätzen zu können.</w:t>
      </w:r>
    </w:p>
    <w:p w14:paraId="1B8AAB06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5D87DD09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Leistungsumfang:</w:t>
      </w:r>
    </w:p>
    <w:p w14:paraId="4A084775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Automatisierte Anreicherung und Kategorisierung bestehender Leads</w:t>
      </w:r>
    </w:p>
    <w:p w14:paraId="63639822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Kriterien: Branche, Unternehmensgröße, Region (weitere auf Anfrage)</w:t>
      </w:r>
    </w:p>
    <w:p w14:paraId="24140D5A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Grundkonfiguration und erste Tests inklusive</w:t>
      </w:r>
    </w:p>
    <w:p w14:paraId="57DE46DC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Optional erweiterbar um zusätzliche Segmentierungsregeln und eigene Datenquellen</w:t>
      </w:r>
    </w:p>
    <w:p w14:paraId="325EE323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• CRM-Anbindung: Garantiert nur bei Workflows, die im Rahmen unserer Pakete erstellt wurden; bei  externen </w:t>
      </w:r>
      <w:bookmarkStart w:id="0" w:name="_GoBack"/>
      <w:bookmarkEnd w:id="0"/>
      <w:r>
        <w:rPr>
          <w:rFonts w:hint="default" w:ascii="Arial" w:hAnsi="Arial" w:cs="Arial"/>
          <w:sz w:val="20"/>
          <w:szCs w:val="20"/>
        </w:rPr>
        <w:t>CRM-Systemen können spezielle Adapter oder Schnittstellenlösungen erforderlich sein, die zusätzliche Kosten verursachen können.</w:t>
      </w:r>
    </w:p>
    <w:p w14:paraId="6950143C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5CE3F56E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09B9926B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57DF513B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3C9A2325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7C797803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Nutzen &amp; Vorteile:</w:t>
      </w:r>
    </w:p>
    <w:p w14:paraId="64EF4A22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Einheitliche, nachvollziehbare Lead-Segmente für Marketing und Vertrieb</w:t>
      </w:r>
    </w:p>
    <w:p w14:paraId="6965EEAB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Optimale Vorbereitung der Daten für automatisierte Folgeprozesse</w:t>
      </w:r>
    </w:p>
    <w:p w14:paraId="4834AB34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Deutliche Reduktion manueller Sortier- und Recherchearbeiten</w:t>
      </w:r>
    </w:p>
    <w:p w14:paraId="31666B9D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12085A88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Start &amp; Dauer:</w:t>
      </w:r>
    </w:p>
    <w:p w14:paraId="7DD736C4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Auftragsbearbeitung beginnt sofort nach Eingang der vollständigen Angebotssumme und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Auftragsbestätigung. Projektstart erfolgt nach dem im Angebot festgelegten Zeitraum (abhängig von  Auftragslage) – wird vor Auftragsbestätigung vereinbart. Einrichtung in der Regel innerhalb von 5–10 Werktagen ab Projektstart (abhängig vom Umfang und den bereitgestellten Kundendaten).</w:t>
      </w:r>
    </w:p>
    <w:p w14:paraId="10BAE990">
      <w:pPr>
        <w:rPr>
          <w:rFonts w:hint="default" w:ascii="Arial" w:hAnsi="Arial" w:cs="Arial"/>
          <w:sz w:val="20"/>
          <w:szCs w:val="20"/>
        </w:rPr>
      </w:pPr>
    </w:p>
    <w:p w14:paraId="0995BB20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Ablauf &amp; Abwicklung:</w:t>
      </w:r>
    </w:p>
    <w:p w14:paraId="616CA923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Nach Auftragsbestätigung und Zahlungseingang der vollständigen Angebotssumme</w:t>
      </w:r>
    </w:p>
    <w:p w14:paraId="05E13E34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Kunde stellt eine bestehende Lead-Quelle und die gewünschten Segmentierungsziele bereit</w:t>
      </w:r>
    </w:p>
    <w:p w14:paraId="7F3A3C96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Falls noch nicht vorhanden, werden benötigte Konten für den Kunden angelegt</w:t>
      </w:r>
    </w:p>
    <w:p w14:paraId="62036B0E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Einrichtung und Anbindung der benötigten Dienste gemäß vereinbartem Setup</w:t>
      </w:r>
    </w:p>
    <w:p w14:paraId="21FD8EC9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Definition der Kategorisierungsregeln und Testlauf</w:t>
      </w:r>
    </w:p>
    <w:p w14:paraId="0FB9DC2C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Übergabe mit schriftlicher Anleitung (PDF oder gedruckt)</w:t>
      </w:r>
    </w:p>
    <w:p w14:paraId="762D2013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1 Monat Support für Anpassungen und Fragen im definierten Rahmen</w:t>
      </w:r>
    </w:p>
    <w:p w14:paraId="25BE54E7">
      <w:pPr>
        <w:rPr>
          <w:rFonts w:hint="default" w:ascii="Arial" w:hAnsi="Arial" w:cs="Arial"/>
          <w:sz w:val="20"/>
          <w:szCs w:val="20"/>
        </w:rPr>
      </w:pPr>
    </w:p>
    <w:p w14:paraId="22F21036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Leistungserbringung:</w:t>
      </w:r>
    </w:p>
    <w:p w14:paraId="0FA48210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Remote – Einrichtung und Durchführung erfolgt überwiegend extern ohne Vor-Ort-Präsenz. Bei besonders umfangreichen Projekten kann ein eigener, abgeschirmter Arbeitsplatz beim Kunden erforderlich sein.</w:t>
      </w:r>
    </w:p>
    <w:p w14:paraId="3A02B315">
      <w:pPr>
        <w:rPr>
          <w:rFonts w:hint="default" w:ascii="Arial" w:hAnsi="Arial" w:cs="Arial"/>
          <w:sz w:val="20"/>
          <w:szCs w:val="20"/>
        </w:rPr>
      </w:pPr>
    </w:p>
    <w:p w14:paraId="744C9CD0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Zusatzpunkte:</w:t>
      </w:r>
    </w:p>
    <w:p w14:paraId="7550D34F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Voraussetzungen: Vorhandene Lead-Quelle; klare Zieldefinition der Segmente</w:t>
      </w:r>
    </w:p>
    <w:p w14:paraId="7FCADF4D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Falls Konten fehlen, werden sie für den Kunden angelegt</w:t>
      </w:r>
    </w:p>
    <w:p w14:paraId="46CEB468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Leistungsgrenzen: Standard-Konfiguration gemäß oben genannten Schwellen; erweiterte Regeln/Datenquellen nur als Option</w:t>
      </w:r>
    </w:p>
    <w:p w14:paraId="0B15795E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Laufende Betreuung: 1 Monat Support inklusive; keine Datenpflege</w:t>
      </w:r>
    </w:p>
    <w:p w14:paraId="5E26A855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Datenschutz/DSGVO: DSGVO-Paket nicht automatisch enthalten; Pflicht-Zusatz für Unternehmen in der EU sowie für Unternehmen außerhalb der EU, wenn Leads von Personen aus der EU verarbeitet werden</w:t>
      </w:r>
    </w:p>
    <w:p w14:paraId="240A891C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 Direkte Verknüpfung: Optimal kombinierbar mit B.1 (Lead-Generierung), B.3 (Automatisierte Kontaktaufnahme) oder B.4 (Folgeprozesse)</w:t>
      </w:r>
    </w:p>
    <w:p w14:paraId="0BD58EA3">
      <w:pPr>
        <w:rPr>
          <w:rFonts w:hint="default" w:ascii="Arial" w:hAnsi="Arial" w:cs="Arial"/>
          <w:sz w:val="20"/>
          <w:szCs w:val="20"/>
        </w:rPr>
      </w:pPr>
    </w:p>
    <w:p w14:paraId="7D0C7E7D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0334DC4F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45E66F06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01905D13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7BAE96B3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</w:p>
    <w:p w14:paraId="3B9E76FA">
      <w:pP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</w:pPr>
      <w:r>
        <w:rPr>
          <w:rFonts w:hint="default" w:ascii="Arial" w:hAnsi="Arial" w:cs="Arial"/>
          <w:b/>
          <w:bCs/>
          <w:color w:val="E46C0A" w:themeColor="accent6" w:themeShade="BF"/>
          <w:sz w:val="22"/>
          <w:szCs w:val="22"/>
        </w:rPr>
        <w:t>Praxisbeispiel:</w:t>
      </w:r>
    </w:p>
    <w:p w14:paraId="21C02969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Ein Immobilienmakler wollte seine bestehende Kunden- und Interessentendatenbank gezielt strukturieren, um passende Angebote schneller zuordnen zu können. Mit der Lead-Kategorisierung wurden alle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Kontakte automatisch nach Immobilienart, Budgetrahmen und bevorzugtem Standort sortiert. So konnte der Makler seine Marketingaktionen zielgerichteter planen und Interessenten ohne manuelle Sortierung</w:t>
      </w:r>
      <w:r>
        <w:rPr>
          <w:rFonts w:hint="default" w:ascii="Arial" w:hAnsi="Arial" w:cs="Arial"/>
          <w:sz w:val="20"/>
          <w:szCs w:val="20"/>
          <w:lang w:val="de-DE"/>
        </w:rPr>
        <w:t xml:space="preserve"> </w:t>
      </w:r>
      <w:r>
        <w:rPr>
          <w:rFonts w:hint="default" w:ascii="Arial" w:hAnsi="Arial" w:cs="Arial"/>
          <w:sz w:val="20"/>
          <w:szCs w:val="20"/>
        </w:rPr>
        <w:t>direkt mit passenden Objekten ansprechen. Die aufbereiteten Daten ließen sich anschließend problemlos in seine weiteren Vertriebsprozesse integrieren.</w:t>
      </w:r>
    </w:p>
    <w:sectPr>
      <w:headerReference r:id="rId5" w:type="default"/>
      <w:footerReference r:id="rId6" w:type="default"/>
      <w:pgSz w:w="11906" w:h="16838"/>
      <w:pgMar w:top="1417" w:right="567" w:bottom="567" w:left="1134" w:header="227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318"/>
    </w:tblGrid>
    <w:tr w14:paraId="21812A2E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318" w:type="dxa"/>
        </w:tcPr>
        <w:p w14:paraId="703F5C7F">
          <w:pPr>
            <w:spacing w:before="0" w:after="0" w:line="276" w:lineRule="auto"/>
            <w:jc w:val="distribute"/>
          </w:pPr>
          <w:r>
            <w:rPr>
              <w:rFonts w:ascii="Arial" w:hAnsi="Arial"/>
              <w:color w:val="FFA94D"/>
              <w:sz w:val="14"/>
            </w:rPr>
            <w:t>Zahlungskonditionen &amp; Rechtliche Hinweise: Vorkasse: Zahlung innerhalb 14 Tage nach Angebotserhalt; Projektstart erfolgt erst nach Zahlungseingang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• Skonto: 10 % bei Zahlung innerhalb 24 Stunden, 5 % bei Zahlung innerhalb 4 Tagen, 2,5 % bei Zahlung innerhalb 8 Tagen • Die offizielle Rechnung wird nach verbuchtem Zahlungseingang ausgestellt • Angebot gültig: 30 Tage • Vollzahlung vor Projektbeginn • Ratenzahlung nach Absprache bei Projekten &gt; 50.000 €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• IBAN: DE26370190001011193016 • BIC: BUNQDE82 • Bank: bunq • Zahlungslink: bunq.me/kiberatungrachau • Steuernummer: 2087/135/07834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• Gerichtsstand: Tübingen • Auftragsbestätigung: per E-Mail oder Post • Geschäftstätigkeit: Online-Marketing-Dienstleistungen, Unternehmensberatung,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E-Commerce-Vermittlung • Nicolas Rachau KI-Unternehmensberatung, Kirchst</w:t>
          </w:r>
          <w:r>
            <w:rPr>
              <w:rFonts w:hint="default" w:ascii="Arial" w:hAnsi="Arial"/>
              <w:color w:val="FFA94D"/>
              <w:sz w:val="14"/>
              <w:lang w:val="de-DE"/>
            </w:rPr>
            <w:t>raße</w:t>
          </w:r>
          <w:r>
            <w:rPr>
              <w:rFonts w:ascii="Arial" w:hAnsi="Arial"/>
              <w:color w:val="FFA94D"/>
              <w:sz w:val="14"/>
            </w:rPr>
            <w:t xml:space="preserve"> 37, 7212</w:t>
          </w:r>
          <w:r>
            <w:rPr>
              <w:rFonts w:hint="default" w:ascii="Arial" w:hAnsi="Arial"/>
              <w:color w:val="FFA94D"/>
              <w:sz w:val="14"/>
              <w:lang w:val="de-DE"/>
            </w:rPr>
            <w:t xml:space="preserve">7 </w:t>
          </w:r>
          <w:r>
            <w:rPr>
              <w:rFonts w:ascii="Arial" w:hAnsi="Arial"/>
              <w:color w:val="FFA94D"/>
              <w:sz w:val="14"/>
            </w:rPr>
            <w:t>Kusterdingen • Geschäftsführer: Nicolas Rachau</w:t>
          </w:r>
        </w:p>
      </w:tc>
    </w:tr>
  </w:tbl>
  <w:p w14:paraId="388E570A">
    <w:pPr>
      <w:spacing w:before="0" w:after="0" w:afterLine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C1990">
    <w:pPr>
      <w:pStyle w:val="19"/>
    </w:pPr>
  </w:p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0"/>
      <w:gridCol w:w="3080"/>
      <w:gridCol w:w="1077"/>
    </w:tblGrid>
    <w:tr w14:paraId="2C1F4EB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50" w:hRule="atLeast"/>
      </w:trPr>
      <w:tc>
        <w:tcPr>
          <w:tcW w:w="2580" w:type="dxa"/>
        </w:tcPr>
        <w:p w14:paraId="2C00A80A">
          <w:pPr>
            <w:jc w:val="left"/>
          </w:pPr>
          <w:r>
            <w:rPr>
              <w:rFonts w:ascii="Arial" w:hAnsi="Arial"/>
              <w:color w:val="FFA94D"/>
              <w:sz w:val="14"/>
            </w:rPr>
            <w:t>Nicolas Rachau – KI-Unternehmensberatung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Kirchstraße 37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(D) 72127 Kusterdingen</w:t>
          </w:r>
        </w:p>
      </w:tc>
      <w:tc>
        <w:tcPr>
          <w:tcW w:w="2580" w:type="dxa"/>
        </w:tcPr>
        <w:p w14:paraId="601975BF">
          <w:pPr>
            <w:jc w:val="left"/>
          </w:pPr>
          <w:r>
            <w:rPr>
              <w:rFonts w:ascii="Arial" w:hAnsi="Arial"/>
              <w:color w:val="FFA94D"/>
              <w:sz w:val="14"/>
            </w:rPr>
            <w:t>E-Mail: kontakt@ki-beratung-rachau.de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Web: www.ki-beratung-rachau.de</w:t>
          </w:r>
        </w:p>
      </w:tc>
      <w:tc>
        <w:tcPr>
          <w:tcW w:w="2580" w:type="dxa"/>
        </w:tcPr>
        <w:p w14:paraId="59F603EF">
          <w:pPr>
            <w:jc w:val="left"/>
          </w:pPr>
          <w:r>
            <w:rPr>
              <w:rFonts w:ascii="Arial" w:hAnsi="Arial"/>
              <w:color w:val="FFA94D"/>
              <w:sz w:val="14"/>
            </w:rPr>
            <w:t>Vertrieb &amp; Beratung: 07071 / 1389 - 719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Nicolas Rachau direkt: 07071 / 1389 - 820</w:t>
          </w:r>
          <w:r>
            <w:rPr>
              <w:rFonts w:ascii="Arial" w:hAnsi="Arial"/>
              <w:color w:val="FFA94D"/>
              <w:sz w:val="14"/>
            </w:rPr>
            <w:br w:type="textWrapping"/>
          </w:r>
          <w:r>
            <w:rPr>
              <w:rFonts w:ascii="Arial" w:hAnsi="Arial"/>
              <w:color w:val="FFA94D"/>
              <w:sz w:val="14"/>
            </w:rPr>
            <w:t>Fax: 07071 / 1389 - 841</w:t>
          </w:r>
        </w:p>
      </w:tc>
      <w:tc>
        <w:tcPr>
          <w:tcW w:w="2580" w:type="dxa"/>
        </w:tcPr>
        <w:p w14:paraId="77554868">
          <w:pPr>
            <w:jc w:val="right"/>
          </w:pPr>
          <w:r>
            <w:drawing>
              <wp:inline distT="0" distB="0" distL="114300" distR="114300">
                <wp:extent cx="575945" cy="395605"/>
                <wp:effectExtent l="0" t="0" r="8255" b="1079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8DE5946">
    <w:pPr>
      <w:spacing w:before="0" w:after="0" w:afterLine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45BAA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710E4"/>
    <w:rsid w:val="0D5F19BA"/>
    <w:rsid w:val="0F450896"/>
    <w:rsid w:val="11423859"/>
    <w:rsid w:val="22FF04C0"/>
    <w:rsid w:val="2D2A72CD"/>
    <w:rsid w:val="40E340D5"/>
    <w:rsid w:val="56812378"/>
    <w:rsid w:val="57845BAA"/>
    <w:rsid w:val="7EB0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81" w:afterLines="5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120" w:after="181" w:afterLines="50" w:line="240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List Bullet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7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Body Text"/>
    <w:basedOn w:val="1"/>
    <w:link w:val="46"/>
    <w:unhideWhenUsed/>
    <w:qFormat/>
    <w:uiPriority w:val="99"/>
    <w:pPr>
      <w:spacing w:after="120"/>
    </w:pPr>
  </w:style>
  <w:style w:type="paragraph" w:styleId="32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33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4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1"/>
    <w:qFormat/>
    <w:uiPriority w:val="99"/>
  </w:style>
  <w:style w:type="paragraph" w:styleId="39">
    <w:name w:val="No Spacing"/>
    <w:qFormat/>
    <w:uiPriority w:val="1"/>
    <w:pPr>
      <w:spacing w:before="120" w:after="181" w:afterLines="5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1"/>
    <w:qFormat/>
    <w:uiPriority w:val="99"/>
  </w:style>
  <w:style w:type="character" w:customStyle="1" w:styleId="47">
    <w:name w:val="Body Text 2 Char"/>
    <w:basedOn w:val="11"/>
    <w:link w:val="32"/>
    <w:qFormat/>
    <w:uiPriority w:val="99"/>
  </w:style>
  <w:style w:type="character" w:customStyle="1" w:styleId="48">
    <w:name w:val="Body Text 3 Char"/>
    <w:basedOn w:val="11"/>
    <w:link w:val="33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\Dokumente\KI-Beratung-Rachau\Verkaufs-%20Unterlagen\Vorlagen%20(Fertig)\Briefkopf_Dokument_Kopf_Fuss-zei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Briefkopf_Dokument_Kopf_Fuss-zeile.dotx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2025-08-20T20:33:00Z</dcterms:created>
  <dc:creator>nicol</dc:creator>
  <dc:description>generated by python-docx</dc:description>
  <cp:lastModifiedBy>Nic Olas</cp:lastModifiedBy>
  <cp:lastPrinted>2025-08-20T20:51:00Z</cp:lastPrinted>
  <dcterms:modified xsi:type="dcterms:W3CDTF">2025-08-21T09:32:21Z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1031-12.2.0.21931</vt:lpwstr>
  </property>
  <property fmtid="{D5CDD505-2E9C-101B-9397-08002B2CF9AE}" pid="3" name="ICV">
    <vt:lpwstr>AC073E4910C64D7C85274EF7E0685826_13</vt:lpwstr>
  </property>
</Properties>
</file>