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96851">
      <w:pPr>
        <w:pBdr>
          <w:bottom w:val="single" w:color="FF8000" w:sz="12" w:space="6"/>
        </w:pBdr>
        <w:rPr>
          <w:rFonts w:hint="default" w:ascii="Arial" w:hAnsi="Arial" w:cs="Arial"/>
          <w:sz w:val="28"/>
          <w:szCs w:val="28"/>
          <w:lang w:val="de-DE"/>
        </w:rPr>
      </w:pPr>
      <w:r>
        <w:rPr>
          <w:rFonts w:hint="default" w:ascii="Arial" w:hAnsi="Arial" w:cs="Arial"/>
          <w:b/>
          <w:color w:val="FF8000"/>
          <w:sz w:val="28"/>
          <w:szCs w:val="28"/>
          <w:lang w:val="de-DE"/>
        </w:rPr>
        <w:t>B</w:t>
      </w:r>
      <w:r>
        <w:rPr>
          <w:rFonts w:hint="default" w:ascii="Arial" w:hAnsi="Arial" w:cs="Arial"/>
          <w:b/>
          <w:color w:val="FF8000"/>
          <w:sz w:val="28"/>
          <w:szCs w:val="28"/>
        </w:rPr>
        <w:t xml:space="preserve">.1 – SmartLead </w:t>
      </w:r>
      <w:r>
        <w:rPr>
          <w:rFonts w:hint="default" w:ascii="Arial" w:hAnsi="Arial" w:cs="Arial"/>
          <w:b/>
          <w:color w:val="E46C0A" w:themeColor="accent6" w:themeShade="BF"/>
          <w:sz w:val="28"/>
          <w:szCs w:val="28"/>
        </w:rPr>
        <w:t>Generator</w:t>
      </w:r>
      <w:r>
        <w:rPr>
          <w:rFonts w:hint="default" w:ascii="Arial" w:hAnsi="Arial" w:cs="Arial"/>
          <w:b/>
          <w:color w:val="E46C0A" w:themeColor="accent6" w:themeShade="BF"/>
          <w:sz w:val="28"/>
          <w:szCs w:val="28"/>
          <w:lang w:val="de-DE"/>
        </w:rPr>
        <w:t xml:space="preserve"> (</w:t>
      </w:r>
      <w:r>
        <w:rPr>
          <w:rFonts w:hint="default" w:ascii="Arial" w:hAnsi="Arial" w:cs="Arial"/>
          <w:b/>
          <w:bCs/>
          <w:color w:val="E46C0A" w:themeColor="accent6" w:themeShade="BF"/>
          <w:sz w:val="28"/>
          <w:szCs w:val="28"/>
        </w:rPr>
        <w:t>769 € netto</w:t>
      </w:r>
      <w:r>
        <w:rPr>
          <w:rFonts w:hint="default" w:ascii="Arial" w:hAnsi="Arial" w:cs="Arial"/>
          <w:b/>
          <w:bCs/>
          <w:color w:val="E46C0A" w:themeColor="accent6" w:themeShade="BF"/>
          <w:sz w:val="28"/>
          <w:szCs w:val="28"/>
          <w:lang w:val="de-DE"/>
        </w:rPr>
        <w:t>)</w:t>
      </w:r>
    </w:p>
    <w:p w14:paraId="7D2EC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Produktbeschreibung:</w:t>
      </w:r>
    </w:p>
    <w:p w14:paraId="36429FB4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Mit dem Paket B.1 – SmartLead Generator erhalten Sie eine vollständig eingerichtete, KI-gestützte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Leadgenerierungslösung, die automatisch Zielgruppen recherchiert, Kontaktdaten erfasst und diese in einer klar strukturierten Datenbank bereitstellt. So gewinnen Sie regelmäßig neue Geschäftskontakte,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ohne selbst Zeit in aufwendige Recherche oder technische Einrichtung investieren zu müssen. Das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System ist sofort einsatzbereit und lässt sich bei Bedarf mit weiteren Funktionen ausbauen.</w:t>
      </w:r>
    </w:p>
    <w:p w14:paraId="28E0D9F0">
      <w:pPr>
        <w:spacing w:before="120" w:after="0"/>
        <w:rPr>
          <w:rFonts w:hint="default" w:ascii="Arial" w:hAnsi="Arial" w:cs="Arial"/>
          <w:b/>
          <w:color w:val="FF8000"/>
          <w:sz w:val="20"/>
          <w:szCs w:val="20"/>
        </w:rPr>
      </w:pPr>
    </w:p>
    <w:p w14:paraId="10B59A84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Zielgruppe:</w:t>
      </w:r>
    </w:p>
    <w:p w14:paraId="44FCA88C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Unternehmen, die regelmäßig neue Geschäftskontakte benötigen und den Prozess der Leadgenerierung automatisieren möchten – unabhängig von Branche oder Unternehmensgröße.</w:t>
      </w:r>
    </w:p>
    <w:p w14:paraId="09C900B8">
      <w:pPr>
        <w:spacing w:before="120" w:after="0"/>
        <w:rPr>
          <w:rFonts w:hint="default" w:ascii="Arial" w:hAnsi="Arial" w:cs="Arial"/>
          <w:b/>
          <w:color w:val="FF8000"/>
          <w:sz w:val="20"/>
          <w:szCs w:val="20"/>
        </w:rPr>
      </w:pPr>
    </w:p>
    <w:p w14:paraId="2F92E183">
      <w:pPr>
        <w:spacing w:before="120" w:after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Preis &amp; Folgekosten</w:t>
      </w:r>
      <w:r>
        <w:rPr>
          <w:rFonts w:hint="default" w:ascii="Arial" w:hAnsi="Arial" w:cs="Arial"/>
          <w:b/>
          <w:color w:val="FF8000"/>
          <w:sz w:val="20"/>
          <w:szCs w:val="20"/>
        </w:rPr>
        <w:t>:</w:t>
      </w:r>
    </w:p>
    <w:p w14:paraId="32BD8284">
      <w:pPr>
        <w:ind w:right="567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/>
          <w:bCs/>
          <w:color w:val="000000" w:themeColor="text1"/>
          <w:sz w:val="20"/>
          <w:szCs w:val="20"/>
          <w:lang w:val="de-DE"/>
          <w14:textFill>
            <w14:solidFill>
              <w14:schemeClr w14:val="tx1"/>
            </w14:solidFill>
          </w14:textFill>
        </w:rPr>
        <w:t>Einmal-preis</w:t>
      </w:r>
      <w:r>
        <w:rPr>
          <w:rFonts w:hint="default" w:ascii="Arial" w:hAnsi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rial" w:hAnsi="Arial" w:cs="Arial"/>
          <w:b/>
          <w:bCs/>
          <w:sz w:val="20"/>
          <w:szCs w:val="20"/>
        </w:rPr>
        <w:t xml:space="preserve"> 769 € netto </w:t>
      </w:r>
      <w:r>
        <w:rPr>
          <w:rFonts w:hint="default" w:ascii="Arial" w:hAnsi="Arial" w:cs="Arial"/>
          <w:b w:val="0"/>
          <w:bCs w:val="0"/>
          <w:sz w:val="20"/>
          <w:szCs w:val="20"/>
        </w:rPr>
        <w:t>(steuerbefreit nach §19 UStG)</w:t>
      </w:r>
    </w:p>
    <w:p w14:paraId="7C230A77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Für den Betrieb dieses Pakets sind bestimmte </w:t>
      </w:r>
      <w:r>
        <w:rPr>
          <w:rFonts w:hint="default" w:ascii="Arial" w:hAnsi="Arial" w:cs="Arial"/>
          <w:sz w:val="20"/>
          <w:szCs w:val="20"/>
          <w:u w:val="single"/>
        </w:rPr>
        <w:t>externe Tools und Dienste erforderlich, die separat vom    Kunden gebucht und bezahlt</w:t>
      </w:r>
      <w:r>
        <w:rPr>
          <w:rFonts w:hint="default" w:ascii="Arial" w:hAnsi="Arial" w:cs="Arial"/>
          <w:sz w:val="20"/>
          <w:szCs w:val="20"/>
        </w:rPr>
        <w:t xml:space="preserve"> werden. Diese Dienste arbeiten mit Nutzungslimits (z. B. maximale Leads   pro Monat, maximale Datenabfragen pro Tag, maximale Workflow-Durchläufe pro Monat). Überschreiten diese Werte, entstehen beim jeweiligen Anbieter zusätzliche monatliche Kosten.</w:t>
      </w:r>
    </w:p>
    <w:p w14:paraId="678EC954">
      <w:pPr>
        <w:ind w:right="567"/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:lang w:val="de-D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Erforderliche Dienste und typische Kosten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(Stand: 13.08.2025)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:lang w:val="de-DE"/>
          <w14:textFill>
            <w14:solidFill>
              <w14:schemeClr w14:val="tx1"/>
            </w14:solidFill>
          </w14:textFill>
        </w:rPr>
        <w:t>:</w:t>
      </w:r>
    </w:p>
    <w:p w14:paraId="7BE0521F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Datenbank- und Verwaltungstool – Grundversion: </w:t>
      </w:r>
      <w:r>
        <w:rPr>
          <w:rFonts w:hint="default" w:ascii="Arial" w:hAnsi="Arial" w:cs="Arial"/>
          <w:sz w:val="20"/>
          <w:szCs w:val="20"/>
          <w:u w:val="single"/>
        </w:rPr>
        <w:t>kostenlos bis zu 1.000 Einträge</w:t>
      </w:r>
      <w:r>
        <w:rPr>
          <w:rFonts w:hint="default" w:ascii="Arial" w:hAnsi="Arial" w:cs="Arial"/>
          <w:sz w:val="20"/>
          <w:szCs w:val="20"/>
        </w:rPr>
        <w:t>;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Team-Version: ca. 10 €/Monat, bis zu 5.000 Einträge; höhere Pakete für größere Datenmengen möglich</w:t>
      </w:r>
    </w:p>
    <w:p w14:paraId="137BA5D3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Datenabfrage-/API-Service – Grundversion: </w:t>
      </w:r>
      <w:r>
        <w:rPr>
          <w:rFonts w:hint="default" w:ascii="Arial" w:hAnsi="Arial" w:cs="Arial"/>
          <w:sz w:val="20"/>
          <w:szCs w:val="20"/>
          <w:u w:val="single"/>
        </w:rPr>
        <w:t>kostenlos bis zu 200 Suchanfragen pro Monat</w:t>
      </w:r>
      <w:r>
        <w:rPr>
          <w:rFonts w:hint="default" w:ascii="Arial" w:hAnsi="Arial" w:cs="Arial"/>
          <w:sz w:val="20"/>
          <w:szCs w:val="20"/>
        </w:rPr>
        <w:t>;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 xml:space="preserve">Standardtarif: ca. 15 €/Monat, bis zu 1.000 Suchanfragen pro Monat; 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höhere Tarife bei größerem Suchvolumen verfügbar</w:t>
      </w:r>
    </w:p>
    <w:p w14:paraId="33C29800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Automations-Plattform – Grundversion: </w:t>
      </w:r>
      <w:r>
        <w:rPr>
          <w:rFonts w:hint="default" w:ascii="Arial" w:hAnsi="Arial" w:cs="Arial"/>
          <w:sz w:val="20"/>
          <w:szCs w:val="20"/>
          <w:u w:val="single"/>
        </w:rPr>
        <w:t>kostenlos bis zu 1.000 Workflow-Durchläufe pro Monat</w:t>
      </w:r>
      <w:r>
        <w:rPr>
          <w:rFonts w:hint="default" w:ascii="Arial" w:hAnsi="Arial" w:cs="Arial"/>
          <w:sz w:val="20"/>
          <w:szCs w:val="20"/>
        </w:rPr>
        <w:t>; Core-Tarif: ca. 9 €/Monat, bis zu 10.000 Workflow-Durchläufe pro Monat; höhere Tarife für mehr  Durchläufe möglich</w:t>
      </w:r>
    </w:p>
    <w:p w14:paraId="647F0A83">
      <w:pPr>
        <w:ind w:right="567"/>
        <w:rPr>
          <w:rFonts w:hint="default" w:ascii="Arial" w:hAnsi="Arial" w:cs="Arial"/>
          <w:sz w:val="20"/>
          <w:szCs w:val="20"/>
        </w:rPr>
      </w:pPr>
      <w:bookmarkStart w:id="0" w:name="_GoBack"/>
      <w:bookmarkEnd w:id="0"/>
      <w:r>
        <w:rPr>
          <w:rFonts w:hint="default" w:ascii="Arial" w:hAnsi="Arial" w:cs="Arial"/>
          <w:sz w:val="20"/>
          <w:szCs w:val="20"/>
        </w:rPr>
        <w:t xml:space="preserve">• KI-Text-/Datenverarbeitung – Light-Version: </w:t>
      </w:r>
      <w:r>
        <w:rPr>
          <w:rFonts w:hint="default" w:ascii="Arial" w:hAnsi="Arial" w:cs="Arial"/>
          <w:sz w:val="20"/>
          <w:szCs w:val="20"/>
          <w:u w:val="single"/>
        </w:rPr>
        <w:t>ca. 1 €/Monat, bis zu 500 Verarbeitungen pro Monat</w:t>
      </w:r>
      <w:r>
        <w:rPr>
          <w:rFonts w:hint="default" w:ascii="Arial" w:hAnsi="Arial" w:cs="Arial"/>
          <w:sz w:val="20"/>
          <w:szCs w:val="20"/>
        </w:rPr>
        <w:t>;Standard-Version: ca. 5 €/Monat, bis zu 2.000 Verarbeitungen pro Monat; erweiterte Pakete auf Anfrage</w:t>
      </w:r>
    </w:p>
    <w:p w14:paraId="4A2F28DB">
      <w:pPr>
        <w:ind w:right="567"/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Der Kunde erhält mit der Projektdokumentation zusätzlich eine 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Schwellenwert-Tabelle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mit den aktuellen  Grenzwerten der eingesetzten Tools, um die möglichen laufenden Kosten selbst einschätzen zu können.</w:t>
      </w:r>
    </w:p>
    <w:p w14:paraId="00EB3004">
      <w:pPr>
        <w:spacing w:before="120" w:after="0"/>
        <w:rPr>
          <w:rFonts w:hint="default" w:ascii="Arial" w:hAnsi="Arial" w:cs="Arial"/>
          <w:b/>
          <w:color w:val="FF8000"/>
          <w:sz w:val="20"/>
          <w:szCs w:val="20"/>
        </w:rPr>
      </w:pPr>
    </w:p>
    <w:p w14:paraId="187DC184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Leistungsumfang:</w:t>
      </w:r>
    </w:p>
    <w:p w14:paraId="200F86E7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Vollständige Einrichtung eines KI-gestützten Leadgenerierungs-Workflows, der automatisch Zielgruppen recherchiert, Kontaktdaten erfasst und in einer strukturierten Datenbank (z. B. Airtable) bereitstellt</w:t>
      </w:r>
    </w:p>
    <w:p w14:paraId="2EF97AD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Einrichtung aller benötigten Tools (Airtable, Google Places API, Make.com, OpenAI GPT)</w:t>
      </w:r>
    </w:p>
    <w:p w14:paraId="140870FB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1× Zielgruppenanpassung inklusive</w:t>
      </w:r>
    </w:p>
    <w:p w14:paraId="7DB83E9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Konfiguration der Workflows zur automatischen Datensammlung und -aufbereitung</w:t>
      </w:r>
    </w:p>
    <w:p w14:paraId="657DB1FF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Übergabe mit schriftlicher Anleitung (PDF oder </w:t>
      </w:r>
      <w:r>
        <w:rPr>
          <w:rFonts w:hint="default" w:ascii="Arial" w:hAnsi="Arial" w:cs="Arial"/>
          <w:sz w:val="20"/>
          <w:szCs w:val="20"/>
          <w:lang w:val="de-DE"/>
        </w:rPr>
        <w:t>D</w:t>
      </w:r>
      <w:r>
        <w:rPr>
          <w:rFonts w:hint="default" w:ascii="Arial" w:hAnsi="Arial" w:cs="Arial"/>
          <w:sz w:val="20"/>
          <w:szCs w:val="20"/>
        </w:rPr>
        <w:t>ruck)</w:t>
      </w:r>
    </w:p>
    <w:p w14:paraId="21D9E9F2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CRM-Anbindung: Garantiert nur bei Workflows, die im Rahmen unserer Pakete erstellt wurden; bei  externen CRM-Systemen können spezielle Adapter oder Schnittstellenlösungen erforderlich sein, die zusätzliche Kosten verursachen können.</w:t>
      </w:r>
    </w:p>
    <w:p w14:paraId="06239411">
      <w:pPr>
        <w:ind w:right="567"/>
        <w:rPr>
          <w:rFonts w:hint="default" w:ascii="Arial" w:hAnsi="Arial" w:cs="Arial"/>
          <w:b/>
          <w:color w:val="FF8000"/>
          <w:sz w:val="22"/>
          <w:szCs w:val="22"/>
        </w:rPr>
      </w:pPr>
    </w:p>
    <w:p w14:paraId="01D25429">
      <w:pPr>
        <w:ind w:right="567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Nutzen &amp; Vorteile:</w:t>
      </w:r>
    </w:p>
    <w:p w14:paraId="3C1C90D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Deutliche Zeitersparnis durch automatisierte Recherche</w:t>
      </w:r>
    </w:p>
    <w:p w14:paraId="2E2BDF88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Kontinuierliche und skalierbare Leadgenerierung</w:t>
      </w:r>
    </w:p>
    <w:p w14:paraId="52B77260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Minimierung manueller Arbeitsschritte</w:t>
      </w:r>
    </w:p>
    <w:p w14:paraId="7DE1DC3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Bereitstellung einer klar strukturierten Datenbasis für Vertrieb und Marketing</w:t>
      </w:r>
    </w:p>
    <w:p w14:paraId="6DDAE46E">
      <w:pPr>
        <w:spacing w:before="120" w:after="0"/>
        <w:rPr>
          <w:rFonts w:hint="default" w:ascii="Arial" w:hAnsi="Arial" w:cs="Arial"/>
          <w:b/>
          <w:color w:val="FF8000"/>
          <w:sz w:val="20"/>
          <w:szCs w:val="20"/>
        </w:rPr>
      </w:pPr>
    </w:p>
    <w:p w14:paraId="0E1CC75C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Start &amp; Dauer:</w:t>
      </w:r>
    </w:p>
    <w:p w14:paraId="0E21798C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Auftragsbearbeitung beginnt sofort nach Eingang der vollständigen Angebotssumme und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Auftragsbestätigung. Projektstart erfolgt nach dem im Angebot festgelegten Zeitraum (abhängig von  Auftragslage) – wird vor Auftragsbestätigung vereinbart. Einrichtung in der Regel innerhalb von 5–10 Werktagen ab Projektstart (abhängig vom Umfang und den bereitgestellten Kundendaten).</w:t>
      </w:r>
    </w:p>
    <w:p w14:paraId="00785CD4">
      <w:pPr>
        <w:spacing w:before="120" w:after="0"/>
        <w:rPr>
          <w:rFonts w:hint="default" w:ascii="Arial" w:hAnsi="Arial" w:cs="Arial"/>
          <w:b/>
          <w:color w:val="FF8000"/>
          <w:sz w:val="20"/>
          <w:szCs w:val="20"/>
        </w:rPr>
      </w:pPr>
    </w:p>
    <w:p w14:paraId="05A2A89F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Ablauf &amp; Abwicklung:</w:t>
      </w:r>
    </w:p>
    <w:p w14:paraId="13879516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Nach Auftragsbestätigung und Zahlungseingang der vollständigen Angebotssumme</w:t>
      </w:r>
    </w:p>
    <w:p w14:paraId="3809E7DD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Kunde erhält eine Liste mit allen benötigten Informationen, die er zur Einrichtung bereitstellen muss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(z. B. Zielgruppe, Region, besondere Kriterien)</w:t>
      </w:r>
    </w:p>
    <w:p w14:paraId="2BFA99A0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Falls noch nicht vorhanden, werden benötigte Konten für den Kunden angelegt</w:t>
      </w:r>
    </w:p>
    <w:p w14:paraId="0455F4AC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Aufbau und Verbindung der Workflows zwischen den Tools</w:t>
      </w:r>
    </w:p>
    <w:p w14:paraId="266AFC1E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Testlauf und Optimierung</w:t>
      </w:r>
    </w:p>
    <w:p w14:paraId="1E039466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Übergabe an den Kunden mit allen Zugangsdaten und schriftlicher Anleitung</w:t>
      </w:r>
    </w:p>
    <w:p w14:paraId="1287C611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1 Monat Support für Anpassungen und Fragen im definierten Rahmen</w:t>
      </w:r>
    </w:p>
    <w:p w14:paraId="4A44DBB6">
      <w:pPr>
        <w:spacing w:before="120" w:after="0"/>
        <w:rPr>
          <w:rFonts w:hint="default" w:ascii="Arial" w:hAnsi="Arial" w:cs="Arial"/>
          <w:b/>
          <w:color w:val="FF8000"/>
          <w:sz w:val="20"/>
          <w:szCs w:val="20"/>
        </w:rPr>
      </w:pPr>
    </w:p>
    <w:p w14:paraId="5456F209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Leistungserbringung:</w:t>
      </w:r>
    </w:p>
    <w:p w14:paraId="5B1F4EBD">
      <w:pPr>
        <w:ind w:right="567"/>
        <w:rPr>
          <w:rFonts w:hint="default" w:ascii="Arial" w:hAnsi="Arial" w:cs="Arial"/>
          <w:b/>
          <w:color w:val="FF8000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Remote – Einrichtung und Durchführung erfolgt überwiegend extern ohne Vor-Ort-Präsenz.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Bei besonders umfangreichen Projekten kann ein eigener, abgeschirmter Arbeitsplatz beim Kunden erforderlich sein.</w:t>
      </w:r>
    </w:p>
    <w:p w14:paraId="15EC242F">
      <w:pPr>
        <w:spacing w:before="120" w:after="0"/>
        <w:rPr>
          <w:rFonts w:hint="default" w:ascii="Arial" w:hAnsi="Arial" w:cs="Arial"/>
          <w:b/>
          <w:color w:val="FF8000"/>
          <w:sz w:val="20"/>
          <w:szCs w:val="20"/>
        </w:rPr>
      </w:pPr>
    </w:p>
    <w:p w14:paraId="5D40B67A">
      <w:pPr>
        <w:spacing w:before="12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Zusatzpunkte:</w:t>
      </w:r>
    </w:p>
    <w:p w14:paraId="5AA2E226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Voraussetzungen Kunde: Definition von Zielgruppe und Region, Bereitstellung der angeforderten Daten zur Workflow-Erstellung</w:t>
      </w:r>
    </w:p>
    <w:p w14:paraId="304CB969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Falls noch nicht vorhanden: Konten für Airtable, Google Cloud (Places API), Make.com, OpenAI – werden vom Anbieter eingerichtet</w:t>
      </w:r>
    </w:p>
    <w:p w14:paraId="669F38BC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Leistungsgrenzen: Standardkonfiguration bis zu den genannten Tool-Schwellen. Erweiterungen nur durch erneute Buchung von B.1, Zielgruppenanpassung (C.1) oder Schulungspaket (C.2)</w:t>
      </w:r>
    </w:p>
    <w:p w14:paraId="3C816D3A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Eigene Eingriffe, die zu Funktionsstörungen führen, sind nicht im Support enthalten – Unterstützung hierfür nur nach Buchung des Schulungspakets und mit Zusatzkosten</w:t>
      </w:r>
    </w:p>
    <w:p w14:paraId="5F9AD87F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Laufende Betreuung: 1 Monat Support inklusive. Keine automatische Datenpflege im Preis enthalten (separates Produkt)</w:t>
      </w:r>
    </w:p>
    <w:p w14:paraId="0FB36C18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Datenschutz/DSGVO: DSGVO-Paket nicht automatisch enthalten. Pflicht-Zusatz für Unternehmen in der EU. Für Unternehmen außerhalb der EU nur erforderlich, wenn Leads von Personen aus der EU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verarbeitet werden</w:t>
      </w:r>
    </w:p>
    <w:p w14:paraId="07B0D1A9">
      <w:pPr>
        <w:ind w:right="567"/>
        <w:rPr>
          <w:rFonts w:hint="default" w:ascii="Arial" w:hAnsi="Arial" w:cs="Arial"/>
          <w:b/>
          <w:color w:val="FF8000"/>
          <w:sz w:val="22"/>
          <w:szCs w:val="22"/>
        </w:rPr>
      </w:pPr>
    </w:p>
    <w:p w14:paraId="1332F00E">
      <w:pPr>
        <w:ind w:right="567"/>
        <w:rPr>
          <w:rFonts w:hint="default" w:ascii="Arial" w:hAnsi="Arial" w:cs="Arial"/>
          <w:b/>
          <w:color w:val="FF8000"/>
          <w:sz w:val="22"/>
          <w:szCs w:val="22"/>
        </w:rPr>
      </w:pPr>
    </w:p>
    <w:p w14:paraId="27A850C4">
      <w:pPr>
        <w:ind w:right="567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FF8000"/>
          <w:sz w:val="22"/>
          <w:szCs w:val="22"/>
        </w:rPr>
        <w:t>Praxisbeispiel:</w:t>
      </w:r>
    </w:p>
    <w:p w14:paraId="2CFB9789">
      <w:pPr>
        <w:ind w:right="567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Ein regionaler Handwerksbetrieb entschied sich für den SmartLead Generator, um die Gewinnung neuer Kundenkontakte zu automatisieren. Nach der Einrichtung erhielt er regelmäßig aktuelle Leads, die exakt  seiner Zielgruppen- und Regionsvorgabe entsprachen. Die Kontaktdaten konnten direkt in seine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bestehende Arbeitsweise integriert oder – bei Bedarf – mit weiteren Lösungen wie den Paketen B.2 oder B.3 verknüpft werden, um eine automatisierte Weiterverarbeitung zu ermöglichen. Dadurch entfiel der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zeitaufwendige manuelle Rechercheaufwand, und die Ressourcen des Unternehmens konnten gezielter für Kundenprojekte eingesetzt werden.</w:t>
      </w:r>
    </w:p>
    <w:sectPr>
      <w:headerReference r:id="rId5" w:type="default"/>
      <w:footerReference r:id="rId6" w:type="default"/>
      <w:pgSz w:w="11906" w:h="16838"/>
      <w:pgMar w:top="1417" w:right="567" w:bottom="567" w:left="1134" w:header="227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318"/>
    </w:tblGrid>
    <w:tr w14:paraId="21812A2E">
      <w:tc>
        <w:tcPr>
          <w:tcW w:w="10318" w:type="dxa"/>
        </w:tcPr>
        <w:p w14:paraId="703F5C7F">
          <w:pPr>
            <w:spacing w:before="0" w:after="0" w:line="276" w:lineRule="auto"/>
            <w:jc w:val="distribute"/>
          </w:pPr>
          <w:r>
            <w:rPr>
              <w:rFonts w:ascii="Arial" w:hAnsi="Arial"/>
              <w:color w:val="FFA94D"/>
              <w:sz w:val="14"/>
            </w:rPr>
            <w:t>Zahlungskonditionen &amp; Rechtliche Hinweise: Vorkasse: Zahlung innerhalb 14 Tage nach Angebotserhalt; Projektstart erfolgt erst nach Zahlungseingang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Skonto: 10 % bei Zahlung innerhalb 24 Stunden, 5 % bei Zahlung innerhalb 4 Tagen, 2,5 % bei Zahlung innerhalb 8 Tagen • Die offizielle Rechnung wird nach verbuchtem Zahlungseingang ausgestellt • Angebot gültig: 30 Tage • Vollzahlung vor Projektbeginn • Ratenzahlung nach Absprache bei Projekten &gt; 50.000 €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IBAN: DE26370190001011193016 • BIC: BUNQDE82 • Bank: bunq • Zahlungslink: bunq.me/kiberatungrachau • Steuernummer: 2087/135/07834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Gerichtsstand: Tübingen • Auftragsbestätigung: per E-Mail oder Post • Geschäftstätigkeit: Online-Marketing-Dienstleistungen, Unternehmensberatung,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E-Commerce-Vermittlung • Nicolas Rachau KI-Unternehmensberatung, Kirchst</w:t>
          </w:r>
          <w:r>
            <w:rPr>
              <w:rFonts w:hint="default" w:ascii="Arial" w:hAnsi="Arial"/>
              <w:color w:val="FFA94D"/>
              <w:sz w:val="14"/>
              <w:lang w:val="de-DE"/>
            </w:rPr>
            <w:t>raße</w:t>
          </w:r>
          <w:r>
            <w:rPr>
              <w:rFonts w:ascii="Arial" w:hAnsi="Arial"/>
              <w:color w:val="FFA94D"/>
              <w:sz w:val="14"/>
            </w:rPr>
            <w:t xml:space="preserve"> 37, 7212</w:t>
          </w:r>
          <w:r>
            <w:rPr>
              <w:rFonts w:hint="default" w:ascii="Arial" w:hAnsi="Arial"/>
              <w:color w:val="FFA94D"/>
              <w:sz w:val="14"/>
              <w:lang w:val="de-DE"/>
            </w:rPr>
            <w:t xml:space="preserve">7 </w:t>
          </w:r>
          <w:r>
            <w:rPr>
              <w:rFonts w:ascii="Arial" w:hAnsi="Arial"/>
              <w:color w:val="FFA94D"/>
              <w:sz w:val="14"/>
            </w:rPr>
            <w:t>Kusterdingen • Geschäftsführer: Nicolas Rachau</w:t>
          </w:r>
        </w:p>
      </w:tc>
    </w:tr>
  </w:tbl>
  <w:p w14:paraId="388E570A">
    <w:pPr>
      <w:spacing w:before="0" w:after="0" w:afterLine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C1990">
    <w:pPr>
      <w:pStyle w:val="19"/>
    </w:pPr>
  </w:p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0"/>
      <w:gridCol w:w="3080"/>
      <w:gridCol w:w="1077"/>
    </w:tblGrid>
    <w:tr w14:paraId="2C1F4EB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50" w:hRule="atLeast"/>
      </w:trPr>
      <w:tc>
        <w:tcPr>
          <w:tcW w:w="2580" w:type="dxa"/>
        </w:tcPr>
        <w:p w14:paraId="2C00A80A">
          <w:pPr>
            <w:jc w:val="left"/>
          </w:pPr>
          <w:r>
            <w:rPr>
              <w:rFonts w:ascii="Arial" w:hAnsi="Arial"/>
              <w:color w:val="FFA94D"/>
              <w:sz w:val="14"/>
            </w:rPr>
            <w:t>Nicolas Rachau – KI-Unternehmensberatung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Kirchstraße 37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(D) 72127 Kusterdingen</w:t>
          </w:r>
        </w:p>
      </w:tc>
      <w:tc>
        <w:tcPr>
          <w:tcW w:w="2580" w:type="dxa"/>
        </w:tcPr>
        <w:p w14:paraId="601975BF">
          <w:pPr>
            <w:jc w:val="left"/>
          </w:pPr>
          <w:r>
            <w:rPr>
              <w:rFonts w:ascii="Arial" w:hAnsi="Arial"/>
              <w:color w:val="FFA94D"/>
              <w:sz w:val="14"/>
            </w:rPr>
            <w:t>E-Mail: kontakt@ki-beratung-rachau.de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Web: www.ki-beratung-rachau.de</w:t>
          </w:r>
        </w:p>
      </w:tc>
      <w:tc>
        <w:tcPr>
          <w:tcW w:w="2580" w:type="dxa"/>
        </w:tcPr>
        <w:p w14:paraId="59F603EF">
          <w:pPr>
            <w:jc w:val="left"/>
          </w:pPr>
          <w:r>
            <w:rPr>
              <w:rFonts w:ascii="Arial" w:hAnsi="Arial"/>
              <w:color w:val="FFA94D"/>
              <w:sz w:val="14"/>
            </w:rPr>
            <w:t>Vertrieb &amp; Beratung: 07071 / 1389 - 719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Nicolas Rachau direkt: 07071 / 1389 - 820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Fax: 07071 / 1389 - 841</w:t>
          </w:r>
        </w:p>
      </w:tc>
      <w:tc>
        <w:tcPr>
          <w:tcW w:w="2580" w:type="dxa"/>
        </w:tcPr>
        <w:p w14:paraId="77554868">
          <w:pPr>
            <w:jc w:val="right"/>
          </w:pPr>
          <w:r>
            <w:drawing>
              <wp:inline distT="0" distB="0" distL="114300" distR="114300">
                <wp:extent cx="575945" cy="395605"/>
                <wp:effectExtent l="0" t="0" r="8255" b="1079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8DE5946">
    <w:pPr>
      <w:spacing w:before="0" w:after="0" w:afterLine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45BAA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710E4"/>
    <w:rsid w:val="0D5F19BA"/>
    <w:rsid w:val="1589504B"/>
    <w:rsid w:val="21623B24"/>
    <w:rsid w:val="40E340D5"/>
    <w:rsid w:val="57845BAA"/>
    <w:rsid w:val="78CE2ABF"/>
    <w:rsid w:val="7EB0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81" w:afterLines="5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120" w:after="181" w:afterLines="50" w:line="240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List Bullet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7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Body Text"/>
    <w:basedOn w:val="1"/>
    <w:link w:val="46"/>
    <w:unhideWhenUsed/>
    <w:qFormat/>
    <w:uiPriority w:val="99"/>
    <w:pPr>
      <w:spacing w:after="120"/>
    </w:pPr>
  </w:style>
  <w:style w:type="paragraph" w:styleId="32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33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1"/>
    <w:qFormat/>
    <w:uiPriority w:val="99"/>
  </w:style>
  <w:style w:type="paragraph" w:styleId="39">
    <w:name w:val="No Spacing"/>
    <w:qFormat/>
    <w:uiPriority w:val="1"/>
    <w:pPr>
      <w:spacing w:before="120" w:after="181" w:afterLines="5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1"/>
    <w:qFormat/>
    <w:uiPriority w:val="99"/>
  </w:style>
  <w:style w:type="character" w:customStyle="1" w:styleId="47">
    <w:name w:val="Body Text 2 Char"/>
    <w:basedOn w:val="11"/>
    <w:link w:val="32"/>
    <w:qFormat/>
    <w:uiPriority w:val="99"/>
  </w:style>
  <w:style w:type="character" w:customStyle="1" w:styleId="48">
    <w:name w:val="Body Text 3 Char"/>
    <w:basedOn w:val="11"/>
    <w:link w:val="33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\Dokumente\KI-Beratung-Rachau\Verkaufs-%20Unterlagen\Vorlagen%20(Fertig)\Briefkopf_Dokument_Kopf_Fuss-zei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Briefkopf_Dokument_Kopf_Fuss-zeile.dotx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2025-08-20T20:33:00Z</dcterms:created>
  <dc:creator>nicol</dc:creator>
  <dc:description>generated by python-docx</dc:description>
  <cp:lastModifiedBy>Nic Olas</cp:lastModifiedBy>
  <cp:lastPrinted>2025-08-20T20:51:00Z</cp:lastPrinted>
  <dcterms:modified xsi:type="dcterms:W3CDTF">2025-08-21T09:32:03Z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1031-12.2.0.21931</vt:lpwstr>
  </property>
  <property fmtid="{D5CDD505-2E9C-101B-9397-08002B2CF9AE}" pid="3" name="ICV">
    <vt:lpwstr>149E323614244AF99C7DAA5BBBF9CE25_11</vt:lpwstr>
  </property>
</Properties>
</file>