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#98 Правила опломбирования системного блока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pStyle w:val="MsoListParagraphCxSpFirst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 проведении планового ТО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все АРМы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опечатываются наклейкой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синего цвета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>
      <w:pPr>
        <w:pStyle w:val="MsoListParagraphCxSpMiddle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бланке ТО (Приложение №1) при установке наклейки синего цвета ставится галочка, в соответствующей графе.</w:t>
      </w:r>
    </w:p>
    <w:p>
      <w:pPr>
        <w:pStyle w:val="MsoListParagraphCxSpLast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Если на АРМ установлен программа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КриптоПро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устанавливается наклейка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красного цвета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Большую наклейку клеят на системный блок, маленькую на бланк ТО, в графе проверка наличия КриптоПро.</w:t>
      </w:r>
    </w:p>
    <w:p>
      <w:pPr>
        <w:pStyle w:val="MsoNormal"/>
        <w:spacing w:before="0" w:after="0"/>
        <w:ind w:left="957" w:right="0"/>
        <w:jc w:val="both"/>
        <w:rPr>
          <w:color w:val="333333"/>
          <w:sz w:val="18"/>
          <w:szCs w:val="18"/>
        </w:rPr>
      </w:pPr>
    </w:p>
    <w:p>
      <w:pPr>
        <w:pStyle w:val="MsoNormal"/>
        <w:spacing w:before="0" w:after="0"/>
        <w:ind w:left="957" w:right="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Итого на АРМе могут быть следующие наклейки:</w:t>
      </w:r>
    </w:p>
    <w:p>
      <w:pPr>
        <w:pStyle w:val="MsoNormal"/>
        <w:spacing w:before="0" w:after="0"/>
        <w:ind w:left="957" w:right="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синяя – всегда, красная только при наличии КриптоПро</w:t>
      </w:r>
    </w:p>
    <w:p>
      <w:pPr>
        <w:pStyle w:val="MsoNormal"/>
        <w:spacing w:before="0" w:after="0"/>
        <w:ind w:left="957" w:right="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 </w:t>
      </w:r>
    </w:p>
    <w:p>
      <w:pPr>
        <w:pStyle w:val="MsoListParagraphCxSpFirst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Правила установки наклеек (синего и красного цвета): При опечатывании (опломбировании) системного блока пломбировочными наклейками следует клеить их на разрыв на боковые панели корпуса вместе с несъёмными частями корпуса. </w:t>
      </w:r>
    </w:p>
    <w:p>
      <w:pPr>
        <w:pStyle w:val="MsoListParagraphCxSpMiddle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Если на ТО/ремонт поступил АРМ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 синей и красной наклейкой (одновременно)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составляется акт вскрытия (Приложение №2).</w:t>
      </w:r>
    </w:p>
    <w:p>
      <w:pPr>
        <w:pStyle w:val="MsoListParagraphCxSpLast"/>
        <w:spacing w:before="180" w:after="180"/>
        <w:ind w:left="600" w:right="0" w:hanging="36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Акт ТО и акт вскрытия передавать в группу управления ИТ-сервисов.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Все приложении прикреплены тут ниже статьи!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150" w:line="210" w:lineRule="atLeast"/>
        <w:rPr>
          <w:sz w:val="18"/>
          <w:szCs w:val="18"/>
        </w:rPr>
      </w:pPr>
      <w:r>
        <w:rPr>
          <w:sz w:val="18"/>
          <w:szCs w:val="18"/>
        </w:rPr>
        <w:t>Приложение 2 - акт вскрытия.docx, 13.04.2023 15:49, 13.31 KB</w:t>
      </w:r>
    </w:p>
    <w:p>
      <w:pPr>
        <w:spacing w:before="150" w:line="210" w:lineRule="atLeast"/>
        <w:rPr>
          <w:sz w:val="18"/>
          <w:szCs w:val="18"/>
        </w:rPr>
      </w:pPr>
      <w:r>
        <w:rPr>
          <w:sz w:val="18"/>
          <w:szCs w:val="18"/>
        </w:rPr>
        <w:t>Приложение 1 - бланк ТО.docx, 13.04.2023 15:49, 15.17 KB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[УДАЛЕН] Курманаева Альфия Вильевна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13.04.2023 15:48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Статьи технической поддержки &gt; ИБ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MsoListParagraphCxSpFirst">
    <w:name w:val="MsoListParagraphCxSpFirst"/>
    <w:basedOn w:val="Normal"/>
  </w:style>
  <w:style w:type="paragraph" w:customStyle="1" w:styleId="MsoListParagraphCxSpMiddle">
    <w:name w:val="MsoListParagraphCxSpMiddle"/>
    <w:basedOn w:val="Normal"/>
  </w:style>
  <w:style w:type="paragraph" w:customStyle="1" w:styleId="MsoListParagraphCxSpLast">
    <w:name w:val="MsoListParagraphCxSpLast"/>
    <w:basedOn w:val="Normal"/>
  </w:style>
  <w:style w:type="paragraph" w:customStyle="1" w:styleId="MsoNormal">
    <w:name w:val="MsoNorm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