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4.10.0 -->
  <w:body>
    <w:p>
      <w:pPr>
        <w:spacing w:after="300" w:line="210" w:lineRule="atLeast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Статья базы знаний</w:t>
      </w:r>
    </w:p>
    <w:p>
      <w:pPr>
        <w:ind w:right="300"/>
        <w:rPr>
          <w:rFonts w:ascii="Arial" w:eastAsia="Arial" w:hAnsi="Arial" w:cs="Arial"/>
          <w:b w:val="0"/>
          <w:bCs w:val="0"/>
          <w:sz w:val="33"/>
          <w:szCs w:val="33"/>
        </w:rPr>
      </w:pPr>
      <w:r>
        <w:rPr>
          <w:rFonts w:ascii="Arial" w:eastAsia="Arial" w:hAnsi="Arial" w:cs="Arial"/>
          <w:b w:val="0"/>
          <w:bCs w:val="0"/>
          <w:sz w:val="33"/>
          <w:szCs w:val="33"/>
        </w:rPr>
        <w:t>#140 Порядок заведения и передачи доступа к мессенджеру АРМ ГС.</w:t>
      </w:r>
    </w:p>
    <w:p>
      <w:pPr>
        <w:spacing w:before="300" w:after="150"/>
        <w:rPr>
          <w:rFonts w:ascii="Arial" w:eastAsia="Arial" w:hAnsi="Arial" w:cs="Arial"/>
          <w:b w:val="0"/>
          <w:bCs w:val="0"/>
          <w:sz w:val="33"/>
          <w:szCs w:val="33"/>
        </w:rPr>
      </w:pPr>
      <w:r>
        <w:rPr>
          <w:rFonts w:ascii="Arial" w:eastAsia="Arial" w:hAnsi="Arial" w:cs="Arial"/>
          <w:b w:val="0"/>
          <w:bCs w:val="0"/>
          <w:sz w:val="33"/>
          <w:szCs w:val="33"/>
        </w:rPr>
        <w:t>Описание</w:t>
      </w:r>
    </w:p>
    <w:p>
      <w:pPr>
        <w:pStyle w:val="MsoNormal"/>
        <w:spacing w:before="180" w:after="180"/>
        <w:ind w:left="0"/>
        <w:jc w:val="center"/>
        <w:rPr>
          <w:color w:val="333333"/>
          <w:sz w:val="18"/>
          <w:szCs w:val="18"/>
        </w:rPr>
      </w:pPr>
      <w:r>
        <w:rPr>
          <w:b/>
          <w:bCs/>
          <w:color w:val="333333"/>
          <w:sz w:val="18"/>
          <w:szCs w:val="18"/>
        </w:rPr>
        <w:t>Порядок заведения и передачи доступа к мессенджеру АРМ ГС.</w:t>
      </w:r>
    </w:p>
    <w:p>
      <w:pPr>
        <w:pStyle w:val="MsoNormal"/>
        <w:spacing w:before="180" w:after="180"/>
        <w:ind w:left="0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 </w:t>
      </w:r>
    </w:p>
    <w:p>
      <w:pPr>
        <w:pStyle w:val="MsoNormal"/>
        <w:spacing w:before="180" w:after="180"/>
        <w:ind w:left="0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Для подключения к мессенджеру АРМ ГС пользователю необходимо направить заявку в СТП-2915 на заведение УЗ в мессенджере АРМ ГС с указанием организации, должности и ФИО сотрудника.</w:t>
      </w:r>
    </w:p>
    <w:p>
      <w:pPr>
        <w:pStyle w:val="MsoNormal"/>
        <w:spacing w:before="180" w:after="180"/>
        <w:ind w:left="0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Сотрудник СТП переводит заявку на линию Тех отдела.</w:t>
      </w:r>
    </w:p>
    <w:p>
      <w:pPr>
        <w:pStyle w:val="MsoNormal"/>
        <w:spacing w:before="180" w:after="180"/>
        <w:ind w:left="0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Технический отдел - администратор АРМ ГС создает УЗ пользователя в административной панели  АРМ ГС на сайте biz.armgs.team.</w:t>
      </w:r>
    </w:p>
    <w:p>
      <w:pPr>
        <w:ind w:left="0"/>
        <w:rPr>
          <w:color w:val="333333"/>
          <w:sz w:val="18"/>
          <w:szCs w:val="18"/>
        </w:rPr>
      </w:pPr>
      <w:r>
        <w:rPr>
          <w:strike w:val="0"/>
          <w:color w:val="333333"/>
          <w:sz w:val="18"/>
          <w:szCs w:val="18"/>
          <w:u w:val="none"/>
        </w:rPr>
        <w:drawing>
          <wp:inline>
            <wp:extent cx="3171825" cy="669607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z w:val="18"/>
          <w:szCs w:val="18"/>
        </w:rPr>
        <w:t xml:space="preserve"> </w:t>
      </w:r>
    </w:p>
    <w:p>
      <w:pPr>
        <w:pStyle w:val="MsoNormal"/>
        <w:spacing w:before="180" w:after="180"/>
        <w:ind w:left="0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После создания УЗ в АРМ ГС, технический отдел дублирует данные о УЗ АРМ ГС в менеджер паролей Пассворк pass.pirogov-center.ru.</w:t>
      </w:r>
    </w:p>
    <w:p>
      <w:pPr>
        <w:pStyle w:val="MsoNormal"/>
        <w:spacing w:before="180" w:after="180"/>
        <w:ind w:left="0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 </w:t>
      </w:r>
    </w:p>
    <w:p>
      <w:pPr>
        <w:ind w:left="0"/>
        <w:rPr>
          <w:color w:val="333333"/>
          <w:sz w:val="18"/>
          <w:szCs w:val="18"/>
        </w:rPr>
      </w:pPr>
      <w:r>
        <w:rPr>
          <w:strike w:val="0"/>
          <w:color w:val="333333"/>
          <w:sz w:val="18"/>
          <w:szCs w:val="18"/>
          <w:u w:val="none"/>
        </w:rPr>
        <w:drawing>
          <wp:inline>
            <wp:extent cx="6381750" cy="391477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z w:val="18"/>
          <w:szCs w:val="18"/>
        </w:rPr>
        <w:t xml:space="preserve"> </w:t>
      </w:r>
    </w:p>
    <w:p>
      <w:pPr>
        <w:pStyle w:val="MsoNormal"/>
        <w:spacing w:before="180" w:after="180"/>
        <w:ind w:left="0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 </w:t>
      </w:r>
    </w:p>
    <w:p>
      <w:pPr>
        <w:pStyle w:val="MsoNormal"/>
        <w:spacing w:before="180" w:after="180"/>
        <w:ind w:left="0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 </w:t>
      </w:r>
    </w:p>
    <w:p>
      <w:pPr>
        <w:pStyle w:val="MsoNormal"/>
        <w:spacing w:before="180" w:after="180"/>
        <w:ind w:left="0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Направляет заявку в отдел ИБ с комментарием о созданной УЗ и необходимостью выдать ее пользователю\заявителю.</w:t>
      </w:r>
    </w:p>
    <w:p>
      <w:pPr>
        <w:pStyle w:val="MsoNormal"/>
        <w:spacing w:before="180" w:after="180"/>
        <w:ind w:left="0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Отдел ИБ принимает заявку, печатает в конверт ФИО, логин и пароль от почты пользователя, прикладывает инструкцию для авторизации на почте АРМ ГС и в мессенджере АРМ ГС. Сотрудник отдела ИБ связывается, приглашает пользователя для выдачи конверта на руки.</w:t>
      </w:r>
    </w:p>
    <w:p>
      <w:pPr>
        <w:pStyle w:val="MsoNormal"/>
        <w:spacing w:before="180" w:after="180"/>
        <w:ind w:left="0"/>
        <w:rPr>
          <w:color w:val="333333"/>
          <w:sz w:val="18"/>
          <w:szCs w:val="18"/>
        </w:rPr>
      </w:pPr>
    </w:p>
    <w:p>
      <w:pPr>
        <w:pStyle w:val="MsoNormal"/>
        <w:spacing w:before="180" w:after="180"/>
        <w:ind w:left="0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 </w:t>
      </w:r>
      <w:r>
        <w:rPr>
          <w:strike w:val="0"/>
          <w:color w:val="333333"/>
          <w:sz w:val="18"/>
          <w:szCs w:val="18"/>
          <w:u w:val="none"/>
        </w:rPr>
        <w:drawing>
          <wp:inline>
            <wp:extent cx="7696200" cy="69723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MsoNormal"/>
        <w:spacing w:before="180" w:after="180"/>
        <w:ind w:left="0"/>
        <w:rPr>
          <w:color w:val="333333"/>
          <w:sz w:val="18"/>
          <w:szCs w:val="18"/>
        </w:rPr>
      </w:pPr>
    </w:p>
    <w:p>
      <w:pPr>
        <w:pStyle w:val="MsoNormal"/>
        <w:spacing w:before="180" w:after="180"/>
        <w:ind w:left="0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 </w:t>
      </w:r>
    </w:p>
    <w:p>
      <w:pPr>
        <w:pStyle w:val="MsoNormal"/>
        <w:spacing w:before="180" w:after="180"/>
        <w:ind w:left="0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В случаи возникновение вопросов у пользователя сотрудники стп должны оказать консультацию.</w:t>
      </w:r>
    </w:p>
    <w:p>
      <w:pPr>
        <w:ind w:left="0"/>
        <w:rPr>
          <w:rFonts w:ascii="Calibri" w:eastAsia="Calibri" w:hAnsi="Calibri" w:cs="Calibri"/>
          <w:color w:val="333333"/>
          <w:sz w:val="22"/>
          <w:szCs w:val="22"/>
        </w:rPr>
      </w:pPr>
      <w:r>
        <w:rPr>
          <w:rFonts w:ascii="Calibri" w:eastAsia="Calibri" w:hAnsi="Calibri" w:cs="Calibri"/>
          <w:color w:val="333333"/>
          <w:sz w:val="22"/>
          <w:szCs w:val="22"/>
        </w:rPr>
        <w:t>Инструкции по установки на мобильные устройства находятся в базе знаний. </w:t>
      </w:r>
    </w:p>
    <w:p>
      <w:pPr>
        <w:spacing w:before="300" w:after="150"/>
        <w:rPr>
          <w:rFonts w:ascii="Arial" w:eastAsia="Arial" w:hAnsi="Arial" w:cs="Arial"/>
          <w:b w:val="0"/>
          <w:bCs w:val="0"/>
          <w:sz w:val="33"/>
          <w:szCs w:val="33"/>
        </w:rPr>
      </w:pPr>
      <w:r>
        <w:rPr>
          <w:rFonts w:ascii="Arial" w:eastAsia="Arial" w:hAnsi="Arial" w:cs="Arial"/>
          <w:b w:val="0"/>
          <w:bCs w:val="0"/>
          <w:sz w:val="33"/>
          <w:szCs w:val="33"/>
        </w:rPr>
        <w:t>Решение</w:t>
      </w:r>
    </w:p>
    <w:p>
      <w:pPr>
        <w:spacing w:before="300" w:after="150"/>
        <w:rPr>
          <w:rFonts w:ascii="Arial" w:eastAsia="Arial" w:hAnsi="Arial" w:cs="Arial"/>
          <w:b w:val="0"/>
          <w:bCs w:val="0"/>
          <w:sz w:val="33"/>
          <w:szCs w:val="33"/>
        </w:rPr>
      </w:pPr>
      <w:r>
        <w:rPr>
          <w:rFonts w:ascii="Arial" w:eastAsia="Arial" w:hAnsi="Arial" w:cs="Arial"/>
          <w:b w:val="0"/>
          <w:bCs w:val="0"/>
          <w:sz w:val="33"/>
          <w:szCs w:val="33"/>
        </w:rPr>
        <w:t>Обходной путь</w:t>
      </w:r>
    </w:p>
    <w:p>
      <w:pPr>
        <w:spacing w:before="300" w:after="150"/>
        <w:rPr>
          <w:rFonts w:ascii="Arial" w:eastAsia="Arial" w:hAnsi="Arial" w:cs="Arial"/>
          <w:b w:val="0"/>
          <w:bCs w:val="0"/>
          <w:sz w:val="33"/>
          <w:szCs w:val="33"/>
        </w:rPr>
      </w:pPr>
      <w:r>
        <w:rPr>
          <w:rFonts w:ascii="Arial" w:eastAsia="Arial" w:hAnsi="Arial" w:cs="Arial"/>
          <w:b w:val="0"/>
          <w:bCs w:val="0"/>
          <w:sz w:val="33"/>
          <w:szCs w:val="33"/>
        </w:rPr>
        <w:t>Файлы</w:t>
      </w:r>
    </w:p>
    <w:p>
      <w:pPr>
        <w:spacing w:before="600" w:line="210" w:lineRule="atLeast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Опубликовал: Спиридонов Кирилл Игоревич</w:t>
      </w:r>
    </w:p>
    <w:p>
      <w:pPr>
        <w:spacing w:before="150" w:line="210" w:lineRule="atLeast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Дата публикации: 14.11.2023 10:04</w:t>
      </w:r>
    </w:p>
    <w:p>
      <w:pPr>
        <w:spacing w:before="150" w:line="210" w:lineRule="atLeast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Раздел базы знаний: Технические статьи &gt; АРМ ГС</w:t>
      </w:r>
    </w:p>
    <w:p>
      <w:pPr>
        <w:spacing w:before="150" w:line="210" w:lineRule="atLeast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Тип статьи: Помощь в работе</w:t>
      </w:r>
    </w:p>
    <w:sectPr>
      <w:pgMar w:header="720" w:footer="72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 w:after="0"/>
      <w:outlineLvl w:val="0"/>
    </w:pPr>
    <w:rPr>
      <w:rFonts w:ascii="Times New Roman" w:eastAsia="Times New Roman" w:hAnsi="Times New Roman" w:cs="Times New Roman"/>
      <w:b/>
      <w:bCs/>
      <w:i w:val="0"/>
      <w:color w:val="2F5496" w:themeShade="BF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 w:after="0"/>
      <w:outlineLvl w:val="1"/>
    </w:pPr>
    <w:rPr>
      <w:rFonts w:ascii="Times New Roman" w:eastAsia="Times New Roman" w:hAnsi="Times New Roman" w:cs="Times New Roman"/>
      <w:b/>
      <w:bCs/>
      <w:i w:val="0"/>
      <w:color w:val="2F5496" w:themeShade="BF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 w:after="0"/>
      <w:outlineLvl w:val="2"/>
    </w:pPr>
    <w:rPr>
      <w:rFonts w:ascii="Times New Roman" w:eastAsia="Times New Roman" w:hAnsi="Times New Roman" w:cs="Times New Roman"/>
      <w:b/>
      <w:bCs/>
      <w:i w:val="0"/>
      <w:color w:val="1F3763" w:themeShade="7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 w:after="0"/>
      <w:outlineLvl w:val="3"/>
    </w:pPr>
    <w:rPr>
      <w:rFonts w:ascii="Times New Roman" w:eastAsia="Times New Roman" w:hAnsi="Times New Roman" w:cs="Times New Roman"/>
      <w:b/>
      <w:bCs/>
      <w:i w:val="0"/>
      <w:iCs/>
      <w:color w:val="2F5496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 w:after="0"/>
      <w:outlineLvl w:val="4"/>
    </w:pPr>
    <w:rPr>
      <w:rFonts w:ascii="Times New Roman" w:eastAsia="Times New Roman" w:hAnsi="Times New Roman" w:cs="Times New Roman"/>
      <w:b/>
      <w:bCs/>
      <w:i w:val="0"/>
      <w:color w:val="2F5496" w:themeShade="BF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 w:after="0"/>
      <w:outlineLvl w:val="5"/>
    </w:pPr>
    <w:rPr>
      <w:rFonts w:ascii="Times New Roman" w:eastAsia="Times New Roman" w:hAnsi="Times New Roman" w:cs="Times New Roman"/>
      <w:b/>
      <w:bCs/>
      <w:i w:val="0"/>
      <w:color w:val="1F3763" w:themeShade="7F"/>
      <w:sz w:val="16"/>
      <w:szCs w:val="16"/>
    </w:rPr>
  </w:style>
  <w:style w:type="character" w:default="1" w:styleId="DefaultParagraphFont">
    <w:name w:val="Default Paragraph Font"/>
    <w:semiHidden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Calibri Light" w:eastAsia="Times New Roman" w:hAnsi="Calibri Light" w:cs="Times New Roman"/>
      <w:color w:val="2F5496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Calibri Light" w:eastAsia="Times New Roman" w:hAnsi="Calibri Light" w:cs="Times New Roman"/>
      <w:color w:val="2F5496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Calibri Light" w:eastAsia="Times New Roman" w:hAnsi="Calibri Light" w:cs="Times New Roman"/>
      <w:color w:val="1F3763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Calibri Light" w:eastAsia="Times New Roman" w:hAnsi="Calibri Light" w:cs="Times New Roman"/>
      <w:i/>
      <w:iCs/>
      <w:color w:val="2F5496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Calibri Light" w:eastAsia="Times New Roman" w:hAnsi="Calibri Light" w:cs="Times New Roman"/>
      <w:color w:val="2F5496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Calibri Light" w:eastAsia="Times New Roman" w:hAnsi="Calibri Light" w:cs="Times New Roman"/>
      <w:color w:val="1F3763" w:themeShade="7F"/>
    </w:rPr>
  </w:style>
  <w:style w:type="paragraph" w:customStyle="1" w:styleId="MsoNormal">
    <w:name w:val="MsoNormal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theme" Target="theme/theme1.xml" /><Relationship Id="rId8" Type="http://schemas.openxmlformats.org/officeDocument/2006/relationships/styles" Target="style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0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Export HTML To Doc</dc:title>
  <cp:revision>0</cp:revision>
</cp:coreProperties>
</file>