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</w:pPr>
      <w:r>
        <w:rPr>
          <w:rtl w:val="false"/>
        </w:rPr>
      </w:r>
      <w:r/>
    </w:p>
    <w:tbl>
      <w:tblPr>
        <w:tblStyle w:val="822"/>
        <w:tblW w:w="10163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163"/>
        <w:tblGridChange w:id="0">
          <w:tblGrid>
            <w:gridCol w:w="9360"/>
          </w:tblGrid>
        </w:tblGridChange>
      </w:tblGrid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  <w:tabs>
                <w:tab w:val="right" w:pos="1710" w:leader="none"/>
              </w:tabs>
            </w:pPr>
            <w:r>
              <w:rPr>
                <w:b/>
                <w:rtl w:val="false"/>
              </w:rPr>
              <w:t xml:space="preserve">Tesz az. 4                                                                 Dátum: 2021.11.25.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Tesztelő: Tóth József                                             Verzió: 1.0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shd w:fill="F3F3F3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leírása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Az alábbi teszt során Dr. Eccles NPC egyik dialógusának lekérdezését szeretnénk megvizsgálni.</w:t>
            </w:r>
            <w:r>
              <w:rPr>
                <w:rtl w:val="false"/>
              </w:rPr>
              <w:br/>
              <w:t xml:space="preserve">A mi esetünkben a karakternek meg kell dicsérnie a játékosunkat az odafigyelő s törödő munkájáért, miután egy elajándékozott bébi Ubimont felnevelt a 30-as szintig, és az egyik legértékesebb mozdulat tanító tárgyat is megkapjuk tőle.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Előfeltétel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játékosnak a Pitypang Várost fel kell szabadítania, hogy utána megkapja az ajánlatot Dr. Ecclestől, hogy egy elajándékozott bébi Ubimont felneveljen.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lépések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ind w:left="0" w:firstLine="0"/>
              <w:spacing w:lineRule="auto" w:line="240"/>
              <w:rPr>
                <w:b w:val="false"/>
                <w:highlight w:val="none"/>
              </w:rPr>
            </w:pPr>
            <w:r>
              <w:rPr>
                <w:b/>
                <w:rtl w:val="false"/>
              </w:rPr>
              <w:t xml:space="preserve">1. lépés: </w:t>
            </w:r>
            <w:r>
              <w:rPr>
                <w:rtl w:val="false"/>
              </w:rPr>
              <w:t xml:space="preserve">Megkapjuk az ajánlatot, majd megbizonyosodunk arról, hogy kevesebb, mint 6 Ubimon van nálunk.</w:t>
              <w:br/>
            </w:r>
            <w:r>
              <w:rPr>
                <w:b/>
                <w:rtl w:val="false"/>
              </w:rPr>
              <w:t xml:space="preserve">2. lépés: </w:t>
            </w:r>
            <w:r>
              <w:rPr>
                <w:b w:val="false"/>
                <w:rtl w:val="false"/>
              </w:rPr>
              <w:t xml:space="preserve">Egészen addig neveljük, míg el nem éri a 30-as szintet, és ezzel együtt megkezdődik az evolució. (Saltini -&gt; Saltoross)</w:t>
            </w:r>
            <w:r>
              <w:rPr>
                <w:b w:val="false"/>
              </w:rPr>
            </w:r>
            <w:r/>
          </w:p>
          <w:p>
            <w:pPr>
              <w:contextualSpacing w:val="false"/>
              <w:ind w:left="0" w:firstLine="0"/>
              <w:spacing w:lineRule="auto" w:line="240"/>
              <w:rPr>
                <w:b w:val="false"/>
              </w:rPr>
            </w:pPr>
            <w:r>
              <w:rPr>
                <w:b/>
                <w:highlight w:val="none"/>
                <w:rtl w:val="false"/>
              </w:rPr>
              <w:t xml:space="preserve">3. lépés:</w:t>
            </w:r>
            <w:r>
              <w:rPr>
                <w:b w:val="false"/>
                <w:highlight w:val="none"/>
                <w:rtl w:val="false"/>
              </w:rPr>
              <w:t xml:space="preserve"> Visszatérünk Dr. Eccles laboratoriuámba, és a kulcs Ubimonnal együtt a cselekvés gombot megnyomva várjuk a megfelelő dialógust.</w:t>
            </w:r>
            <w:r>
              <w:rPr>
                <w:b w:val="false"/>
                <w:highlight w:val="none"/>
                <w:rtl w:val="false"/>
              </w:rPr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Paraméterek, beállítások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rtl w:val="false"/>
              </w:rPr>
              <w:t xml:space="preserve">OS: EndeavourOS Linux 5.15.4-arch1-1 64 bit</w:t>
            </w:r>
            <w:r/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  <w:t xml:space="preserve">CPU: AMD Ryzen 5 2600</w:t>
            </w:r>
            <w:r>
              <w:rPr>
                <w:highlight w:val="none"/>
              </w:rPr>
            </w:r>
            <w:r/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  <w:rtl w:val="false"/>
              </w:rPr>
              <w:t xml:space="preserve">VGA: GTX 750 Ti (2GB VRAM)</w:t>
            </w:r>
            <w:r>
              <w:rPr>
                <w:highlight w:val="none"/>
                <w:rtl w:val="false"/>
              </w:rPr>
            </w:r>
            <w:r/>
          </w:p>
          <w:p>
            <w:pPr>
              <w:contextualSpacing w:val="false"/>
              <w:spacing w:lineRule="auto" w:line="240"/>
              <w:rPr>
                <w:highlight w:val="none"/>
              </w:rPr>
            </w:pPr>
            <w:r>
              <w:rPr>
                <w:highlight w:val="none"/>
                <w:rtl w:val="false"/>
              </w:rPr>
              <w:t xml:space="preserve">RAM: 16 GB DDR4 3200MHz</w:t>
            </w:r>
            <w:r>
              <w:rPr>
                <w:highlight w:val="none"/>
                <w:rtl w:val="false"/>
              </w:rPr>
            </w:r>
            <w:r/>
          </w:p>
          <w:p>
            <w:pPr>
              <w:contextualSpacing w:val="false"/>
              <w:spacing w:lineRule="auto" w:line="240"/>
            </w:pPr>
            <w:r>
              <w:rPr>
                <w:highlight w:val="none"/>
                <w:rtl w:val="false"/>
              </w:rPr>
              <w:t xml:space="preserve">Gyári játék beállítások, billentyűzet és egér használata </w:t>
            </w:r>
            <w:r>
              <w:rPr>
                <w:highlight w:val="none"/>
                <w:rtl w:val="false"/>
              </w:rPr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Eredmények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doktor elismeri a jó cselekedeteinket, és át is nyújtja a tárgyat. Azonban a tárgy sose kerül hozzánk, hiszen a karakterünk hátizsákja előtte már tele volt, és az NPC nem tett ezen előforduló eset között különbséget.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Elvárt eredmények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doktor elismeri a jó cselekedeteinket, és át is nyújta a tárgyat. Ha a hátizsák tele van, akkor felszabadításra kerül sor, és egy másik dialógust követve, újra elkérhetjük </w:t>
            </w:r>
            <w:r>
              <w:rPr>
                <w:rtl w:val="false"/>
              </w:rPr>
              <w:t xml:space="preserve">a tárgyat </w:t>
            </w:r>
            <w:r/>
            <w:r>
              <w:rPr>
                <w:rtl w:val="false"/>
              </w:rPr>
              <w:t xml:space="preserve">az NPC-től.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Utó hatások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A tárgy nem szerezhető meg.</w:t>
            </w:r>
            <w:r/>
          </w:p>
        </w:tc>
      </w:tr>
      <w:tr>
        <w:trPr/>
        <w:tc>
          <w:tcPr>
            <w:shd w:fill="EFEFEF" w:color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Megjegyzések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  <w:t xml:space="preserve">Szükség lesz egy patch-re, nehogy váratlan meglepetés érje azon játékosokat is, akik nagyon megdolgoztak a mozdulat tanító tárgyért.</w:t>
            </w:r>
            <w:r/>
          </w:p>
        </w:tc>
      </w:tr>
      <w:tr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contextualSpacing w:val="false"/>
              <w:spacing w:lineRule="auto" w:line="240"/>
            </w:pPr>
            <w:r>
              <w:rPr>
                <w:b/>
                <w:rtl w:val="false"/>
              </w:rPr>
              <w:t xml:space="preserve">Teszt eredmény</w:t>
            </w:r>
            <w:r>
              <w:rPr>
                <w:rtl w:val="false"/>
              </w:rPr>
            </w:r>
            <w:r/>
          </w:p>
          <w:tbl>
            <w:tblPr>
              <w:tblStyle w:val="821"/>
              <w:tblW w:w="4535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  <w:tblGridChange w:id="1">
                <w:tblGrid>
                  <w:gridCol w:w="2267"/>
                  <w:gridCol w:w="2267"/>
                </w:tblGrid>
              </w:tblGridChange>
            </w:tblGrid>
            <w:tr>
              <w:trPr/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center"/>
                  <w:textDirection w:val="lrTb"/>
                  <w:noWrap w:val="false"/>
                </w:tcPr>
                <w:p>
                  <w:pPr>
                    <w:contextualSpacing w:val="false"/>
                    <w:jc w:val="center"/>
                    <w:spacing w:lineRule="auto" w:line="240"/>
                    <w:rPr>
                      <w:b w:val="false"/>
                    </w:rPr>
                  </w:pPr>
                  <w:r>
                    <w:rPr>
                      <w:b w:val="false"/>
                      <w:sz w:val="28"/>
                      <w:szCs w:val="28"/>
                      <w:rtl w:val="false"/>
                    </w:rPr>
                    <w:t xml:space="preserve">Átment</w:t>
                  </w:r>
                  <w:r>
                    <w:rPr>
                      <w:b w:val="false"/>
                    </w:rPr>
                  </w:r>
                  <w:r/>
                </w:p>
              </w:tc>
              <w:tc>
                <w:tcPr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center"/>
                  <w:textDirection w:val="lrTb"/>
                  <w:noWrap w:val="false"/>
                </w:tcPr>
                <w:p>
                  <w:pPr>
                    <w:contextualSpacing w:val="false"/>
                    <w:jc w:val="center"/>
                    <w:spacing w:lineRule="auto" w:line="240"/>
                    <w:rPr>
                      <w:highlight w:val="red"/>
                    </w:rPr>
                  </w:pPr>
                  <w:r>
                    <w:rPr>
                      <w:b/>
                      <w:sz w:val="28"/>
                      <w:szCs w:val="28"/>
                      <w:highlight w:val="red"/>
                      <w:rtl w:val="false"/>
                    </w:rPr>
                    <w:t xml:space="preserve">Bukott</w:t>
                  </w:r>
                  <w:r>
                    <w:rPr>
                      <w:highlight w:val="red"/>
                    </w:rPr>
                  </w:r>
                  <w:r/>
                </w:p>
              </w:tc>
            </w:tr>
          </w:tbl>
          <w:p>
            <w:pPr>
              <w:contextualSpacing w:val="false"/>
              <w:spacing w:lineRule="auto" w:line="240"/>
            </w:pPr>
            <w:r>
              <w:rPr>
                <w:rtl w:val="false"/>
              </w:rPr>
            </w:r>
            <w:r/>
          </w:p>
        </w:tc>
      </w:tr>
    </w:tbl>
    <w:p>
      <w:pPr>
        <w:contextualSpacing w:val="false"/>
      </w:pPr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850" w:right="1134" w:bottom="850" w:left="1134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000000"/>
        <w:sz w:val="22"/>
        <w:szCs w:val="22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13"/>
    <w:uiPriority w:val="9"/>
    <w:rPr>
      <w:rFonts w:ascii="Arial" w:hAnsi="Arial" w:cs="Arial" w:eastAsia="Arial"/>
      <w:sz w:val="40"/>
      <w:szCs w:val="40"/>
    </w:rPr>
  </w:style>
  <w:style w:type="character" w:styleId="641">
    <w:name w:val="Heading 2 Char"/>
    <w:link w:val="814"/>
    <w:uiPriority w:val="9"/>
    <w:rPr>
      <w:rFonts w:ascii="Arial" w:hAnsi="Arial" w:cs="Arial" w:eastAsia="Arial"/>
      <w:sz w:val="34"/>
    </w:rPr>
  </w:style>
  <w:style w:type="character" w:styleId="642">
    <w:name w:val="Heading 3 Char"/>
    <w:link w:val="815"/>
    <w:uiPriority w:val="9"/>
    <w:rPr>
      <w:rFonts w:ascii="Arial" w:hAnsi="Arial" w:cs="Arial" w:eastAsia="Arial"/>
      <w:sz w:val="30"/>
      <w:szCs w:val="30"/>
    </w:rPr>
  </w:style>
  <w:style w:type="character" w:styleId="643">
    <w:name w:val="Heading 4 Char"/>
    <w:link w:val="816"/>
    <w:uiPriority w:val="9"/>
    <w:rPr>
      <w:rFonts w:ascii="Arial" w:hAnsi="Arial" w:cs="Arial" w:eastAsia="Arial"/>
      <w:b/>
      <w:bCs/>
      <w:sz w:val="26"/>
      <w:szCs w:val="26"/>
    </w:rPr>
  </w:style>
  <w:style w:type="character" w:styleId="644">
    <w:name w:val="Heading 5 Char"/>
    <w:link w:val="817"/>
    <w:uiPriority w:val="9"/>
    <w:rPr>
      <w:rFonts w:ascii="Arial" w:hAnsi="Arial" w:cs="Arial" w:eastAsia="Arial"/>
      <w:b/>
      <w:bCs/>
      <w:sz w:val="24"/>
      <w:szCs w:val="24"/>
    </w:rPr>
  </w:style>
  <w:style w:type="character" w:styleId="645">
    <w:name w:val="Heading 6 Char"/>
    <w:link w:val="818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qFormat/>
    <w:uiPriority w:val="1"/>
    <w:pPr>
      <w:spacing w:lineRule="auto" w:line="240" w:after="0" w:before="0"/>
    </w:pPr>
  </w:style>
  <w:style w:type="character" w:styleId="655">
    <w:name w:val="Title Char"/>
    <w:link w:val="819"/>
    <w:uiPriority w:val="10"/>
    <w:rPr>
      <w:sz w:val="48"/>
      <w:szCs w:val="48"/>
    </w:rPr>
  </w:style>
  <w:style w:type="character" w:styleId="656">
    <w:name w:val="Subtitle Char"/>
    <w:link w:val="820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table" w:styleId="812" w:default="1">
    <w:name w:val="Table Normal"/>
    <w:tblPr/>
  </w:style>
  <w:style w:type="paragraph" w:styleId="813">
    <w:name w:val="Heading 1"/>
    <w:basedOn w:val="811"/>
    <w:next w:val="811"/>
    <w:rPr>
      <w:rFonts w:ascii="Trebuchet MS" w:hAnsi="Trebuchet MS" w:cs="Trebuchet MS" w:eastAsia="Trebuchet MS"/>
      <w:sz w:val="32"/>
      <w:szCs w:val="32"/>
    </w:rPr>
    <w:pPr>
      <w:contextualSpacing w:val="true"/>
      <w:keepLines/>
      <w:keepNext/>
      <w:spacing w:after="0" w:before="200"/>
    </w:pPr>
  </w:style>
  <w:style w:type="paragraph" w:styleId="814">
    <w:name w:val="Heading 2"/>
    <w:basedOn w:val="811"/>
    <w:next w:val="811"/>
    <w:rPr>
      <w:rFonts w:ascii="Trebuchet MS" w:hAnsi="Trebuchet MS" w:cs="Trebuchet MS" w:eastAsia="Trebuchet MS"/>
      <w:b/>
      <w:sz w:val="26"/>
      <w:szCs w:val="26"/>
    </w:rPr>
    <w:pPr>
      <w:contextualSpacing w:val="true"/>
      <w:keepLines/>
      <w:keepNext/>
      <w:spacing w:after="0" w:before="200"/>
    </w:pPr>
  </w:style>
  <w:style w:type="paragraph" w:styleId="815">
    <w:name w:val="Heading 3"/>
    <w:basedOn w:val="811"/>
    <w:next w:val="811"/>
    <w:rPr>
      <w:rFonts w:ascii="Trebuchet MS" w:hAnsi="Trebuchet MS" w:cs="Trebuchet MS" w:eastAsia="Trebuchet MS"/>
      <w:b/>
      <w:color w:val="666666"/>
      <w:sz w:val="24"/>
      <w:szCs w:val="24"/>
    </w:rPr>
    <w:pPr>
      <w:contextualSpacing w:val="true"/>
      <w:keepLines/>
      <w:keepNext/>
      <w:spacing w:after="0" w:before="160"/>
    </w:pPr>
  </w:style>
  <w:style w:type="paragraph" w:styleId="816">
    <w:name w:val="Heading 4"/>
    <w:basedOn w:val="811"/>
    <w:next w:val="811"/>
    <w:rPr>
      <w:rFonts w:ascii="Trebuchet MS" w:hAnsi="Trebuchet MS" w:cs="Trebuchet MS" w:eastAsia="Trebuchet MS"/>
      <w:color w:val="666666"/>
      <w:sz w:val="22"/>
      <w:szCs w:val="22"/>
      <w:u w:val="single"/>
    </w:rPr>
    <w:pPr>
      <w:contextualSpacing w:val="true"/>
      <w:keepLines/>
      <w:keepNext/>
      <w:spacing w:after="0" w:before="160"/>
    </w:pPr>
  </w:style>
  <w:style w:type="paragraph" w:styleId="817">
    <w:name w:val="Heading 5"/>
    <w:basedOn w:val="811"/>
    <w:next w:val="811"/>
    <w:rPr>
      <w:rFonts w:ascii="Trebuchet MS" w:hAnsi="Trebuchet MS" w:cs="Trebuchet MS" w:eastAsia="Trebuchet MS"/>
      <w:color w:val="666666"/>
      <w:sz w:val="22"/>
      <w:szCs w:val="22"/>
    </w:rPr>
    <w:pPr>
      <w:contextualSpacing w:val="true"/>
      <w:keepLines/>
      <w:keepNext/>
      <w:spacing w:after="0" w:before="160"/>
    </w:pPr>
  </w:style>
  <w:style w:type="paragraph" w:styleId="818">
    <w:name w:val="Heading 6"/>
    <w:basedOn w:val="811"/>
    <w:next w:val="811"/>
    <w:rPr>
      <w:rFonts w:ascii="Trebuchet MS" w:hAnsi="Trebuchet MS" w:cs="Trebuchet MS" w:eastAsia="Trebuchet MS"/>
      <w:i/>
      <w:color w:val="666666"/>
      <w:sz w:val="22"/>
      <w:szCs w:val="22"/>
    </w:rPr>
    <w:pPr>
      <w:contextualSpacing w:val="true"/>
      <w:keepLines/>
      <w:keepNext/>
      <w:spacing w:after="0" w:before="160"/>
    </w:pPr>
  </w:style>
  <w:style w:type="paragraph" w:styleId="819">
    <w:name w:val="Title"/>
    <w:basedOn w:val="811"/>
    <w:next w:val="811"/>
    <w:rPr>
      <w:rFonts w:ascii="Trebuchet MS" w:hAnsi="Trebuchet MS" w:cs="Trebuchet MS" w:eastAsia="Trebuchet MS"/>
      <w:sz w:val="42"/>
      <w:szCs w:val="42"/>
    </w:rPr>
    <w:pPr>
      <w:contextualSpacing w:val="true"/>
      <w:keepLines/>
      <w:keepNext/>
      <w:spacing w:after="0" w:before="0"/>
    </w:pPr>
  </w:style>
  <w:style w:type="paragraph" w:styleId="820">
    <w:name w:val="Subtitle"/>
    <w:basedOn w:val="811"/>
    <w:next w:val="811"/>
    <w:rPr>
      <w:rFonts w:ascii="Trebuchet MS" w:hAnsi="Trebuchet MS" w:cs="Trebuchet MS" w:eastAsia="Trebuchet MS"/>
      <w:i/>
      <w:color w:val="666666"/>
      <w:sz w:val="26"/>
      <w:szCs w:val="26"/>
    </w:rPr>
    <w:pPr>
      <w:contextualSpacing w:val="true"/>
      <w:keepLines/>
      <w:keepNext/>
      <w:spacing w:after="200" w:before="0"/>
    </w:pPr>
  </w:style>
  <w:style w:type="table" w:styleId="821">
    <w:name w:val="StGen0"/>
    <w:basedOn w:val="812"/>
    <w:tblPr>
      <w:tblStyleRowBandSize w:val="1"/>
      <w:tblStyleColBandSize w:val="1"/>
    </w:tblPr>
  </w:style>
  <w:style w:type="table" w:styleId="822">
    <w:name w:val="StGen1"/>
    <w:basedOn w:val="812"/>
    <w:tblPr>
      <w:tblStyleRowBandSize w:val="1"/>
      <w:tblStyleColBandSize w:val="1"/>
    </w:tblPr>
  </w:style>
  <w:style w:type="character" w:styleId="823" w:default="1">
    <w:name w:val="Default Paragraph Font"/>
    <w:uiPriority w:val="1"/>
    <w:semiHidden/>
    <w:unhideWhenUsed/>
  </w:style>
  <w:style w:type="numbering" w:styleId="82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2021-11-25T13:31:22Z</dcterms:modified>
</cp:coreProperties>
</file>