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</w:pPr>
      <w:r>
        <w:rPr>
          <w:rtl w:val="false"/>
        </w:rPr>
      </w:r>
      <w:r/>
    </w:p>
    <w:tbl>
      <w:tblPr>
        <w:tblStyle w:val="607"/>
        <w:tblW w:w="10163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163"/>
        <w:tblGridChange w:id="0">
          <w:tblGrid>
            <w:gridCol w:w="9360"/>
          </w:tblGrid>
        </w:tblGridChange>
      </w:tblGrid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  <w:tabs>
                <w:tab w:val="right" w:pos="1710" w:leader="none"/>
              </w:tabs>
            </w:pPr>
            <w:r>
              <w:rPr>
                <w:b/>
                <w:rtl w:val="false"/>
              </w:rPr>
              <w:t xml:space="preserve">Tesz az. 5                                                                 Dátum: 2021.11.25.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Tesztelő: Tóth József                                             Verzió: 1.0.1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shd w:fill="F3F3F3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leírása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Egy javítást végeztünk a Dr. Eccles NPC egyik dialógusának lekérdezésénél való teszt alatt.</w:t>
            </w:r>
            <w:r>
              <w:rPr>
                <w:rtl w:val="false"/>
              </w:rPr>
              <w:br/>
              <w:t xml:space="preserve">Most egy újabb tesztet futattunk le, hátha egy mentő dialógus előjön, és később miután van elég szabad hely az Inventory-ban, el tudjuk kérni a tárgyat.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Előfeltétel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játékosnak a Pitypang Várost fel kell szabadítania, hogy utána megkapja az ajánlatot Dr. Ecclestől, hogy egy elajándékozott bébi Ubimont felneveljen.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lépések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ind w:left="0" w:firstLine="0"/>
              <w:spacing w:lineRule="auto" w:line="240"/>
              <w:rPr>
                <w:b w:val="false"/>
                <w:highlight w:val="none"/>
              </w:rPr>
            </w:pPr>
            <w:r>
              <w:rPr>
                <w:b/>
                <w:rtl w:val="false"/>
              </w:rPr>
              <w:t xml:space="preserve">1. lépés: </w:t>
            </w:r>
            <w:r>
              <w:rPr>
                <w:rtl w:val="false"/>
              </w:rPr>
              <w:t xml:space="preserve">Megkapjuk az ajánlatot, majd megbizonyosodunk arról, hogy kevesebb, mint 6 Ubimon van nálunk.</w:t>
              <w:br/>
            </w:r>
            <w:r>
              <w:rPr>
                <w:b/>
                <w:rtl w:val="false"/>
              </w:rPr>
              <w:t xml:space="preserve">2. lépés: </w:t>
            </w:r>
            <w:r>
              <w:rPr>
                <w:b w:val="false"/>
                <w:rtl w:val="false"/>
              </w:rPr>
              <w:t xml:space="preserve">Egészen addig neveljük, míg el nem éri a 30-as szintet, és ezzel együtt megkezdődik az evolució. (Saltini -&gt; Saltoross)</w:t>
            </w:r>
            <w:r>
              <w:rPr>
                <w:b w:val="false"/>
              </w:rPr>
            </w:r>
          </w:p>
          <w:p>
            <w:pPr>
              <w:contextualSpacing w:val="false"/>
              <w:ind w:left="0" w:firstLine="0"/>
              <w:spacing w:lineRule="auto" w:line="240"/>
              <w:rPr>
                <w:b w:val="false"/>
              </w:rPr>
            </w:pPr>
            <w:r>
              <w:rPr>
                <w:b/>
                <w:highlight w:val="none"/>
                <w:rtl w:val="false"/>
              </w:rPr>
              <w:t xml:space="preserve">3. lépés:</w:t>
            </w:r>
            <w:r>
              <w:rPr>
                <w:b w:val="false"/>
                <w:highlight w:val="none"/>
                <w:rtl w:val="false"/>
              </w:rPr>
              <w:t xml:space="preserve"> Visszatérünk Dr. Eccles laboratoriuámba, és a kulcs Ubimonnal együtt a cselekvés gombot megnyomva várjuk a megfelelő dialógust.</w:t>
            </w:r>
            <w:r>
              <w:rPr>
                <w:b w:val="false"/>
                <w:highlight w:val="none"/>
                <w:rtl w:val="false"/>
              </w:rPr>
            </w:r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Paraméterek, beállítások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rtl w:val="false"/>
              </w:rPr>
              <w:t xml:space="preserve">OS: EndeavourOS Linux 5.15.4-arch1-1 64 bit</w:t>
            </w:r>
            <w:r/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  <w:t xml:space="preserve">CPU: AMD Ryzen 5 2600</w:t>
            </w:r>
            <w:r>
              <w:rPr>
                <w:highlight w:val="none"/>
              </w:rPr>
            </w:r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  <w:rtl w:val="false"/>
              </w:rPr>
              <w:t xml:space="preserve">VGA: GTX 750 Ti (2GB VRAM)</w:t>
            </w:r>
            <w:r>
              <w:rPr>
                <w:highlight w:val="none"/>
                <w:rtl w:val="false"/>
              </w:rPr>
            </w:r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  <w:rtl w:val="false"/>
              </w:rPr>
              <w:t xml:space="preserve">RAM: 16 GB DDR4 3200MHz</w:t>
            </w:r>
            <w:r>
              <w:rPr>
                <w:highlight w:val="none"/>
                <w:rtl w:val="false"/>
              </w:rPr>
            </w:r>
          </w:p>
          <w:p>
            <w:pPr>
              <w:contextualSpacing w:val="false"/>
              <w:spacing w:lineRule="auto" w:line="240"/>
            </w:pPr>
            <w:r>
              <w:rPr>
                <w:highlight w:val="none"/>
                <w:rtl w:val="false"/>
              </w:rPr>
              <w:t xml:space="preserve">Gyári játék beállítások, billentyűzet és egér használata </w:t>
            </w:r>
            <w:r>
              <w:rPr>
                <w:highlight w:val="none"/>
                <w:rtl w:val="false"/>
              </w:rPr>
            </w:r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Eredmények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doktor elismeri a jó cselekedeteinket, és át is nyújtja a tárgyat. </w:t>
            </w:r>
            <w:r>
              <w:rPr>
                <w:rtl w:val="false"/>
              </w:rPr>
              <w:t xml:space="preserve">Ha a hátizsák tele van, akkor felszabadításra kerül sor, és egy másik dialógust követve, újra elkérhetjük a tárgyat az NPC-től.</w:t>
            </w:r>
            <w:r/>
            <w:r>
              <w:rPr>
                <w:rtl w:val="false"/>
              </w:rPr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Elvárt eredmények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doktor elismeri a jó cselekedeteinket, és át is nyújta a tárgyat. Ha a hátizsák tele van, akkor felszabadításra kerül sor, és egy másik dialógust követve, újra elkérhetjük a tárgyat az NPC-től.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Utó hatások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Gond nélkül el tudjuk kérni a tárgyat később is, miután a hátizsákunk kapacitása nem érte el a maximumot.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Megjegyzések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Egyelőre más kombináció esetén sem tapasztalandó hiba ennél a dialógusnál.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eredmény</w:t>
            </w:r>
            <w:r>
              <w:rPr>
                <w:rtl w:val="false"/>
              </w:rPr>
            </w:r>
            <w:r/>
          </w:p>
          <w:tbl>
            <w:tblPr>
              <w:tblStyle w:val="606"/>
              <w:tblW w:w="453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  <w:tblGridChange w:id="1">
                <w:tblGrid>
                  <w:gridCol w:w="2267"/>
                  <w:gridCol w:w="2267"/>
                </w:tblGrid>
              </w:tblGridChange>
            </w:tblGrid>
            <w:tr>
              <w:trPr/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center"/>
                  <w:textDirection w:val="lrTb"/>
                  <w:noWrap w:val="false"/>
                </w:tcPr>
                <w:p>
                  <w:pPr>
                    <w:contextualSpacing w:val="false"/>
                    <w:jc w:val="center"/>
                    <w:spacing w:lineRule="auto" w:line="240"/>
                    <w:rPr>
                      <w:b/>
                      <w:highlight w:val="green"/>
                    </w:rPr>
                  </w:pPr>
                  <w:r>
                    <w:rPr>
                      <w:b/>
                      <w:sz w:val="28"/>
                      <w:szCs w:val="28"/>
                      <w:highlight w:val="green"/>
                      <w:rtl w:val="false"/>
                    </w:rPr>
                    <w:t xml:space="preserve">Átment</w:t>
                  </w:r>
                  <w:r>
                    <w:rPr>
                      <w:b/>
                      <w:highlight w:val="green"/>
                    </w:rPr>
                  </w:r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center"/>
                  <w:textDirection w:val="lrTb"/>
                  <w:noWrap w:val="false"/>
                </w:tcPr>
                <w:p>
                  <w:pPr>
                    <w:contextualSpacing w:val="false"/>
                    <w:jc w:val="center"/>
                    <w:spacing w:lineRule="auto" w:line="240"/>
                    <w:rPr>
                      <w:b w:val="false"/>
                      <w:highlight w:val="none"/>
                    </w:rPr>
                  </w:pPr>
                  <w:r>
                    <w:rPr>
                      <w:b w:val="false"/>
                      <w:sz w:val="28"/>
                      <w:szCs w:val="28"/>
                      <w:highlight w:val="none"/>
                      <w:rtl w:val="false"/>
                    </w:rPr>
                    <w:t xml:space="preserve">Bukot</w:t>
                  </w:r>
                  <w:r>
                    <w:rPr>
                      <w:b w:val="false"/>
                      <w:sz w:val="28"/>
                      <w:szCs w:val="28"/>
                      <w:highlight w:val="none"/>
                      <w:rtl w:val="false"/>
                    </w:rPr>
                    <w:t xml:space="preserve">t</w:t>
                  </w:r>
                  <w:r>
                    <w:rPr>
                      <w:b w:val="false"/>
                      <w:sz w:val="28"/>
                      <w:szCs w:val="28"/>
                      <w:highlight w:val="none"/>
                      <w:rtl w:val="false"/>
                    </w:rPr>
                  </w:r>
                  <w:r>
                    <w:rPr>
                      <w:b w:val="false"/>
                      <w:highlight w:val="none"/>
                    </w:rPr>
                  </w:r>
                </w:p>
              </w:tc>
            </w:tr>
          </w:tbl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</w:r>
            <w:r/>
          </w:p>
        </w:tc>
      </w:tr>
    </w:tbl>
    <w:p>
      <w:pPr>
        <w:contextualSpacing w:val="false"/>
      </w:pPr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850" w:right="1134" w:bottom="850" w:left="1134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000000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59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6"/>
    <w:next w:val="59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6"/>
    <w:next w:val="59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6"/>
    <w:next w:val="59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6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04"/>
    <w:uiPriority w:val="10"/>
    <w:rPr>
      <w:sz w:val="48"/>
      <w:szCs w:val="48"/>
    </w:rPr>
  </w:style>
  <w:style w:type="character" w:styleId="35">
    <w:name w:val="Subtitle Char"/>
    <w:basedOn w:val="9"/>
    <w:link w:val="605"/>
    <w:uiPriority w:val="11"/>
    <w:rPr>
      <w:sz w:val="24"/>
      <w:szCs w:val="24"/>
    </w:rPr>
  </w:style>
  <w:style w:type="paragraph" w:styleId="36">
    <w:name w:val="Quote"/>
    <w:basedOn w:val="596"/>
    <w:next w:val="59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6"/>
    <w:next w:val="596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6"/>
    <w:next w:val="59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6"/>
    <w:next w:val="59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6"/>
    <w:next w:val="59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6"/>
    <w:next w:val="59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6"/>
    <w:next w:val="59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6"/>
    <w:next w:val="59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6"/>
    <w:next w:val="59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6"/>
    <w:next w:val="59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6"/>
    <w:next w:val="59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6"/>
    <w:next w:val="59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6"/>
    <w:next w:val="596"/>
    <w:uiPriority w:val="99"/>
    <w:unhideWhenUsed/>
    <w:pPr>
      <w:spacing w:after="0" w:afterAutospacing="0"/>
    </w:pPr>
  </w:style>
  <w:style w:type="paragraph" w:styleId="596" w:default="1">
    <w:name w:val="Normal"/>
  </w:style>
  <w:style w:type="table" w:styleId="597" w:default="1">
    <w:name w:val="Table Normal"/>
    <w:tblPr/>
  </w:style>
  <w:style w:type="paragraph" w:styleId="598">
    <w:name w:val="Heading 1"/>
    <w:basedOn w:val="596"/>
    <w:next w:val="596"/>
    <w:rPr>
      <w:rFonts w:ascii="Trebuchet MS" w:hAnsi="Trebuchet MS" w:cs="Trebuchet MS" w:eastAsia="Trebuchet MS"/>
      <w:sz w:val="32"/>
      <w:szCs w:val="32"/>
    </w:rPr>
    <w:pPr>
      <w:contextualSpacing w:val="true"/>
      <w:keepLines/>
      <w:keepNext/>
      <w:spacing w:after="0" w:before="200"/>
    </w:pPr>
  </w:style>
  <w:style w:type="paragraph" w:styleId="599">
    <w:name w:val="Heading 2"/>
    <w:basedOn w:val="596"/>
    <w:next w:val="596"/>
    <w:rPr>
      <w:rFonts w:ascii="Trebuchet MS" w:hAnsi="Trebuchet MS" w:cs="Trebuchet MS" w:eastAsia="Trebuchet MS"/>
      <w:b/>
      <w:sz w:val="26"/>
      <w:szCs w:val="26"/>
    </w:rPr>
    <w:pPr>
      <w:contextualSpacing w:val="true"/>
      <w:keepLines/>
      <w:keepNext/>
      <w:spacing w:after="0" w:before="200"/>
    </w:pPr>
  </w:style>
  <w:style w:type="paragraph" w:styleId="600">
    <w:name w:val="Heading 3"/>
    <w:basedOn w:val="596"/>
    <w:next w:val="596"/>
    <w:rPr>
      <w:rFonts w:ascii="Trebuchet MS" w:hAnsi="Trebuchet MS" w:cs="Trebuchet MS" w:eastAsia="Trebuchet MS"/>
      <w:b/>
      <w:color w:val="666666"/>
      <w:sz w:val="24"/>
      <w:szCs w:val="24"/>
    </w:rPr>
    <w:pPr>
      <w:contextualSpacing w:val="true"/>
      <w:keepLines/>
      <w:keepNext/>
      <w:spacing w:after="0" w:before="160"/>
    </w:pPr>
  </w:style>
  <w:style w:type="paragraph" w:styleId="601">
    <w:name w:val="Heading 4"/>
    <w:basedOn w:val="596"/>
    <w:next w:val="596"/>
    <w:rPr>
      <w:rFonts w:ascii="Trebuchet MS" w:hAnsi="Trebuchet MS" w:cs="Trebuchet MS" w:eastAsia="Trebuchet MS"/>
      <w:color w:val="666666"/>
      <w:sz w:val="22"/>
      <w:szCs w:val="22"/>
      <w:u w:val="single"/>
    </w:rPr>
    <w:pPr>
      <w:contextualSpacing w:val="true"/>
      <w:keepLines/>
      <w:keepNext/>
      <w:spacing w:after="0" w:before="160"/>
    </w:pPr>
  </w:style>
  <w:style w:type="paragraph" w:styleId="602">
    <w:name w:val="Heading 5"/>
    <w:basedOn w:val="596"/>
    <w:next w:val="596"/>
    <w:rPr>
      <w:rFonts w:ascii="Trebuchet MS" w:hAnsi="Trebuchet MS" w:cs="Trebuchet MS" w:eastAsia="Trebuchet MS"/>
      <w:color w:val="666666"/>
      <w:sz w:val="22"/>
      <w:szCs w:val="22"/>
    </w:rPr>
    <w:pPr>
      <w:contextualSpacing w:val="true"/>
      <w:keepLines/>
      <w:keepNext/>
      <w:spacing w:after="0" w:before="160"/>
    </w:pPr>
  </w:style>
  <w:style w:type="paragraph" w:styleId="603">
    <w:name w:val="Heading 6"/>
    <w:basedOn w:val="596"/>
    <w:next w:val="596"/>
    <w:rPr>
      <w:rFonts w:ascii="Trebuchet MS" w:hAnsi="Trebuchet MS" w:cs="Trebuchet MS" w:eastAsia="Trebuchet MS"/>
      <w:i/>
      <w:color w:val="666666"/>
      <w:sz w:val="22"/>
      <w:szCs w:val="22"/>
    </w:rPr>
    <w:pPr>
      <w:contextualSpacing w:val="true"/>
      <w:keepLines/>
      <w:keepNext/>
      <w:spacing w:after="0" w:before="160"/>
    </w:pPr>
  </w:style>
  <w:style w:type="paragraph" w:styleId="604">
    <w:name w:val="Title"/>
    <w:basedOn w:val="596"/>
    <w:next w:val="596"/>
    <w:rPr>
      <w:rFonts w:ascii="Trebuchet MS" w:hAnsi="Trebuchet MS" w:cs="Trebuchet MS" w:eastAsia="Trebuchet MS"/>
      <w:sz w:val="42"/>
      <w:szCs w:val="42"/>
    </w:rPr>
    <w:pPr>
      <w:contextualSpacing w:val="true"/>
      <w:keepLines/>
      <w:keepNext/>
      <w:spacing w:after="0" w:before="0"/>
    </w:pPr>
  </w:style>
  <w:style w:type="paragraph" w:styleId="605">
    <w:name w:val="Subtitle"/>
    <w:basedOn w:val="596"/>
    <w:next w:val="596"/>
    <w:rPr>
      <w:rFonts w:ascii="Trebuchet MS" w:hAnsi="Trebuchet MS" w:cs="Trebuchet MS" w:eastAsia="Trebuchet MS"/>
      <w:i/>
      <w:color w:val="666666"/>
      <w:sz w:val="26"/>
      <w:szCs w:val="26"/>
    </w:rPr>
    <w:pPr>
      <w:contextualSpacing w:val="true"/>
      <w:keepLines/>
      <w:keepNext/>
      <w:spacing w:after="200" w:before="0"/>
    </w:pPr>
  </w:style>
  <w:style w:type="table" w:styleId="606">
    <w:name w:val="StGen0"/>
    <w:basedOn w:val="597"/>
    <w:tblPr>
      <w:tblStyleRowBandSize w:val="1"/>
      <w:tblStyleColBandSize w:val="1"/>
    </w:tblPr>
  </w:style>
  <w:style w:type="table" w:styleId="607">
    <w:name w:val="StGen1"/>
    <w:basedOn w:val="597"/>
    <w:tblPr>
      <w:tblStyleRowBandSize w:val="1"/>
      <w:tblStyleColBandSize w:val="1"/>
    </w:tblPr>
  </w:style>
  <w:style w:type="character" w:styleId="859" w:default="1">
    <w:name w:val="Default Paragraph Font"/>
    <w:uiPriority w:val="1"/>
    <w:semiHidden/>
    <w:unhideWhenUsed/>
  </w:style>
  <w:style w:type="numbering" w:styleId="86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