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14573" w14:textId="77777777"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 xml:space="preserve">Supplement </w:t>
      </w:r>
      <w:proofErr w:type="gramStart"/>
      <w:r w:rsidRPr="00EA3E1D">
        <w:rPr>
          <w:rFonts w:ascii="Times New Roman" w:hAnsi="Times New Roman" w:cs="Times New Roman"/>
          <w:sz w:val="20"/>
          <w:szCs w:val="20"/>
        </w:rPr>
        <w:t>of</w:t>
      </w:r>
      <w:proofErr w:type="gramEnd"/>
      <w:r w:rsidRPr="00EA3E1D">
        <w:rPr>
          <w:rFonts w:ascii="Times New Roman" w:hAnsi="Times New Roman" w:cs="Times New Roman"/>
          <w:sz w:val="20"/>
          <w:szCs w:val="20"/>
        </w:rPr>
        <w:t>:</w:t>
      </w:r>
    </w:p>
    <w:p w14:paraId="1E623EE5" w14:textId="77777777" w:rsidR="00FC71A1" w:rsidRPr="00EA3E1D" w:rsidRDefault="00FC71A1" w:rsidP="00FC71A1">
      <w:pPr>
        <w:jc w:val="both"/>
        <w:rPr>
          <w:rFonts w:ascii="Times New Roman" w:hAnsi="Times New Roman" w:cs="Times New Roman"/>
          <w:b/>
          <w:sz w:val="24"/>
          <w:szCs w:val="20"/>
        </w:rPr>
      </w:pPr>
      <w:r w:rsidRPr="00EA3E1D">
        <w:rPr>
          <w:rFonts w:ascii="Times New Roman" w:hAnsi="Times New Roman" w:cs="Times New Roman"/>
          <w:b/>
          <w:sz w:val="24"/>
          <w:szCs w:val="20"/>
        </w:rPr>
        <w:t>Associations of greenness, public parks and blue space with cardiovascular and respiratory disease hospitalization in the US Medicare cohort</w:t>
      </w:r>
    </w:p>
    <w:p w14:paraId="3A13A32B" w14:textId="77777777" w:rsidR="00FC71A1" w:rsidRPr="00EA3E1D" w:rsidRDefault="00FC71A1" w:rsidP="00FC71A1">
      <w:pPr>
        <w:jc w:val="both"/>
        <w:rPr>
          <w:rFonts w:ascii="Times New Roman" w:hAnsi="Times New Roman" w:cs="Times New Roman"/>
          <w:b/>
          <w:bCs/>
          <w:sz w:val="24"/>
          <w:szCs w:val="20"/>
          <w:lang w:val="en-GB"/>
        </w:rPr>
      </w:pPr>
      <w:r w:rsidRPr="00EA3E1D">
        <w:rPr>
          <w:rFonts w:ascii="Times New Roman" w:hAnsi="Times New Roman" w:cs="Times New Roman"/>
          <w:b/>
          <w:bCs/>
          <w:sz w:val="24"/>
          <w:szCs w:val="20"/>
          <w:lang w:val="en-GB"/>
        </w:rPr>
        <w:t>Authors and affiliations:</w:t>
      </w:r>
    </w:p>
    <w:p w14:paraId="1E678981" w14:textId="77777777" w:rsidR="00FC71A1" w:rsidRPr="00EA3E1D" w:rsidRDefault="00FC71A1" w:rsidP="00FC71A1">
      <w:pPr>
        <w:jc w:val="both"/>
        <w:rPr>
          <w:rFonts w:ascii="Times New Roman" w:hAnsi="Times New Roman" w:cs="Times New Roman"/>
          <w:sz w:val="20"/>
          <w:szCs w:val="20"/>
          <w:vertAlign w:val="superscript"/>
          <w:lang w:val="en-GB"/>
        </w:rPr>
      </w:pPr>
      <w:r w:rsidRPr="00EA3E1D">
        <w:rPr>
          <w:rFonts w:ascii="Times New Roman" w:hAnsi="Times New Roman" w:cs="Times New Roman"/>
          <w:sz w:val="20"/>
          <w:szCs w:val="20"/>
          <w:lang w:val="en-GB"/>
        </w:rPr>
        <w:t xml:space="preserve">Jochem O Klompmaker </w:t>
      </w:r>
      <w:r w:rsidRPr="00EA3E1D">
        <w:rPr>
          <w:rFonts w:ascii="Times New Roman" w:hAnsi="Times New Roman" w:cs="Times New Roman"/>
          <w:sz w:val="20"/>
          <w:szCs w:val="20"/>
          <w:vertAlign w:val="superscript"/>
          <w:lang w:val="en-GB"/>
        </w:rPr>
        <w:t>a, b</w:t>
      </w:r>
      <w:r w:rsidRPr="00EA3E1D">
        <w:rPr>
          <w:rFonts w:ascii="Times New Roman" w:hAnsi="Times New Roman" w:cs="Times New Roman"/>
          <w:sz w:val="20"/>
          <w:szCs w:val="20"/>
          <w:lang w:val="en-GB"/>
        </w:rPr>
        <w:t xml:space="preserve">, Francine Laden </w:t>
      </w:r>
      <w:r w:rsidRPr="00EA3E1D">
        <w:rPr>
          <w:rFonts w:ascii="Times New Roman" w:hAnsi="Times New Roman" w:cs="Times New Roman"/>
          <w:sz w:val="20"/>
          <w:szCs w:val="20"/>
          <w:vertAlign w:val="superscript"/>
          <w:lang w:val="en-GB"/>
        </w:rPr>
        <w:t>a, b, c</w:t>
      </w:r>
      <w:r w:rsidRPr="00EA3E1D">
        <w:rPr>
          <w:rFonts w:ascii="Times New Roman" w:hAnsi="Times New Roman" w:cs="Times New Roman"/>
          <w:sz w:val="20"/>
          <w:szCs w:val="20"/>
          <w:lang w:val="en-GB"/>
        </w:rPr>
        <w:t xml:space="preserve">, Matthew H E M Browning </w:t>
      </w:r>
      <w:r w:rsidRPr="00EA3E1D">
        <w:rPr>
          <w:rFonts w:ascii="Times New Roman" w:hAnsi="Times New Roman" w:cs="Times New Roman"/>
          <w:sz w:val="20"/>
          <w:szCs w:val="20"/>
          <w:vertAlign w:val="superscript"/>
          <w:lang w:val="en-GB"/>
        </w:rPr>
        <w:t>d</w:t>
      </w:r>
      <w:r w:rsidRPr="00EA3E1D">
        <w:rPr>
          <w:rFonts w:ascii="Times New Roman" w:hAnsi="Times New Roman" w:cs="Times New Roman"/>
          <w:sz w:val="20"/>
          <w:szCs w:val="20"/>
          <w:lang w:val="en-GB"/>
        </w:rPr>
        <w:t xml:space="preserve">, Francesca Dominici </w:t>
      </w:r>
      <w:r w:rsidRPr="00EA3E1D">
        <w:rPr>
          <w:rFonts w:ascii="Times New Roman" w:hAnsi="Times New Roman" w:cs="Times New Roman"/>
          <w:sz w:val="20"/>
          <w:szCs w:val="20"/>
          <w:vertAlign w:val="superscript"/>
          <w:lang w:val="en-GB"/>
        </w:rPr>
        <w:t>e</w:t>
      </w:r>
      <w:r w:rsidRPr="00EA3E1D">
        <w:rPr>
          <w:rFonts w:ascii="Times New Roman" w:hAnsi="Times New Roman" w:cs="Times New Roman"/>
          <w:sz w:val="20"/>
          <w:szCs w:val="20"/>
          <w:lang w:val="en-GB"/>
        </w:rPr>
        <w:t>,</w:t>
      </w:r>
      <w:r w:rsidRPr="00EA3E1D">
        <w:rPr>
          <w:rFonts w:ascii="Times New Roman" w:hAnsi="Times New Roman" w:cs="Times New Roman"/>
          <w:sz w:val="20"/>
          <w:szCs w:val="20"/>
        </w:rPr>
        <w:t xml:space="preserve"> </w:t>
      </w:r>
      <w:r w:rsidRPr="00EA3E1D">
        <w:rPr>
          <w:rFonts w:ascii="Times New Roman" w:hAnsi="Times New Roman" w:cs="Times New Roman"/>
          <w:sz w:val="20"/>
          <w:szCs w:val="20"/>
          <w:lang w:val="en-GB"/>
        </w:rPr>
        <w:t xml:space="preserve">S Scott </w:t>
      </w:r>
      <w:proofErr w:type="spellStart"/>
      <w:r w:rsidRPr="00EA3E1D">
        <w:rPr>
          <w:rFonts w:ascii="Times New Roman" w:hAnsi="Times New Roman" w:cs="Times New Roman"/>
          <w:sz w:val="20"/>
          <w:szCs w:val="20"/>
          <w:lang w:val="en-GB"/>
        </w:rPr>
        <w:t>Ogletree</w:t>
      </w:r>
      <w:proofErr w:type="spellEnd"/>
      <w:r w:rsidRPr="00EA3E1D">
        <w:rPr>
          <w:rFonts w:ascii="Times New Roman" w:hAnsi="Times New Roman" w:cs="Times New Roman"/>
          <w:sz w:val="20"/>
          <w:szCs w:val="20"/>
          <w:lang w:val="en-GB"/>
        </w:rPr>
        <w:t xml:space="preserve"> </w:t>
      </w:r>
      <w:r w:rsidRPr="00EA3E1D">
        <w:rPr>
          <w:rFonts w:ascii="Times New Roman" w:hAnsi="Times New Roman" w:cs="Times New Roman"/>
          <w:sz w:val="20"/>
          <w:szCs w:val="20"/>
          <w:vertAlign w:val="superscript"/>
          <w:lang w:val="en-GB"/>
        </w:rPr>
        <w:t>f</w:t>
      </w:r>
      <w:r w:rsidRPr="00EA3E1D">
        <w:rPr>
          <w:rFonts w:ascii="Times New Roman" w:hAnsi="Times New Roman" w:cs="Times New Roman"/>
          <w:sz w:val="20"/>
          <w:szCs w:val="20"/>
          <w:lang w:val="en-GB"/>
        </w:rPr>
        <w:t xml:space="preserve">, Alessandro </w:t>
      </w:r>
      <w:proofErr w:type="spellStart"/>
      <w:r w:rsidRPr="00EA3E1D">
        <w:rPr>
          <w:rFonts w:ascii="Times New Roman" w:hAnsi="Times New Roman" w:cs="Times New Roman"/>
          <w:sz w:val="20"/>
          <w:szCs w:val="20"/>
          <w:lang w:val="en-GB"/>
        </w:rPr>
        <w:t>Rigolon</w:t>
      </w:r>
      <w:proofErr w:type="spellEnd"/>
      <w:r w:rsidRPr="00EA3E1D">
        <w:rPr>
          <w:rFonts w:ascii="Times New Roman" w:hAnsi="Times New Roman" w:cs="Times New Roman"/>
          <w:sz w:val="20"/>
          <w:szCs w:val="20"/>
          <w:lang w:val="en-GB"/>
        </w:rPr>
        <w:t xml:space="preserve"> </w:t>
      </w:r>
      <w:r w:rsidRPr="00EA3E1D">
        <w:rPr>
          <w:rFonts w:ascii="Times New Roman" w:hAnsi="Times New Roman" w:cs="Times New Roman"/>
          <w:sz w:val="20"/>
          <w:szCs w:val="20"/>
          <w:vertAlign w:val="superscript"/>
          <w:lang w:val="en-GB"/>
        </w:rPr>
        <w:t>g</w:t>
      </w:r>
      <w:r w:rsidRPr="00EA3E1D">
        <w:rPr>
          <w:rFonts w:ascii="Times New Roman" w:hAnsi="Times New Roman" w:cs="Times New Roman"/>
          <w:sz w:val="20"/>
          <w:szCs w:val="20"/>
          <w:lang w:val="en-GB"/>
        </w:rPr>
        <w:t xml:space="preserve">, Jaime E Hart </w:t>
      </w:r>
      <w:r w:rsidRPr="00EA3E1D">
        <w:rPr>
          <w:rFonts w:ascii="Times New Roman" w:hAnsi="Times New Roman" w:cs="Times New Roman"/>
          <w:sz w:val="20"/>
          <w:szCs w:val="20"/>
          <w:vertAlign w:val="superscript"/>
          <w:lang w:val="en-GB"/>
        </w:rPr>
        <w:t>a, b*</w:t>
      </w:r>
      <w:r w:rsidRPr="00EA3E1D">
        <w:rPr>
          <w:rFonts w:ascii="Times New Roman" w:hAnsi="Times New Roman" w:cs="Times New Roman"/>
          <w:sz w:val="20"/>
          <w:szCs w:val="20"/>
          <w:lang w:val="en-GB"/>
        </w:rPr>
        <w:t xml:space="preserve">, Peter James </w:t>
      </w:r>
      <w:r w:rsidRPr="00EA3E1D">
        <w:rPr>
          <w:rFonts w:ascii="Times New Roman" w:hAnsi="Times New Roman" w:cs="Times New Roman"/>
          <w:sz w:val="20"/>
          <w:szCs w:val="20"/>
          <w:vertAlign w:val="superscript"/>
          <w:lang w:val="en-GB"/>
        </w:rPr>
        <w:t>a, h*</w:t>
      </w:r>
    </w:p>
    <w:p w14:paraId="0512EE63" w14:textId="6BBD292E" w:rsidR="00FC71A1" w:rsidRPr="00EA3E1D" w:rsidRDefault="00FC71A1" w:rsidP="00FC71A1">
      <w:pPr>
        <w:jc w:val="both"/>
        <w:rPr>
          <w:rFonts w:ascii="Times New Roman" w:hAnsi="Times New Roman" w:cs="Times New Roman"/>
          <w:i/>
          <w:iCs/>
          <w:sz w:val="20"/>
          <w:szCs w:val="20"/>
          <w:lang w:val="en-GB"/>
        </w:rPr>
      </w:pPr>
      <w:proofErr w:type="gramStart"/>
      <w:r w:rsidRPr="00EA3E1D">
        <w:rPr>
          <w:rFonts w:ascii="Times New Roman" w:hAnsi="Times New Roman" w:cs="Times New Roman"/>
          <w:i/>
          <w:iCs/>
          <w:sz w:val="20"/>
          <w:szCs w:val="20"/>
          <w:vertAlign w:val="superscript"/>
          <w:lang w:val="en-GB"/>
        </w:rPr>
        <w:t>a</w:t>
      </w:r>
      <w:proofErr w:type="gramEnd"/>
      <w:r w:rsidRPr="00EA3E1D">
        <w:rPr>
          <w:rFonts w:ascii="Times New Roman" w:hAnsi="Times New Roman" w:cs="Times New Roman"/>
          <w:i/>
          <w:iCs/>
          <w:sz w:val="20"/>
          <w:szCs w:val="20"/>
          <w:vertAlign w:val="superscript"/>
          <w:lang w:val="en-GB"/>
        </w:rPr>
        <w:t xml:space="preserve"> </w:t>
      </w:r>
      <w:r w:rsidRPr="00EA3E1D">
        <w:rPr>
          <w:rFonts w:ascii="Times New Roman" w:hAnsi="Times New Roman" w:cs="Times New Roman"/>
          <w:i/>
          <w:iCs/>
          <w:sz w:val="20"/>
          <w:szCs w:val="20"/>
          <w:lang w:val="en-GB"/>
        </w:rPr>
        <w:t>Department of Environmental Health, Harvard T</w:t>
      </w:r>
      <w:r w:rsidR="00B1078E" w:rsidRPr="00EA3E1D">
        <w:rPr>
          <w:rFonts w:ascii="Times New Roman" w:hAnsi="Times New Roman" w:cs="Times New Roman"/>
          <w:i/>
          <w:iCs/>
          <w:sz w:val="20"/>
          <w:szCs w:val="20"/>
          <w:lang w:val="en-GB"/>
        </w:rPr>
        <w:t>.</w:t>
      </w:r>
      <w:r w:rsidRPr="00EA3E1D">
        <w:rPr>
          <w:rFonts w:ascii="Times New Roman" w:hAnsi="Times New Roman" w:cs="Times New Roman"/>
          <w:i/>
          <w:iCs/>
          <w:sz w:val="20"/>
          <w:szCs w:val="20"/>
          <w:lang w:val="en-GB"/>
        </w:rPr>
        <w:t xml:space="preserve"> H</w:t>
      </w:r>
      <w:r w:rsidR="00B1078E" w:rsidRPr="00EA3E1D">
        <w:rPr>
          <w:rFonts w:ascii="Times New Roman" w:hAnsi="Times New Roman" w:cs="Times New Roman"/>
          <w:i/>
          <w:iCs/>
          <w:sz w:val="20"/>
          <w:szCs w:val="20"/>
          <w:lang w:val="en-GB"/>
        </w:rPr>
        <w:t>.</w:t>
      </w:r>
      <w:r w:rsidRPr="00EA3E1D">
        <w:rPr>
          <w:rFonts w:ascii="Times New Roman" w:hAnsi="Times New Roman" w:cs="Times New Roman"/>
          <w:i/>
          <w:iCs/>
          <w:sz w:val="20"/>
          <w:szCs w:val="20"/>
          <w:lang w:val="en-GB"/>
        </w:rPr>
        <w:t xml:space="preserve"> Chan School of Public Health, Boston, Massachusetts 02115</w:t>
      </w:r>
      <w:r w:rsidRPr="00EA3E1D">
        <w:rPr>
          <w:rFonts w:ascii="Times New Roman" w:hAnsi="Times New Roman" w:cs="Times New Roman"/>
          <w:i/>
          <w:iCs/>
          <w:sz w:val="20"/>
          <w:szCs w:val="20"/>
        </w:rPr>
        <w:t>, USA</w:t>
      </w:r>
      <w:r w:rsidRPr="00EA3E1D">
        <w:rPr>
          <w:rFonts w:ascii="Times New Roman" w:hAnsi="Times New Roman" w:cs="Times New Roman"/>
          <w:i/>
          <w:iCs/>
          <w:sz w:val="20"/>
          <w:szCs w:val="20"/>
          <w:lang w:val="en-GB"/>
        </w:rPr>
        <w:t xml:space="preserve"> </w:t>
      </w:r>
    </w:p>
    <w:p w14:paraId="424FFB3F" w14:textId="77777777" w:rsidR="00FC71A1" w:rsidRPr="00EA3E1D" w:rsidRDefault="00FC71A1" w:rsidP="00FC71A1">
      <w:pPr>
        <w:jc w:val="both"/>
        <w:rPr>
          <w:rFonts w:ascii="Times New Roman" w:hAnsi="Times New Roman" w:cs="Times New Roman"/>
          <w:i/>
          <w:iCs/>
          <w:sz w:val="20"/>
          <w:szCs w:val="20"/>
          <w:lang w:val="en-GB"/>
        </w:rPr>
      </w:pPr>
      <w:proofErr w:type="gramStart"/>
      <w:r w:rsidRPr="00EA3E1D">
        <w:rPr>
          <w:rFonts w:ascii="Times New Roman" w:hAnsi="Times New Roman" w:cs="Times New Roman"/>
          <w:i/>
          <w:iCs/>
          <w:sz w:val="20"/>
          <w:szCs w:val="20"/>
          <w:vertAlign w:val="superscript"/>
          <w:lang w:val="en-GB"/>
        </w:rPr>
        <w:t>b</w:t>
      </w:r>
      <w:proofErr w:type="gramEnd"/>
      <w:r w:rsidRPr="00EA3E1D">
        <w:rPr>
          <w:rFonts w:ascii="Times New Roman" w:hAnsi="Times New Roman" w:cs="Times New Roman"/>
          <w:i/>
          <w:iCs/>
          <w:sz w:val="20"/>
          <w:szCs w:val="20"/>
          <w:vertAlign w:val="superscript"/>
          <w:lang w:val="en-GB"/>
        </w:rPr>
        <w:t xml:space="preserve"> </w:t>
      </w:r>
      <w:r w:rsidRPr="00EA3E1D">
        <w:rPr>
          <w:rFonts w:ascii="Times New Roman" w:hAnsi="Times New Roman" w:cs="Times New Roman"/>
          <w:i/>
          <w:iCs/>
          <w:sz w:val="20"/>
          <w:szCs w:val="20"/>
          <w:lang w:val="en-GB"/>
        </w:rPr>
        <w:t>Channing Division of Network Medicine, Department of Medicine, Brigham and Women’s Hospital, Boston, Massachusetts 02115</w:t>
      </w:r>
      <w:r w:rsidRPr="00EA3E1D">
        <w:rPr>
          <w:rFonts w:ascii="Times New Roman" w:hAnsi="Times New Roman" w:cs="Times New Roman"/>
          <w:i/>
          <w:iCs/>
          <w:sz w:val="20"/>
          <w:szCs w:val="20"/>
        </w:rPr>
        <w:t>, USA</w:t>
      </w:r>
    </w:p>
    <w:p w14:paraId="11666AF8" w14:textId="41AEF0C2" w:rsidR="00FC71A1" w:rsidRPr="00EA3E1D" w:rsidRDefault="00FC71A1" w:rsidP="00FC71A1">
      <w:pPr>
        <w:jc w:val="both"/>
        <w:rPr>
          <w:rFonts w:ascii="Times New Roman" w:hAnsi="Times New Roman" w:cs="Times New Roman"/>
          <w:i/>
          <w:iCs/>
          <w:sz w:val="20"/>
          <w:szCs w:val="20"/>
          <w:lang w:val="en-GB"/>
        </w:rPr>
      </w:pPr>
      <w:proofErr w:type="gramStart"/>
      <w:r w:rsidRPr="00EA3E1D">
        <w:rPr>
          <w:rFonts w:ascii="Times New Roman" w:hAnsi="Times New Roman" w:cs="Times New Roman"/>
          <w:i/>
          <w:iCs/>
          <w:sz w:val="20"/>
          <w:szCs w:val="20"/>
          <w:vertAlign w:val="superscript"/>
          <w:lang w:val="en-GB"/>
        </w:rPr>
        <w:t>c</w:t>
      </w:r>
      <w:proofErr w:type="gramEnd"/>
      <w:r w:rsidRPr="00EA3E1D">
        <w:rPr>
          <w:rFonts w:ascii="Times New Roman" w:hAnsi="Times New Roman" w:cs="Times New Roman"/>
          <w:i/>
          <w:iCs/>
          <w:sz w:val="20"/>
          <w:szCs w:val="20"/>
          <w:vertAlign w:val="superscript"/>
          <w:lang w:val="en-GB"/>
        </w:rPr>
        <w:t xml:space="preserve"> </w:t>
      </w:r>
      <w:r w:rsidRPr="00EA3E1D">
        <w:rPr>
          <w:rFonts w:ascii="Times New Roman" w:hAnsi="Times New Roman" w:cs="Times New Roman"/>
          <w:i/>
          <w:iCs/>
          <w:sz w:val="20"/>
          <w:szCs w:val="20"/>
          <w:lang w:val="en-GB"/>
        </w:rPr>
        <w:t>Department of Epidemiology, Harvard T</w:t>
      </w:r>
      <w:r w:rsidR="00B1078E" w:rsidRPr="00EA3E1D">
        <w:rPr>
          <w:rFonts w:ascii="Times New Roman" w:hAnsi="Times New Roman" w:cs="Times New Roman"/>
          <w:i/>
          <w:iCs/>
          <w:sz w:val="20"/>
          <w:szCs w:val="20"/>
          <w:lang w:val="en-GB"/>
        </w:rPr>
        <w:t>.</w:t>
      </w:r>
      <w:r w:rsidRPr="00EA3E1D">
        <w:rPr>
          <w:rFonts w:ascii="Times New Roman" w:hAnsi="Times New Roman" w:cs="Times New Roman"/>
          <w:i/>
          <w:iCs/>
          <w:sz w:val="20"/>
          <w:szCs w:val="20"/>
          <w:lang w:val="en-GB"/>
        </w:rPr>
        <w:t xml:space="preserve"> H</w:t>
      </w:r>
      <w:r w:rsidR="00B1078E" w:rsidRPr="00EA3E1D">
        <w:rPr>
          <w:rFonts w:ascii="Times New Roman" w:hAnsi="Times New Roman" w:cs="Times New Roman"/>
          <w:i/>
          <w:iCs/>
          <w:sz w:val="20"/>
          <w:szCs w:val="20"/>
          <w:lang w:val="en-GB"/>
        </w:rPr>
        <w:t>.</w:t>
      </w:r>
      <w:r w:rsidRPr="00EA3E1D">
        <w:rPr>
          <w:rFonts w:ascii="Times New Roman" w:hAnsi="Times New Roman" w:cs="Times New Roman"/>
          <w:i/>
          <w:iCs/>
          <w:sz w:val="20"/>
          <w:szCs w:val="20"/>
          <w:lang w:val="en-GB"/>
        </w:rPr>
        <w:t xml:space="preserve"> Chan School of Public Health, Boston, Massachusetts 02115</w:t>
      </w:r>
      <w:r w:rsidRPr="00EA3E1D">
        <w:rPr>
          <w:rFonts w:ascii="Times New Roman" w:hAnsi="Times New Roman" w:cs="Times New Roman"/>
          <w:i/>
          <w:iCs/>
          <w:sz w:val="20"/>
          <w:szCs w:val="20"/>
        </w:rPr>
        <w:t>, USA</w:t>
      </w:r>
    </w:p>
    <w:p w14:paraId="21225FB9" w14:textId="77777777" w:rsidR="00FC71A1" w:rsidRPr="00EA3E1D" w:rsidRDefault="00FC71A1" w:rsidP="00FC71A1">
      <w:pPr>
        <w:spacing w:line="360" w:lineRule="auto"/>
        <w:jc w:val="both"/>
        <w:rPr>
          <w:rFonts w:ascii="Times New Roman" w:hAnsi="Times New Roman" w:cs="Times New Roman"/>
          <w:i/>
          <w:iCs/>
          <w:sz w:val="20"/>
          <w:szCs w:val="20"/>
        </w:rPr>
      </w:pPr>
      <w:proofErr w:type="gramStart"/>
      <w:r w:rsidRPr="00EA3E1D">
        <w:rPr>
          <w:rFonts w:ascii="Times New Roman" w:hAnsi="Times New Roman" w:cs="Times New Roman"/>
          <w:i/>
          <w:iCs/>
          <w:sz w:val="20"/>
          <w:szCs w:val="20"/>
          <w:vertAlign w:val="superscript"/>
        </w:rPr>
        <w:t>d</w:t>
      </w:r>
      <w:proofErr w:type="gramEnd"/>
      <w:r w:rsidRPr="00EA3E1D">
        <w:rPr>
          <w:rFonts w:ascii="Times New Roman" w:hAnsi="Times New Roman" w:cs="Times New Roman"/>
          <w:i/>
          <w:iCs/>
          <w:sz w:val="20"/>
          <w:szCs w:val="20"/>
        </w:rPr>
        <w:t xml:space="preserve"> Department of Parks, Recreation and Tourism Management, Clemson University, Clemson, South Carolina 29634, USA</w:t>
      </w:r>
    </w:p>
    <w:p w14:paraId="3EBEF574" w14:textId="006F763D" w:rsidR="00FC71A1" w:rsidRPr="00EA3E1D" w:rsidRDefault="00FC71A1" w:rsidP="00FC71A1">
      <w:pPr>
        <w:jc w:val="both"/>
        <w:rPr>
          <w:rFonts w:ascii="Times New Roman" w:hAnsi="Times New Roman" w:cs="Times New Roman"/>
          <w:i/>
          <w:iCs/>
          <w:sz w:val="20"/>
          <w:szCs w:val="20"/>
          <w:lang w:val="en-GB"/>
        </w:rPr>
      </w:pPr>
      <w:r w:rsidRPr="00EA3E1D">
        <w:rPr>
          <w:rFonts w:ascii="Times New Roman" w:hAnsi="Times New Roman" w:cs="Times New Roman"/>
          <w:i/>
          <w:iCs/>
          <w:sz w:val="20"/>
          <w:szCs w:val="20"/>
          <w:vertAlign w:val="superscript"/>
          <w:lang w:val="en-GB"/>
        </w:rPr>
        <w:t xml:space="preserve">e </w:t>
      </w:r>
      <w:r w:rsidRPr="00EA3E1D">
        <w:rPr>
          <w:rFonts w:ascii="Times New Roman" w:hAnsi="Times New Roman" w:cs="Times New Roman"/>
          <w:i/>
          <w:iCs/>
          <w:sz w:val="20"/>
          <w:szCs w:val="20"/>
          <w:lang w:val="en-GB"/>
        </w:rPr>
        <w:t>Department of Biostatistics, Harvard T</w:t>
      </w:r>
      <w:r w:rsidR="00B1078E" w:rsidRPr="00EA3E1D">
        <w:rPr>
          <w:rFonts w:ascii="Times New Roman" w:hAnsi="Times New Roman" w:cs="Times New Roman"/>
          <w:i/>
          <w:iCs/>
          <w:sz w:val="20"/>
          <w:szCs w:val="20"/>
          <w:lang w:val="en-GB"/>
        </w:rPr>
        <w:t>.</w:t>
      </w:r>
      <w:r w:rsidRPr="00EA3E1D">
        <w:rPr>
          <w:rFonts w:ascii="Times New Roman" w:hAnsi="Times New Roman" w:cs="Times New Roman"/>
          <w:i/>
          <w:iCs/>
          <w:sz w:val="20"/>
          <w:szCs w:val="20"/>
          <w:lang w:val="en-GB"/>
        </w:rPr>
        <w:t>H</w:t>
      </w:r>
      <w:r w:rsidR="00B1078E" w:rsidRPr="00EA3E1D">
        <w:rPr>
          <w:rFonts w:ascii="Times New Roman" w:hAnsi="Times New Roman" w:cs="Times New Roman"/>
          <w:i/>
          <w:iCs/>
          <w:sz w:val="20"/>
          <w:szCs w:val="20"/>
          <w:lang w:val="en-GB"/>
        </w:rPr>
        <w:t>.</w:t>
      </w:r>
      <w:r w:rsidRPr="00EA3E1D">
        <w:rPr>
          <w:rFonts w:ascii="Times New Roman" w:hAnsi="Times New Roman" w:cs="Times New Roman"/>
          <w:i/>
          <w:iCs/>
          <w:sz w:val="20"/>
          <w:szCs w:val="20"/>
          <w:lang w:val="en-GB"/>
        </w:rPr>
        <w:t xml:space="preserve"> Chan School of Public Health, Boston, Massachusetts 02115</w:t>
      </w:r>
      <w:r w:rsidRPr="00EA3E1D">
        <w:rPr>
          <w:rFonts w:ascii="Times New Roman" w:hAnsi="Times New Roman" w:cs="Times New Roman"/>
          <w:i/>
          <w:iCs/>
          <w:sz w:val="20"/>
          <w:szCs w:val="20"/>
        </w:rPr>
        <w:t>, USA</w:t>
      </w:r>
    </w:p>
    <w:p w14:paraId="3EDB344A" w14:textId="77777777" w:rsidR="00FC71A1" w:rsidRPr="00EA3E1D" w:rsidRDefault="00FC71A1" w:rsidP="00FC71A1">
      <w:pPr>
        <w:spacing w:line="360" w:lineRule="auto"/>
        <w:jc w:val="both"/>
        <w:rPr>
          <w:rFonts w:ascii="Times New Roman" w:hAnsi="Times New Roman" w:cs="Times New Roman"/>
          <w:i/>
          <w:iCs/>
          <w:sz w:val="20"/>
          <w:szCs w:val="20"/>
        </w:rPr>
      </w:pPr>
      <w:proofErr w:type="gramStart"/>
      <w:r w:rsidRPr="00EA3E1D">
        <w:rPr>
          <w:rFonts w:ascii="Times New Roman" w:hAnsi="Times New Roman" w:cs="Times New Roman"/>
          <w:i/>
          <w:iCs/>
          <w:sz w:val="20"/>
          <w:szCs w:val="20"/>
          <w:vertAlign w:val="superscript"/>
          <w:lang w:val="en-GB"/>
        </w:rPr>
        <w:t>f</w:t>
      </w:r>
      <w:proofErr w:type="gramEnd"/>
      <w:r w:rsidRPr="00EA3E1D">
        <w:rPr>
          <w:rFonts w:ascii="Times New Roman" w:hAnsi="Times New Roman" w:cs="Times New Roman"/>
          <w:i/>
          <w:iCs/>
          <w:sz w:val="20"/>
          <w:szCs w:val="20"/>
          <w:vertAlign w:val="superscript"/>
        </w:rPr>
        <w:t xml:space="preserve"> </w:t>
      </w:r>
      <w:proofErr w:type="spellStart"/>
      <w:r w:rsidRPr="00EA3E1D">
        <w:rPr>
          <w:rFonts w:ascii="Times New Roman" w:hAnsi="Times New Roman" w:cs="Times New Roman"/>
          <w:i/>
          <w:iCs/>
          <w:sz w:val="20"/>
          <w:szCs w:val="20"/>
        </w:rPr>
        <w:t>OPENspace</w:t>
      </w:r>
      <w:proofErr w:type="spellEnd"/>
      <w:r w:rsidRPr="00EA3E1D">
        <w:rPr>
          <w:rFonts w:ascii="Times New Roman" w:hAnsi="Times New Roman" w:cs="Times New Roman"/>
          <w:i/>
          <w:iCs/>
          <w:sz w:val="20"/>
          <w:szCs w:val="20"/>
        </w:rPr>
        <w:t xml:space="preserve"> Research Centre, School of Architecture and Landscape Architecture, University of Edinburgh, Edinburgh, UK</w:t>
      </w:r>
    </w:p>
    <w:p w14:paraId="7A71C9DB" w14:textId="77777777" w:rsidR="00FC71A1" w:rsidRPr="00EA3E1D" w:rsidRDefault="00FC71A1" w:rsidP="00FC71A1">
      <w:pPr>
        <w:spacing w:line="360" w:lineRule="auto"/>
        <w:jc w:val="both"/>
        <w:rPr>
          <w:rFonts w:ascii="Times New Roman" w:hAnsi="Times New Roman" w:cs="Times New Roman"/>
          <w:i/>
          <w:iCs/>
          <w:sz w:val="20"/>
          <w:szCs w:val="20"/>
        </w:rPr>
      </w:pPr>
      <w:proofErr w:type="gramStart"/>
      <w:r w:rsidRPr="00EA3E1D">
        <w:rPr>
          <w:rFonts w:ascii="Times New Roman" w:hAnsi="Times New Roman" w:cs="Times New Roman"/>
          <w:i/>
          <w:iCs/>
          <w:sz w:val="20"/>
          <w:szCs w:val="20"/>
          <w:vertAlign w:val="superscript"/>
        </w:rPr>
        <w:t>g</w:t>
      </w:r>
      <w:proofErr w:type="gramEnd"/>
      <w:r w:rsidRPr="00EA3E1D">
        <w:rPr>
          <w:rFonts w:ascii="Times New Roman" w:hAnsi="Times New Roman" w:cs="Times New Roman"/>
          <w:i/>
          <w:iCs/>
          <w:sz w:val="20"/>
          <w:szCs w:val="20"/>
        </w:rPr>
        <w:t xml:space="preserve"> Department of City and Metropolitan Planning, The University of Utah, 375 South 1530 East, Salt Lake City, Utah 84112, USA</w:t>
      </w:r>
    </w:p>
    <w:p w14:paraId="7A59C1A1" w14:textId="77777777" w:rsidR="00FC71A1" w:rsidRPr="00EA3E1D" w:rsidRDefault="00FC71A1" w:rsidP="00FC71A1">
      <w:pPr>
        <w:jc w:val="both"/>
        <w:rPr>
          <w:rFonts w:ascii="Times New Roman" w:hAnsi="Times New Roman" w:cs="Times New Roman"/>
          <w:i/>
          <w:iCs/>
          <w:sz w:val="20"/>
          <w:szCs w:val="20"/>
          <w:lang w:val="en-GB"/>
        </w:rPr>
      </w:pPr>
      <w:r w:rsidRPr="00EA3E1D">
        <w:rPr>
          <w:rFonts w:ascii="Times New Roman" w:hAnsi="Times New Roman" w:cs="Times New Roman"/>
          <w:i/>
          <w:iCs/>
          <w:sz w:val="20"/>
          <w:szCs w:val="20"/>
          <w:vertAlign w:val="superscript"/>
          <w:lang w:val="en-GB"/>
        </w:rPr>
        <w:t xml:space="preserve">h </w:t>
      </w:r>
      <w:r w:rsidRPr="00EA3E1D">
        <w:rPr>
          <w:rFonts w:ascii="Times New Roman" w:hAnsi="Times New Roman" w:cs="Times New Roman"/>
          <w:i/>
          <w:iCs/>
          <w:sz w:val="20"/>
          <w:szCs w:val="20"/>
          <w:lang w:val="en-GB"/>
        </w:rPr>
        <w:t>Department of Population Medicine, Harvard Medical School and Harvard Pilgrim Health Care Institute, Boston, Massachusetts 02215</w:t>
      </w:r>
      <w:r w:rsidRPr="00EA3E1D">
        <w:rPr>
          <w:rFonts w:ascii="Times New Roman" w:hAnsi="Times New Roman" w:cs="Times New Roman"/>
          <w:i/>
          <w:iCs/>
          <w:sz w:val="20"/>
          <w:szCs w:val="20"/>
        </w:rPr>
        <w:t>, USA</w:t>
      </w:r>
    </w:p>
    <w:p w14:paraId="60662D0E" w14:textId="77777777" w:rsidR="00FC71A1" w:rsidRPr="00EA3E1D" w:rsidRDefault="00FC71A1" w:rsidP="00FC71A1">
      <w:pPr>
        <w:jc w:val="both"/>
        <w:rPr>
          <w:rFonts w:ascii="Times New Roman" w:hAnsi="Times New Roman" w:cs="Times New Roman"/>
          <w:i/>
          <w:iCs/>
          <w:sz w:val="20"/>
          <w:szCs w:val="20"/>
          <w:lang w:val="en-GB"/>
        </w:rPr>
      </w:pPr>
      <w:r w:rsidRPr="00EA3E1D">
        <w:rPr>
          <w:rFonts w:ascii="Times New Roman" w:hAnsi="Times New Roman" w:cs="Times New Roman"/>
          <w:i/>
          <w:iCs/>
          <w:sz w:val="20"/>
          <w:szCs w:val="20"/>
          <w:vertAlign w:val="superscript"/>
          <w:lang w:val="en-GB"/>
        </w:rPr>
        <w:t>*</w:t>
      </w:r>
      <w:r w:rsidRPr="00EA3E1D">
        <w:rPr>
          <w:rFonts w:ascii="Times New Roman" w:hAnsi="Times New Roman" w:cs="Times New Roman"/>
          <w:i/>
          <w:iCs/>
          <w:sz w:val="20"/>
          <w:szCs w:val="20"/>
          <w:lang w:val="en-GB"/>
        </w:rPr>
        <w:t xml:space="preserve"> Contributed equally as last author</w:t>
      </w:r>
    </w:p>
    <w:p w14:paraId="4ADB5DC2" w14:textId="77777777" w:rsidR="00FC71A1" w:rsidRPr="00EA3E1D" w:rsidRDefault="00FC71A1" w:rsidP="00FC71A1">
      <w:pPr>
        <w:jc w:val="both"/>
        <w:rPr>
          <w:rFonts w:ascii="Times New Roman" w:hAnsi="Times New Roman" w:cs="Times New Roman"/>
          <w:b/>
          <w:bCs/>
          <w:sz w:val="24"/>
          <w:szCs w:val="20"/>
        </w:rPr>
      </w:pPr>
      <w:r w:rsidRPr="00EA3E1D">
        <w:rPr>
          <w:rFonts w:ascii="Times New Roman" w:hAnsi="Times New Roman" w:cs="Times New Roman"/>
          <w:b/>
          <w:bCs/>
          <w:sz w:val="24"/>
          <w:szCs w:val="20"/>
        </w:rPr>
        <w:t>Corresponding author:</w:t>
      </w:r>
    </w:p>
    <w:p w14:paraId="5CA8B5FD" w14:textId="77777777" w:rsidR="00FC71A1" w:rsidRPr="00EA3E1D" w:rsidRDefault="00FC71A1" w:rsidP="00FC71A1">
      <w:pPr>
        <w:jc w:val="both"/>
        <w:rPr>
          <w:rFonts w:ascii="Times New Roman" w:hAnsi="Times New Roman" w:cs="Times New Roman"/>
          <w:sz w:val="20"/>
          <w:szCs w:val="20"/>
          <w:lang w:val="nl-NL"/>
        </w:rPr>
      </w:pPr>
      <w:r w:rsidRPr="00EA3E1D">
        <w:rPr>
          <w:rFonts w:ascii="Times New Roman" w:hAnsi="Times New Roman" w:cs="Times New Roman"/>
          <w:sz w:val="20"/>
          <w:szCs w:val="20"/>
          <w:lang w:val="nl-NL"/>
        </w:rPr>
        <w:t>Jochem O Klompmaker, PhD</w:t>
      </w:r>
    </w:p>
    <w:p w14:paraId="4F5A94EF" w14:textId="64627E98" w:rsidR="00FC71A1" w:rsidRPr="00EA3E1D" w:rsidRDefault="00FC71A1" w:rsidP="00FC71A1">
      <w:pPr>
        <w:jc w:val="both"/>
        <w:rPr>
          <w:rFonts w:ascii="Times New Roman" w:hAnsi="Times New Roman" w:cs="Times New Roman"/>
          <w:sz w:val="20"/>
          <w:szCs w:val="20"/>
          <w:lang w:val="nl-NL"/>
        </w:rPr>
      </w:pPr>
      <w:r w:rsidRPr="00EA3E1D">
        <w:rPr>
          <w:rFonts w:ascii="Times New Roman" w:hAnsi="Times New Roman" w:cs="Times New Roman"/>
          <w:sz w:val="20"/>
          <w:szCs w:val="20"/>
          <w:lang w:val="nl-NL"/>
        </w:rPr>
        <w:t>jklompmaker@hsph</w:t>
      </w:r>
      <w:r w:rsidR="00B1078E" w:rsidRPr="00EA3E1D">
        <w:rPr>
          <w:rFonts w:ascii="Times New Roman" w:hAnsi="Times New Roman" w:cs="Times New Roman"/>
          <w:sz w:val="20"/>
          <w:szCs w:val="20"/>
          <w:lang w:val="nl-NL"/>
        </w:rPr>
        <w:t>.</w:t>
      </w:r>
      <w:r w:rsidRPr="00EA3E1D">
        <w:rPr>
          <w:rFonts w:ascii="Times New Roman" w:hAnsi="Times New Roman" w:cs="Times New Roman"/>
          <w:sz w:val="20"/>
          <w:szCs w:val="20"/>
          <w:lang w:val="nl-NL"/>
        </w:rPr>
        <w:t>harvard</w:t>
      </w:r>
      <w:r w:rsidR="00B1078E" w:rsidRPr="00EA3E1D">
        <w:rPr>
          <w:rFonts w:ascii="Times New Roman" w:hAnsi="Times New Roman" w:cs="Times New Roman"/>
          <w:sz w:val="20"/>
          <w:szCs w:val="20"/>
          <w:lang w:val="nl-NL"/>
        </w:rPr>
        <w:t>.</w:t>
      </w:r>
      <w:r w:rsidRPr="00EA3E1D">
        <w:rPr>
          <w:rFonts w:ascii="Times New Roman" w:hAnsi="Times New Roman" w:cs="Times New Roman"/>
          <w:sz w:val="20"/>
          <w:szCs w:val="20"/>
          <w:lang w:val="nl-NL"/>
        </w:rPr>
        <w:t>edu</w:t>
      </w:r>
    </w:p>
    <w:p w14:paraId="61106F7C" w14:textId="55AC6B9D"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Department of Environmental Health, Harvard T</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H</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Chan School of Public Health, Landmark Center, 401 Park Drive, Boston Massachusetts 02215, USA</w:t>
      </w:r>
    </w:p>
    <w:p w14:paraId="4E91E002" w14:textId="77777777"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Channing Division of Network Medicine, Department of Medicine, Brigham and Women’s Hospital, 181 Longwood Avenue, Boston, Massachusetts 02115, USA</w:t>
      </w:r>
    </w:p>
    <w:p w14:paraId="4D4B7F26" w14:textId="77777777" w:rsidR="00FC71A1" w:rsidRPr="00EA3E1D" w:rsidRDefault="00FC71A1" w:rsidP="00FC71A1">
      <w:pPr>
        <w:rPr>
          <w:rFonts w:ascii="Times New Roman" w:hAnsi="Times New Roman" w:cs="Times New Roman"/>
          <w:b/>
          <w:bCs/>
          <w:sz w:val="20"/>
          <w:szCs w:val="20"/>
        </w:rPr>
      </w:pPr>
    </w:p>
    <w:p w14:paraId="6459A726" w14:textId="77777777" w:rsidR="00FC71A1" w:rsidRPr="00EA3E1D" w:rsidRDefault="00FC71A1" w:rsidP="00FC71A1">
      <w:pPr>
        <w:rPr>
          <w:rFonts w:ascii="Times New Roman" w:hAnsi="Times New Roman" w:cs="Times New Roman"/>
          <w:b/>
          <w:bCs/>
          <w:sz w:val="20"/>
          <w:szCs w:val="20"/>
        </w:rPr>
      </w:pPr>
    </w:p>
    <w:p w14:paraId="5E6E4E8B" w14:textId="77777777" w:rsidR="00FC71A1" w:rsidRPr="00EA3E1D" w:rsidRDefault="00FC71A1" w:rsidP="00FC71A1">
      <w:pPr>
        <w:rPr>
          <w:rFonts w:ascii="Times New Roman" w:hAnsi="Times New Roman" w:cs="Times New Roman"/>
          <w:b/>
          <w:bCs/>
          <w:sz w:val="20"/>
          <w:szCs w:val="20"/>
        </w:rPr>
      </w:pPr>
    </w:p>
    <w:p w14:paraId="646CE7D4" w14:textId="77777777" w:rsidR="00EA3E1D" w:rsidRDefault="00EA3E1D" w:rsidP="00FC71A1">
      <w:pPr>
        <w:jc w:val="both"/>
        <w:rPr>
          <w:rFonts w:ascii="Times New Roman" w:hAnsi="Times New Roman" w:cs="Times New Roman"/>
          <w:b/>
          <w:bCs/>
          <w:sz w:val="20"/>
          <w:szCs w:val="20"/>
        </w:rPr>
      </w:pPr>
    </w:p>
    <w:p w14:paraId="35366D76" w14:textId="77777777" w:rsidR="00EA3E1D" w:rsidRDefault="00EA3E1D" w:rsidP="00FC71A1">
      <w:pPr>
        <w:jc w:val="both"/>
        <w:rPr>
          <w:rFonts w:ascii="Times New Roman" w:hAnsi="Times New Roman" w:cs="Times New Roman"/>
          <w:b/>
          <w:bCs/>
          <w:sz w:val="20"/>
          <w:szCs w:val="20"/>
        </w:rPr>
      </w:pPr>
    </w:p>
    <w:p w14:paraId="4536DEDA" w14:textId="77777777" w:rsidR="00EA3E1D" w:rsidRDefault="00EA3E1D" w:rsidP="00FC71A1">
      <w:pPr>
        <w:jc w:val="both"/>
        <w:rPr>
          <w:rFonts w:ascii="Times New Roman" w:hAnsi="Times New Roman" w:cs="Times New Roman"/>
          <w:b/>
          <w:bCs/>
          <w:sz w:val="20"/>
          <w:szCs w:val="20"/>
        </w:rPr>
      </w:pPr>
    </w:p>
    <w:p w14:paraId="36308263" w14:textId="77777777" w:rsidR="00EA3E1D" w:rsidRDefault="00EA3E1D" w:rsidP="00FC71A1">
      <w:pPr>
        <w:jc w:val="both"/>
        <w:rPr>
          <w:rFonts w:ascii="Times New Roman" w:hAnsi="Times New Roman" w:cs="Times New Roman"/>
          <w:b/>
          <w:bCs/>
          <w:sz w:val="20"/>
          <w:szCs w:val="20"/>
        </w:rPr>
      </w:pPr>
    </w:p>
    <w:p w14:paraId="6630E473" w14:textId="77777777" w:rsidR="00EA3E1D" w:rsidRDefault="00EA3E1D" w:rsidP="00FC71A1">
      <w:pPr>
        <w:jc w:val="both"/>
        <w:rPr>
          <w:rFonts w:ascii="Times New Roman" w:hAnsi="Times New Roman" w:cs="Times New Roman"/>
          <w:b/>
          <w:bCs/>
          <w:sz w:val="20"/>
          <w:szCs w:val="20"/>
        </w:rPr>
      </w:pPr>
    </w:p>
    <w:p w14:paraId="48C8205C" w14:textId="7E06CE9A" w:rsidR="00FC71A1" w:rsidRPr="00EA3E1D" w:rsidRDefault="00FC71A1" w:rsidP="00FC71A1">
      <w:pPr>
        <w:jc w:val="both"/>
        <w:rPr>
          <w:rFonts w:ascii="Times New Roman" w:hAnsi="Times New Roman" w:cs="Times New Roman"/>
          <w:b/>
          <w:bCs/>
          <w:sz w:val="24"/>
          <w:szCs w:val="20"/>
        </w:rPr>
      </w:pPr>
      <w:r w:rsidRPr="00EA3E1D">
        <w:rPr>
          <w:rFonts w:ascii="Times New Roman" w:hAnsi="Times New Roman" w:cs="Times New Roman"/>
          <w:b/>
          <w:bCs/>
          <w:sz w:val="24"/>
          <w:szCs w:val="20"/>
        </w:rPr>
        <w:lastRenderedPageBreak/>
        <w:t>Table of contents:</w:t>
      </w:r>
    </w:p>
    <w:p w14:paraId="408E388C" w14:textId="40AB5591"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Supplemental Methods S1</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w:t>
      </w:r>
      <w:r w:rsidR="00B1078E" w:rsidRPr="00EA3E1D">
        <w:rPr>
          <w:rFonts w:ascii="Times New Roman" w:hAnsi="Times New Roman" w:cs="Times New Roman"/>
          <w:sz w:val="20"/>
          <w:szCs w:val="20"/>
        </w:rPr>
        <w:t>Exposure assessment</w:t>
      </w:r>
    </w:p>
    <w:p w14:paraId="053EEDCC" w14:textId="473CE2A5" w:rsidR="00B1078E" w:rsidRPr="00EA3E1D" w:rsidRDefault="00B1078E" w:rsidP="00B1078E">
      <w:pPr>
        <w:jc w:val="both"/>
        <w:rPr>
          <w:rFonts w:ascii="Times New Roman" w:hAnsi="Times New Roman" w:cs="Times New Roman"/>
          <w:sz w:val="20"/>
          <w:szCs w:val="20"/>
        </w:rPr>
      </w:pPr>
      <w:r w:rsidRPr="00EA3E1D">
        <w:rPr>
          <w:rFonts w:ascii="Times New Roman" w:hAnsi="Times New Roman" w:cs="Times New Roman"/>
          <w:sz w:val="20"/>
          <w:szCs w:val="20"/>
        </w:rPr>
        <w:t>Supplemental Methods S2. Covariates</w:t>
      </w:r>
    </w:p>
    <w:p w14:paraId="2B1C2582" w14:textId="09453A9C"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Table S1</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Descriptive statistics of the full and urban CVD and RSD cohorts (aggregated data)</w:t>
      </w:r>
    </w:p>
    <w:p w14:paraId="71D7AD1D" w14:textId="7D2F7C01"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Table S2</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Results of sensitivity analyses</w:t>
      </w:r>
    </w:p>
    <w:p w14:paraId="7A1916E9" w14:textId="4047AC14" w:rsidR="00FC71A1" w:rsidRPr="00EA3E1D" w:rsidRDefault="00FC71A1" w:rsidP="00FC71A1">
      <w:pPr>
        <w:jc w:val="both"/>
        <w:rPr>
          <w:rFonts w:ascii="Times New Roman" w:hAnsi="Times New Roman" w:cs="Times New Roman"/>
          <w:b/>
          <w:bCs/>
          <w:sz w:val="20"/>
          <w:szCs w:val="20"/>
          <w:lang w:val="en-GB"/>
        </w:rPr>
      </w:pPr>
      <w:r w:rsidRPr="00EA3E1D">
        <w:rPr>
          <w:rFonts w:ascii="Times New Roman" w:hAnsi="Times New Roman" w:cs="Times New Roman"/>
          <w:sz w:val="20"/>
          <w:szCs w:val="20"/>
        </w:rPr>
        <w:t>Figure S1</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w:t>
      </w:r>
      <w:r w:rsidRPr="00EA3E1D">
        <w:rPr>
          <w:rFonts w:ascii="Times New Roman" w:hAnsi="Times New Roman" w:cs="Times New Roman"/>
          <w:sz w:val="20"/>
          <w:szCs w:val="20"/>
          <w:lang w:val="en-GB"/>
        </w:rPr>
        <w:t>Spearman correlation in the full and urban CVD and RSD cohorts</w:t>
      </w:r>
    </w:p>
    <w:p w14:paraId="2F90DFB5" w14:textId="7DDAFA8A" w:rsidR="00FC71A1" w:rsidRPr="00EA3E1D" w:rsidRDefault="00FC71A1" w:rsidP="00FC71A1">
      <w:pPr>
        <w:jc w:val="both"/>
        <w:rPr>
          <w:rFonts w:ascii="Times New Roman" w:hAnsi="Times New Roman" w:cs="Times New Roman"/>
          <w:sz w:val="20"/>
          <w:szCs w:val="20"/>
          <w:lang w:val="en-GB"/>
        </w:rPr>
      </w:pPr>
      <w:r w:rsidRPr="00EA3E1D">
        <w:rPr>
          <w:rFonts w:ascii="Times New Roman" w:hAnsi="Times New Roman" w:cs="Times New Roman"/>
          <w:sz w:val="20"/>
          <w:szCs w:val="20"/>
          <w:lang w:val="en-GB"/>
        </w:rPr>
        <w:t>Figure S2</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Exposure-response curves with CVD and RSD hospitalization in the full and urban cohorts</w:t>
      </w:r>
    </w:p>
    <w:p w14:paraId="63E2EE5B" w14:textId="79620120" w:rsidR="00FC71A1" w:rsidRPr="00EA3E1D" w:rsidRDefault="00FC71A1" w:rsidP="00FC71A1">
      <w:pPr>
        <w:jc w:val="both"/>
        <w:rPr>
          <w:rFonts w:ascii="Times New Roman" w:hAnsi="Times New Roman" w:cs="Times New Roman"/>
          <w:sz w:val="20"/>
          <w:szCs w:val="20"/>
          <w:lang w:val="en-GB"/>
        </w:rPr>
      </w:pPr>
      <w:r w:rsidRPr="00EA3E1D">
        <w:rPr>
          <w:rFonts w:ascii="Times New Roman" w:hAnsi="Times New Roman" w:cs="Times New Roman"/>
          <w:sz w:val="20"/>
          <w:szCs w:val="20"/>
          <w:lang w:val="en-GB"/>
        </w:rPr>
        <w:t>Figure S3</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Models with increasing adjustment for potential confounders in the full and urban cohorts</w:t>
      </w:r>
    </w:p>
    <w:p w14:paraId="13DEFD77" w14:textId="79E2DC73" w:rsidR="00FC71A1" w:rsidRPr="00EA3E1D" w:rsidRDefault="00FC71A1" w:rsidP="00FC71A1">
      <w:pPr>
        <w:jc w:val="both"/>
        <w:rPr>
          <w:rFonts w:ascii="Times New Roman" w:hAnsi="Times New Roman" w:cs="Times New Roman"/>
          <w:sz w:val="20"/>
          <w:szCs w:val="20"/>
          <w:lang w:val="en-GB"/>
        </w:rPr>
      </w:pPr>
      <w:r w:rsidRPr="00EA3E1D">
        <w:rPr>
          <w:rFonts w:ascii="Times New Roman" w:hAnsi="Times New Roman" w:cs="Times New Roman"/>
          <w:sz w:val="20"/>
          <w:szCs w:val="20"/>
          <w:lang w:val="en-GB"/>
        </w:rPr>
        <w:t>Figure S4</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Results of effect modification by individual demographics and region in the urban cohort</w:t>
      </w:r>
    </w:p>
    <w:p w14:paraId="6CAE80FD" w14:textId="4532BD3D" w:rsidR="00FC71A1" w:rsidRPr="00EA3E1D" w:rsidRDefault="00FC71A1" w:rsidP="00FC71A1">
      <w:pPr>
        <w:jc w:val="both"/>
        <w:rPr>
          <w:rFonts w:ascii="Times New Roman" w:hAnsi="Times New Roman" w:cs="Times New Roman"/>
          <w:sz w:val="20"/>
          <w:szCs w:val="20"/>
          <w:lang w:val="en-GB"/>
        </w:rPr>
      </w:pPr>
      <w:r w:rsidRPr="00EA3E1D">
        <w:rPr>
          <w:rFonts w:ascii="Times New Roman" w:hAnsi="Times New Roman" w:cs="Times New Roman"/>
          <w:sz w:val="20"/>
          <w:szCs w:val="20"/>
          <w:lang w:val="en-GB"/>
        </w:rPr>
        <w:t>Figure S5</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w:t>
      </w:r>
      <w:r w:rsidRPr="00EA3E1D">
        <w:rPr>
          <w:rFonts w:ascii="Times New Roman" w:hAnsi="Times New Roman" w:cs="Times New Roman"/>
          <w:sz w:val="20"/>
          <w:szCs w:val="20"/>
        </w:rPr>
        <w:t>Results of effect modification by neighborhood SES in the urban cohort</w:t>
      </w:r>
    </w:p>
    <w:p w14:paraId="7D97640A" w14:textId="77777777" w:rsidR="00FC71A1" w:rsidRPr="00EA3E1D" w:rsidRDefault="00FC71A1" w:rsidP="00FC71A1">
      <w:pPr>
        <w:rPr>
          <w:rFonts w:ascii="Times New Roman" w:hAnsi="Times New Roman" w:cs="Times New Roman"/>
          <w:b/>
          <w:bCs/>
          <w:sz w:val="20"/>
          <w:szCs w:val="20"/>
          <w:lang w:val="en-GB"/>
        </w:rPr>
      </w:pPr>
    </w:p>
    <w:p w14:paraId="33E5D6D5" w14:textId="77777777" w:rsidR="00FC71A1" w:rsidRPr="00EA3E1D" w:rsidRDefault="00FC71A1" w:rsidP="00FC71A1">
      <w:pPr>
        <w:rPr>
          <w:rFonts w:ascii="Times New Roman" w:hAnsi="Times New Roman" w:cs="Times New Roman"/>
          <w:b/>
          <w:bCs/>
          <w:sz w:val="20"/>
          <w:szCs w:val="20"/>
          <w:lang w:val="en-GB"/>
        </w:rPr>
      </w:pPr>
    </w:p>
    <w:p w14:paraId="136F8552" w14:textId="77777777" w:rsidR="00FC71A1" w:rsidRPr="00EA3E1D" w:rsidRDefault="00FC71A1" w:rsidP="00FC71A1">
      <w:pPr>
        <w:rPr>
          <w:rFonts w:ascii="Times New Roman" w:hAnsi="Times New Roman" w:cs="Times New Roman"/>
          <w:b/>
          <w:bCs/>
          <w:sz w:val="20"/>
          <w:szCs w:val="20"/>
          <w:lang w:val="en-GB"/>
        </w:rPr>
      </w:pPr>
    </w:p>
    <w:p w14:paraId="385A4965" w14:textId="77777777" w:rsidR="00FC71A1" w:rsidRPr="00EA3E1D" w:rsidRDefault="00FC71A1" w:rsidP="00FC71A1">
      <w:pPr>
        <w:rPr>
          <w:rFonts w:ascii="Times New Roman" w:hAnsi="Times New Roman" w:cs="Times New Roman"/>
          <w:b/>
          <w:bCs/>
          <w:sz w:val="20"/>
          <w:szCs w:val="20"/>
          <w:lang w:val="en-GB"/>
        </w:rPr>
      </w:pPr>
    </w:p>
    <w:p w14:paraId="7ABE80C7" w14:textId="77777777" w:rsidR="00FC71A1" w:rsidRPr="00EA3E1D" w:rsidRDefault="00FC71A1" w:rsidP="00FC71A1">
      <w:pPr>
        <w:rPr>
          <w:rFonts w:ascii="Times New Roman" w:hAnsi="Times New Roman" w:cs="Times New Roman"/>
          <w:b/>
          <w:bCs/>
          <w:sz w:val="20"/>
          <w:szCs w:val="20"/>
          <w:lang w:val="en-GB"/>
        </w:rPr>
      </w:pPr>
    </w:p>
    <w:p w14:paraId="795F515E" w14:textId="77777777" w:rsidR="00FC71A1" w:rsidRPr="00EA3E1D" w:rsidRDefault="00FC71A1" w:rsidP="00FC71A1">
      <w:pPr>
        <w:rPr>
          <w:rFonts w:ascii="Times New Roman" w:hAnsi="Times New Roman" w:cs="Times New Roman"/>
          <w:b/>
          <w:bCs/>
          <w:sz w:val="20"/>
          <w:szCs w:val="20"/>
          <w:lang w:val="en-GB"/>
        </w:rPr>
      </w:pPr>
    </w:p>
    <w:p w14:paraId="58C185BF" w14:textId="77777777" w:rsidR="00FC71A1" w:rsidRPr="00EA3E1D" w:rsidRDefault="00FC71A1" w:rsidP="00FC71A1">
      <w:pPr>
        <w:rPr>
          <w:rFonts w:ascii="Times New Roman" w:hAnsi="Times New Roman" w:cs="Times New Roman"/>
          <w:b/>
          <w:bCs/>
          <w:sz w:val="20"/>
          <w:szCs w:val="20"/>
          <w:lang w:val="en-GB"/>
        </w:rPr>
      </w:pPr>
    </w:p>
    <w:p w14:paraId="1334E14F" w14:textId="77777777" w:rsidR="00FC71A1" w:rsidRPr="00EA3E1D" w:rsidRDefault="00FC71A1" w:rsidP="00FC71A1">
      <w:pPr>
        <w:rPr>
          <w:rFonts w:ascii="Times New Roman" w:hAnsi="Times New Roman" w:cs="Times New Roman"/>
          <w:b/>
          <w:bCs/>
          <w:sz w:val="20"/>
          <w:szCs w:val="20"/>
          <w:lang w:val="en-GB"/>
        </w:rPr>
      </w:pPr>
    </w:p>
    <w:p w14:paraId="6EB43CE8" w14:textId="77777777" w:rsidR="00FC71A1" w:rsidRPr="00EA3E1D" w:rsidRDefault="00FC71A1" w:rsidP="00FC71A1">
      <w:pPr>
        <w:rPr>
          <w:rFonts w:ascii="Times New Roman" w:hAnsi="Times New Roman" w:cs="Times New Roman"/>
          <w:b/>
          <w:bCs/>
          <w:sz w:val="20"/>
          <w:szCs w:val="20"/>
          <w:lang w:val="en-GB"/>
        </w:rPr>
      </w:pPr>
    </w:p>
    <w:p w14:paraId="13918CBD" w14:textId="77777777" w:rsidR="00FC71A1" w:rsidRPr="00EA3E1D" w:rsidRDefault="00FC71A1" w:rsidP="00FC71A1">
      <w:pPr>
        <w:rPr>
          <w:rFonts w:ascii="Times New Roman" w:hAnsi="Times New Roman" w:cs="Times New Roman"/>
          <w:b/>
          <w:bCs/>
          <w:sz w:val="20"/>
          <w:szCs w:val="20"/>
          <w:lang w:val="en-GB"/>
        </w:rPr>
      </w:pPr>
    </w:p>
    <w:p w14:paraId="51D0FD42" w14:textId="77777777" w:rsidR="00FC71A1" w:rsidRPr="00EA3E1D" w:rsidRDefault="00FC71A1" w:rsidP="00FC71A1">
      <w:pPr>
        <w:rPr>
          <w:rFonts w:ascii="Times New Roman" w:hAnsi="Times New Roman" w:cs="Times New Roman"/>
          <w:b/>
          <w:bCs/>
          <w:sz w:val="20"/>
          <w:szCs w:val="20"/>
          <w:lang w:val="en-GB"/>
        </w:rPr>
      </w:pPr>
    </w:p>
    <w:p w14:paraId="5990BB92" w14:textId="77777777" w:rsidR="00FC71A1" w:rsidRPr="00EA3E1D" w:rsidRDefault="00FC71A1" w:rsidP="00FC71A1">
      <w:pPr>
        <w:rPr>
          <w:rFonts w:ascii="Times New Roman" w:hAnsi="Times New Roman" w:cs="Times New Roman"/>
          <w:b/>
          <w:bCs/>
          <w:sz w:val="20"/>
          <w:szCs w:val="20"/>
          <w:lang w:val="en-GB"/>
        </w:rPr>
      </w:pPr>
    </w:p>
    <w:p w14:paraId="2078ADC7" w14:textId="77777777" w:rsidR="00FC71A1" w:rsidRPr="00EA3E1D" w:rsidRDefault="00FC71A1" w:rsidP="00FC71A1">
      <w:pPr>
        <w:rPr>
          <w:rFonts w:ascii="Times New Roman" w:hAnsi="Times New Roman" w:cs="Times New Roman"/>
          <w:b/>
          <w:bCs/>
          <w:sz w:val="20"/>
          <w:szCs w:val="20"/>
          <w:lang w:val="en-GB"/>
        </w:rPr>
      </w:pPr>
    </w:p>
    <w:p w14:paraId="50AF67AF" w14:textId="77777777" w:rsidR="00FC71A1" w:rsidRPr="00EA3E1D" w:rsidRDefault="00FC71A1" w:rsidP="00FC71A1">
      <w:pPr>
        <w:rPr>
          <w:rFonts w:ascii="Times New Roman" w:hAnsi="Times New Roman" w:cs="Times New Roman"/>
          <w:b/>
          <w:bCs/>
          <w:sz w:val="20"/>
          <w:szCs w:val="20"/>
          <w:lang w:val="en-GB"/>
        </w:rPr>
      </w:pPr>
    </w:p>
    <w:p w14:paraId="74298DD8" w14:textId="77777777" w:rsidR="00FC71A1" w:rsidRPr="00EA3E1D" w:rsidRDefault="00FC71A1" w:rsidP="00FC71A1">
      <w:pPr>
        <w:rPr>
          <w:rFonts w:ascii="Times New Roman" w:hAnsi="Times New Roman" w:cs="Times New Roman"/>
          <w:b/>
          <w:bCs/>
          <w:sz w:val="20"/>
          <w:szCs w:val="20"/>
          <w:lang w:val="en-GB"/>
        </w:rPr>
      </w:pPr>
    </w:p>
    <w:p w14:paraId="79339F89" w14:textId="77777777" w:rsidR="00FC71A1" w:rsidRPr="00EA3E1D" w:rsidRDefault="00FC71A1" w:rsidP="00FC71A1">
      <w:pPr>
        <w:rPr>
          <w:rFonts w:ascii="Times New Roman" w:hAnsi="Times New Roman" w:cs="Times New Roman"/>
          <w:b/>
          <w:bCs/>
          <w:sz w:val="20"/>
          <w:szCs w:val="20"/>
          <w:lang w:val="en-GB"/>
        </w:rPr>
      </w:pPr>
    </w:p>
    <w:p w14:paraId="4C7C4594" w14:textId="77777777" w:rsidR="00FC71A1" w:rsidRPr="00EA3E1D" w:rsidRDefault="00FC71A1" w:rsidP="00FC71A1">
      <w:pPr>
        <w:rPr>
          <w:rFonts w:ascii="Times New Roman" w:hAnsi="Times New Roman" w:cs="Times New Roman"/>
          <w:b/>
          <w:bCs/>
          <w:sz w:val="20"/>
          <w:szCs w:val="20"/>
          <w:lang w:val="en-GB"/>
        </w:rPr>
      </w:pPr>
    </w:p>
    <w:p w14:paraId="56860D84" w14:textId="77777777" w:rsidR="00FC71A1" w:rsidRPr="00EA3E1D" w:rsidRDefault="00FC71A1" w:rsidP="00FC71A1">
      <w:pPr>
        <w:rPr>
          <w:rFonts w:ascii="Times New Roman" w:hAnsi="Times New Roman" w:cs="Times New Roman"/>
          <w:b/>
          <w:bCs/>
          <w:sz w:val="20"/>
          <w:szCs w:val="20"/>
          <w:lang w:val="en-GB"/>
        </w:rPr>
      </w:pPr>
    </w:p>
    <w:p w14:paraId="6FC1571E" w14:textId="77777777" w:rsidR="00FC71A1" w:rsidRPr="00EA3E1D" w:rsidRDefault="00FC71A1" w:rsidP="00FC71A1">
      <w:pPr>
        <w:rPr>
          <w:rFonts w:ascii="Times New Roman" w:hAnsi="Times New Roman" w:cs="Times New Roman"/>
          <w:b/>
          <w:bCs/>
          <w:sz w:val="20"/>
          <w:szCs w:val="20"/>
          <w:lang w:val="en-GB"/>
        </w:rPr>
      </w:pPr>
    </w:p>
    <w:p w14:paraId="3416625F" w14:textId="77777777" w:rsidR="00EA3E1D" w:rsidRDefault="00EA3E1D" w:rsidP="00FC71A1">
      <w:pPr>
        <w:rPr>
          <w:rFonts w:ascii="Times New Roman" w:hAnsi="Times New Roman" w:cs="Times New Roman"/>
          <w:b/>
          <w:bCs/>
          <w:sz w:val="20"/>
          <w:szCs w:val="20"/>
        </w:rPr>
      </w:pPr>
    </w:p>
    <w:p w14:paraId="7F1D2CAA" w14:textId="77777777" w:rsidR="00EA3E1D" w:rsidRDefault="00EA3E1D" w:rsidP="00FC71A1">
      <w:pPr>
        <w:rPr>
          <w:rFonts w:ascii="Times New Roman" w:hAnsi="Times New Roman" w:cs="Times New Roman"/>
          <w:b/>
          <w:bCs/>
          <w:sz w:val="20"/>
          <w:szCs w:val="20"/>
        </w:rPr>
      </w:pPr>
    </w:p>
    <w:p w14:paraId="5654D4D7" w14:textId="77777777" w:rsidR="00EA3E1D" w:rsidRDefault="00EA3E1D" w:rsidP="00FC71A1">
      <w:pPr>
        <w:rPr>
          <w:rFonts w:ascii="Times New Roman" w:hAnsi="Times New Roman" w:cs="Times New Roman"/>
          <w:b/>
          <w:bCs/>
          <w:sz w:val="20"/>
          <w:szCs w:val="20"/>
        </w:rPr>
      </w:pPr>
    </w:p>
    <w:p w14:paraId="6DA770B1" w14:textId="1D4760AF" w:rsidR="00FC71A1" w:rsidRPr="00EA3E1D" w:rsidRDefault="00FC71A1" w:rsidP="00FC71A1">
      <w:pPr>
        <w:rPr>
          <w:rFonts w:ascii="Times New Roman" w:hAnsi="Times New Roman" w:cs="Times New Roman"/>
          <w:b/>
          <w:bCs/>
          <w:sz w:val="24"/>
          <w:szCs w:val="20"/>
        </w:rPr>
      </w:pPr>
      <w:r w:rsidRPr="00EA3E1D">
        <w:rPr>
          <w:rFonts w:ascii="Times New Roman" w:hAnsi="Times New Roman" w:cs="Times New Roman"/>
          <w:b/>
          <w:bCs/>
          <w:sz w:val="24"/>
          <w:szCs w:val="20"/>
        </w:rPr>
        <w:lastRenderedPageBreak/>
        <w:t>Supplemental Methods</w:t>
      </w:r>
    </w:p>
    <w:p w14:paraId="4B9B1F80" w14:textId="03541A38" w:rsidR="00FC71A1" w:rsidRPr="00EA3E1D" w:rsidRDefault="00FC71A1" w:rsidP="00FC71A1">
      <w:pPr>
        <w:jc w:val="both"/>
        <w:rPr>
          <w:rFonts w:ascii="Times New Roman" w:hAnsi="Times New Roman" w:cs="Times New Roman"/>
          <w:b/>
          <w:sz w:val="24"/>
          <w:szCs w:val="20"/>
        </w:rPr>
      </w:pPr>
      <w:r w:rsidRPr="00EA3E1D">
        <w:rPr>
          <w:rFonts w:ascii="Times New Roman" w:hAnsi="Times New Roman" w:cs="Times New Roman"/>
          <w:b/>
          <w:sz w:val="24"/>
          <w:szCs w:val="20"/>
        </w:rPr>
        <w:t>S1</w:t>
      </w:r>
      <w:r w:rsidR="00B1078E" w:rsidRPr="00EA3E1D">
        <w:rPr>
          <w:rFonts w:ascii="Times New Roman" w:hAnsi="Times New Roman" w:cs="Times New Roman"/>
          <w:b/>
          <w:sz w:val="24"/>
          <w:szCs w:val="20"/>
        </w:rPr>
        <w:t>.</w:t>
      </w:r>
      <w:r w:rsidRPr="00EA3E1D">
        <w:rPr>
          <w:rFonts w:ascii="Times New Roman" w:hAnsi="Times New Roman" w:cs="Times New Roman"/>
          <w:b/>
          <w:sz w:val="24"/>
          <w:szCs w:val="20"/>
        </w:rPr>
        <w:t xml:space="preserve"> Exposure assessment</w:t>
      </w:r>
    </w:p>
    <w:p w14:paraId="19144C3E" w14:textId="77777777" w:rsidR="00FC71A1" w:rsidRPr="00EA3E1D" w:rsidRDefault="00FC71A1" w:rsidP="00FC71A1">
      <w:pPr>
        <w:ind w:firstLine="720"/>
        <w:jc w:val="both"/>
        <w:rPr>
          <w:rFonts w:ascii="Times New Roman" w:hAnsi="Times New Roman" w:cs="Times New Roman"/>
          <w:b/>
          <w:sz w:val="20"/>
          <w:szCs w:val="20"/>
        </w:rPr>
      </w:pPr>
      <w:r w:rsidRPr="00EA3E1D">
        <w:rPr>
          <w:rFonts w:ascii="Times New Roman" w:hAnsi="Times New Roman" w:cs="Times New Roman"/>
          <w:b/>
          <w:sz w:val="20"/>
          <w:szCs w:val="20"/>
        </w:rPr>
        <w:t>- Public park cover</w:t>
      </w:r>
    </w:p>
    <w:p w14:paraId="3ABD98BA" w14:textId="5965AF7B"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 xml:space="preserve">We created a public park cover dataset based on the </w:t>
      </w:r>
      <w:r w:rsidR="00A24BE3" w:rsidRPr="00EA3E1D">
        <w:rPr>
          <w:rFonts w:ascii="Times New Roman" w:hAnsi="Times New Roman" w:cs="Times New Roman"/>
          <w:sz w:val="20"/>
          <w:szCs w:val="20"/>
        </w:rPr>
        <w:t>United States Geological Survey</w:t>
      </w:r>
      <w:r w:rsidRPr="00EA3E1D">
        <w:rPr>
          <w:rFonts w:ascii="Times New Roman" w:hAnsi="Times New Roman" w:cs="Times New Roman"/>
          <w:sz w:val="20"/>
          <w:szCs w:val="20"/>
        </w:rPr>
        <w:t xml:space="preserve"> Protected Areas Database of the US (PAD-US)</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The PAD-US strives to be a complete inventory of public land and other protected areas in the US by compiling the “best available” data provided by land managing agencies and organizations</w:t>
      </w:r>
      <w:r w:rsidR="00B1078E" w:rsidRPr="00EA3E1D">
        <w:rPr>
          <w:rFonts w:ascii="Times New Roman" w:hAnsi="Times New Roman" w:cs="Times New Roman"/>
          <w:sz w:val="20"/>
          <w:szCs w:val="20"/>
        </w:rPr>
        <w:t>.</w:t>
      </w:r>
      <w:r w:rsidR="005E6CEF" w:rsidRPr="00EA3E1D">
        <w:rPr>
          <w:rFonts w:ascii="Times New Roman" w:hAnsi="Times New Roman" w:cs="Times New Roman"/>
          <w:sz w:val="20"/>
          <w:szCs w:val="20"/>
        </w:rPr>
        <w:fldChar w:fldCharType="begin" w:fldLock="1"/>
      </w:r>
      <w:r w:rsidR="005E6CEF" w:rsidRPr="00EA3E1D">
        <w:rPr>
          <w:rFonts w:ascii="Times New Roman" w:hAnsi="Times New Roman" w:cs="Times New Roman"/>
          <w:sz w:val="20"/>
          <w:szCs w:val="20"/>
        </w:rPr>
        <w:instrText>ADDIN CSL_CITATION {"citationItems":[{"id":"ITEM-1","itemData":{"DOI":"https://doi.org/10.5066/P92QM3NT.","URL":"https://www.sciencebase.gov/catalog/item/5f186a2082cef313ed843257","accessed":{"date-parts":[["2021","3","1"]]},"author":[{"dropping-particle":"","family":"U.S. Geological Survey (USGS)","given":"","non-dropping-particle":"","parse-names":false,"suffix":""},{"dropping-particle":"","family":"Gap Analysis Project","given":"","non-dropping-particle":"","parse-names":false,"suffix":""}],"id":"ITEM-1","issued":{"date-parts":[["2020"]]},"title":"Protected Areas Database of the United States (PAD-US) 2.1: U.S. Geological Survey data release","type":"webpage"},"uris":["http://www.mendeley.com/documents/?uuid=3bb2fa9a-d13b-3a8d-ac56-9d4ce0ebef2c"]}],"mendeley":{"formattedCitation":"&lt;sup&gt;1&lt;/sup&gt;","plainTextFormattedCitation":"1","previouslyFormattedCitation":"(U.S. Geological Survey (USGS) and Gap Analysis Project 2020)"},"properties":{"noteIndex":0},"schema":"https://github.com/citation-style-language/schema/raw/master/csl-citation.json"}</w:instrText>
      </w:r>
      <w:r w:rsidR="005E6CEF" w:rsidRPr="00EA3E1D">
        <w:rPr>
          <w:rFonts w:ascii="Times New Roman" w:hAnsi="Times New Roman" w:cs="Times New Roman"/>
          <w:sz w:val="20"/>
          <w:szCs w:val="20"/>
        </w:rPr>
        <w:fldChar w:fldCharType="separate"/>
      </w:r>
      <w:r w:rsidR="005E6CEF" w:rsidRPr="00EA3E1D">
        <w:rPr>
          <w:rFonts w:ascii="Times New Roman" w:hAnsi="Times New Roman" w:cs="Times New Roman"/>
          <w:noProof/>
          <w:sz w:val="20"/>
          <w:szCs w:val="20"/>
          <w:vertAlign w:val="superscript"/>
        </w:rPr>
        <w:t>1</w:t>
      </w:r>
      <w:r w:rsidR="005E6CEF" w:rsidRPr="00EA3E1D">
        <w:rPr>
          <w:rFonts w:ascii="Times New Roman" w:hAnsi="Times New Roman" w:cs="Times New Roman"/>
          <w:sz w:val="20"/>
          <w:szCs w:val="20"/>
        </w:rPr>
        <w:fldChar w:fldCharType="end"/>
      </w:r>
      <w:r w:rsidRPr="00EA3E1D">
        <w:rPr>
          <w:rFonts w:ascii="Times New Roman" w:hAnsi="Times New Roman" w:cs="Times New Roman"/>
          <w:sz w:val="20"/>
          <w:szCs w:val="20"/>
        </w:rPr>
        <w:t xml:space="preserve"> As PAD-US differentiates between multiple types of public lands, we selected all land types that are likely to be known and used by the general public for outdoor recreation from PAD-US V2</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1 (2020) to create a public park cover dataset</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This included only open and restricted access areas to provide an accessible and recreational version of the PAD-US ("PAD-US-AR")</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To assess zip code-level public park cover, we converted the public park dataset to a raster image and calculated percent public park cover for each zip code</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w:t>
      </w:r>
    </w:p>
    <w:p w14:paraId="1698E5E0" w14:textId="77777777"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 xml:space="preserve">The following designations were </w:t>
      </w:r>
      <w:r w:rsidRPr="00EA3E1D">
        <w:rPr>
          <w:rFonts w:ascii="Times New Roman" w:hAnsi="Times New Roman" w:cs="Times New Roman"/>
          <w:sz w:val="20"/>
          <w:szCs w:val="20"/>
          <w:u w:val="single"/>
        </w:rPr>
        <w:t>included</w:t>
      </w:r>
      <w:r w:rsidRPr="00EA3E1D">
        <w:rPr>
          <w:rFonts w:ascii="Times New Roman" w:hAnsi="Times New Roman" w:cs="Times New Roman"/>
          <w:sz w:val="20"/>
          <w:szCs w:val="20"/>
        </w:rPr>
        <w:t xml:space="preserve"> in the public park cover dataset (PAD-US-AR): </w:t>
      </w:r>
    </w:p>
    <w:p w14:paraId="02B76EBD" w14:textId="76FC5582" w:rsidR="00FC71A1" w:rsidRPr="00EA3E1D" w:rsidRDefault="00FC71A1" w:rsidP="00FC71A1">
      <w:pPr>
        <w:pStyle w:val="ListParagraph"/>
        <w:numPr>
          <w:ilvl w:val="0"/>
          <w:numId w:val="2"/>
        </w:numPr>
        <w:jc w:val="both"/>
        <w:rPr>
          <w:rFonts w:ascii="Times New Roman" w:hAnsi="Times New Roman" w:cs="Times New Roman"/>
          <w:sz w:val="20"/>
          <w:szCs w:val="20"/>
        </w:rPr>
      </w:pPr>
      <w:r w:rsidRPr="00EA3E1D">
        <w:rPr>
          <w:rFonts w:ascii="Times New Roman" w:hAnsi="Times New Roman" w:cs="Times New Roman"/>
          <w:sz w:val="20"/>
          <w:szCs w:val="20"/>
        </w:rPr>
        <w:t>Parks and open spaces open for public access or restricted access (i</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e</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seasonally open, fees required, or permits required) including but not limited to lands managed by the National Park Service, U</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S</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Forest Service, Bureau of Land Management, U</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S</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Fish &amp; Wildlife, Army Corps of Engineers, State Parks, State Departments of Conservation, State Departments of Natural Resources, State Departments of Land, State Fish and Wildlife Departments, State Forest Service, State Park and Recreation Departments, Tennessee Valley Authority, and city and county park and recreation departments</w:t>
      </w:r>
    </w:p>
    <w:p w14:paraId="521FEA27" w14:textId="77777777" w:rsidR="00FC71A1" w:rsidRPr="00EA3E1D" w:rsidRDefault="00FC71A1" w:rsidP="00FC71A1">
      <w:pPr>
        <w:pStyle w:val="ListParagraph"/>
        <w:numPr>
          <w:ilvl w:val="0"/>
          <w:numId w:val="2"/>
        </w:numPr>
        <w:jc w:val="both"/>
        <w:rPr>
          <w:rFonts w:ascii="Times New Roman" w:hAnsi="Times New Roman" w:cs="Times New Roman"/>
          <w:sz w:val="20"/>
          <w:szCs w:val="20"/>
        </w:rPr>
      </w:pPr>
      <w:r w:rsidRPr="00EA3E1D">
        <w:rPr>
          <w:rFonts w:ascii="Times New Roman" w:hAnsi="Times New Roman" w:cs="Times New Roman"/>
          <w:sz w:val="20"/>
          <w:szCs w:val="20"/>
        </w:rPr>
        <w:t>Conservation easements</w:t>
      </w:r>
    </w:p>
    <w:p w14:paraId="2D66BB6E" w14:textId="77777777"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rPr>
        <w:t xml:space="preserve">The following designations </w:t>
      </w:r>
      <w:proofErr w:type="gramStart"/>
      <w:r w:rsidRPr="00EA3E1D">
        <w:rPr>
          <w:rFonts w:ascii="Times New Roman" w:hAnsi="Times New Roman" w:cs="Times New Roman"/>
          <w:sz w:val="20"/>
          <w:szCs w:val="20"/>
        </w:rPr>
        <w:t xml:space="preserve">were </w:t>
      </w:r>
      <w:r w:rsidRPr="00EA3E1D">
        <w:rPr>
          <w:rFonts w:ascii="Times New Roman" w:hAnsi="Times New Roman" w:cs="Times New Roman"/>
          <w:sz w:val="20"/>
          <w:szCs w:val="20"/>
          <w:u w:val="single"/>
        </w:rPr>
        <w:t>excluded</w:t>
      </w:r>
      <w:proofErr w:type="gramEnd"/>
      <w:r w:rsidRPr="00EA3E1D">
        <w:rPr>
          <w:rFonts w:ascii="Times New Roman" w:hAnsi="Times New Roman" w:cs="Times New Roman"/>
          <w:sz w:val="20"/>
          <w:szCs w:val="20"/>
        </w:rPr>
        <w:t xml:space="preserve"> from the public park cover dataset (PAD-US-AR): </w:t>
      </w:r>
    </w:p>
    <w:p w14:paraId="59312C99" w14:textId="77777777"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 xml:space="preserve">Department of Energy, Department of Defense, and Bureau of Reclamation lands </w:t>
      </w:r>
    </w:p>
    <w:p w14:paraId="4E88C7EB" w14:textId="665164A4"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Marine areas managed as/by Marine Protected Areas, National Oceanic and Atmospheric Administration, Bureau of Ocean Energy Management, etc</w:t>
      </w:r>
      <w:r w:rsidR="00B1078E" w:rsidRPr="00EA3E1D">
        <w:rPr>
          <w:rFonts w:ascii="Times New Roman" w:hAnsi="Times New Roman" w:cs="Times New Roman"/>
          <w:sz w:val="20"/>
          <w:szCs w:val="20"/>
        </w:rPr>
        <w:t>.</w:t>
      </w:r>
    </w:p>
    <w:p w14:paraId="706A5025" w14:textId="77777777"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Proclamation areas, which are boundaries of national lands used for administrative purposes that overlap with large areas of public lands that are not all available to the public</w:t>
      </w:r>
    </w:p>
    <w:p w14:paraId="39918A1C" w14:textId="77777777"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 xml:space="preserve">Fish hatcheries and other lands used for water rights with regulated hunting </w:t>
      </w:r>
    </w:p>
    <w:p w14:paraId="1F6C38F4" w14:textId="168D6146"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National Park easements (i</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e</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lands paralleling but not including the Appalachian Trail and not used by the public)</w:t>
      </w:r>
    </w:p>
    <w:p w14:paraId="15D1A7E2" w14:textId="7947CE8C"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Joint management areas (i</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e</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university research stations)</w:t>
      </w:r>
    </w:p>
    <w:p w14:paraId="27224845" w14:textId="77777777"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Non-governmental organization lands (aside from conservation easements)</w:t>
      </w:r>
    </w:p>
    <w:p w14:paraId="693B3743" w14:textId="77777777"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State trust/land survey lands</w:t>
      </w:r>
    </w:p>
    <w:p w14:paraId="1FC3E806" w14:textId="77777777"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American Indian Lands</w:t>
      </w:r>
    </w:p>
    <w:p w14:paraId="39A8EA1F" w14:textId="24AE8241" w:rsidR="00FC71A1" w:rsidRPr="00EA3E1D" w:rsidRDefault="00FC71A1" w:rsidP="00FC71A1">
      <w:pPr>
        <w:pStyle w:val="ListParagraph"/>
        <w:numPr>
          <w:ilvl w:val="0"/>
          <w:numId w:val="3"/>
        </w:numPr>
        <w:jc w:val="both"/>
        <w:rPr>
          <w:rFonts w:ascii="Times New Roman" w:hAnsi="Times New Roman" w:cs="Times New Roman"/>
          <w:sz w:val="20"/>
          <w:szCs w:val="20"/>
        </w:rPr>
      </w:pPr>
      <w:r w:rsidRPr="00EA3E1D">
        <w:rPr>
          <w:rFonts w:ascii="Times New Roman" w:hAnsi="Times New Roman" w:cs="Times New Roman"/>
          <w:sz w:val="20"/>
          <w:szCs w:val="20"/>
        </w:rPr>
        <w:t>Other areas with unknown access or closed public access (i</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e</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limited to coordinated programs and research)</w:t>
      </w:r>
    </w:p>
    <w:p w14:paraId="202A8D17" w14:textId="77777777" w:rsidR="00FC71A1" w:rsidRPr="00EA3E1D" w:rsidRDefault="00FC71A1" w:rsidP="00FC71A1">
      <w:pPr>
        <w:ind w:firstLine="720"/>
        <w:jc w:val="both"/>
        <w:rPr>
          <w:rFonts w:ascii="Times New Roman" w:hAnsi="Times New Roman" w:cs="Times New Roman"/>
          <w:b/>
          <w:sz w:val="20"/>
          <w:szCs w:val="20"/>
        </w:rPr>
      </w:pPr>
      <w:r w:rsidRPr="00EA3E1D">
        <w:rPr>
          <w:rFonts w:ascii="Times New Roman" w:hAnsi="Times New Roman" w:cs="Times New Roman"/>
          <w:b/>
          <w:sz w:val="20"/>
          <w:szCs w:val="20"/>
        </w:rPr>
        <w:t>- Greenness</w:t>
      </w:r>
    </w:p>
    <w:p w14:paraId="1B737F6D" w14:textId="157ABD8B" w:rsidR="00FC71A1" w:rsidRPr="00EA3E1D" w:rsidRDefault="00FC71A1" w:rsidP="00FC71A1">
      <w:pPr>
        <w:jc w:val="both"/>
        <w:rPr>
          <w:rFonts w:ascii="Times New Roman" w:hAnsi="Times New Roman" w:cs="Times New Roman"/>
          <w:sz w:val="20"/>
          <w:szCs w:val="20"/>
          <w:lang w:val="en-GB"/>
        </w:rPr>
      </w:pPr>
      <w:r w:rsidRPr="00EA3E1D">
        <w:rPr>
          <w:rFonts w:ascii="Times New Roman" w:hAnsi="Times New Roman" w:cs="Times New Roman"/>
          <w:sz w:val="20"/>
          <w:szCs w:val="20"/>
          <w:lang w:val="en-GB"/>
        </w:rPr>
        <w:t>The Normalized Difference Vegetation Index (NDVI), an indicator of greenness, was estimated using satellite imagery</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The NDVI is calculated as the ratio between the red and near infrared values</w:t>
      </w:r>
      <w:r w:rsidR="00B1078E" w:rsidRPr="00EA3E1D">
        <w:rPr>
          <w:rFonts w:ascii="Times New Roman" w:hAnsi="Times New Roman" w:cs="Times New Roman"/>
          <w:sz w:val="20"/>
          <w:szCs w:val="20"/>
          <w:lang w:val="en-GB"/>
        </w:rPr>
        <w:t>.</w:t>
      </w:r>
      <w:r w:rsidR="005E6CEF" w:rsidRPr="00EA3E1D">
        <w:rPr>
          <w:rFonts w:ascii="Times New Roman" w:hAnsi="Times New Roman" w:cs="Times New Roman"/>
          <w:sz w:val="20"/>
          <w:szCs w:val="20"/>
          <w:lang w:val="en-GB"/>
        </w:rPr>
        <w:fldChar w:fldCharType="begin" w:fldLock="1"/>
      </w:r>
      <w:r w:rsidR="005E6CEF" w:rsidRPr="00EA3E1D">
        <w:rPr>
          <w:rFonts w:ascii="Times New Roman" w:hAnsi="Times New Roman" w:cs="Times New Roman"/>
          <w:sz w:val="20"/>
          <w:szCs w:val="20"/>
          <w:lang w:val="en-GB"/>
        </w:rPr>
        <w:instrText>ADDIN CSL_CITATION {"citationItems":[{"id":"ITEM-1","itemData":{"URL":"https://earthobservatory.nasa.gov/features/MeasuringVegetation/measuring_vegetation_2.php","accessed":{"date-parts":[["2020","6","16"]]},"author":[{"dropping-particle":"","family":"NASA","given":"","non-dropping-particle":"","parse-names":false,"suffix":""}],"id":"ITEM-1","issued":{"date-parts":[["0"]]},"title":"Measuring Vegetation (NDVI &amp; EVI)","type":"webpage"},"uris":["http://www.mendeley.com/documents/?uuid=e073f961-e875-39dd-8257-781aaeded68e"]}],"mendeley":{"formattedCitation":"&lt;sup&gt;2&lt;/sup&gt;","plainTextFormattedCitation":"2","previouslyFormattedCitation":"(NASA)"},"properties":{"noteIndex":0},"schema":"https://github.com/citation-style-language/schema/raw/master/csl-citation.json"}</w:instrText>
      </w:r>
      <w:r w:rsidR="005E6CEF" w:rsidRPr="00EA3E1D">
        <w:rPr>
          <w:rFonts w:ascii="Times New Roman" w:hAnsi="Times New Roman" w:cs="Times New Roman"/>
          <w:sz w:val="20"/>
          <w:szCs w:val="20"/>
          <w:lang w:val="en-GB"/>
        </w:rPr>
        <w:fldChar w:fldCharType="separate"/>
      </w:r>
      <w:r w:rsidR="005E6CEF" w:rsidRPr="00EA3E1D">
        <w:rPr>
          <w:rFonts w:ascii="Times New Roman" w:hAnsi="Times New Roman" w:cs="Times New Roman"/>
          <w:noProof/>
          <w:sz w:val="20"/>
          <w:szCs w:val="20"/>
          <w:vertAlign w:val="superscript"/>
          <w:lang w:val="en-GB"/>
        </w:rPr>
        <w:t>2</w:t>
      </w:r>
      <w:r w:rsidR="005E6CEF" w:rsidRPr="00EA3E1D">
        <w:rPr>
          <w:rFonts w:ascii="Times New Roman" w:hAnsi="Times New Roman" w:cs="Times New Roman"/>
          <w:sz w:val="20"/>
          <w:szCs w:val="20"/>
          <w:lang w:val="en-GB"/>
        </w:rPr>
        <w:fldChar w:fldCharType="end"/>
      </w:r>
      <w:r w:rsidRPr="00EA3E1D">
        <w:rPr>
          <w:rFonts w:ascii="Times New Roman" w:hAnsi="Times New Roman" w:cs="Times New Roman"/>
          <w:sz w:val="20"/>
          <w:szCs w:val="20"/>
          <w:lang w:val="en-GB"/>
        </w:rPr>
        <w:t xml:space="preserve"> NDVI ranges from </w:t>
      </w:r>
      <w:proofErr w:type="gramStart"/>
      <w:r w:rsidRPr="00EA3E1D">
        <w:rPr>
          <w:rFonts w:ascii="Times New Roman" w:hAnsi="Times New Roman" w:cs="Times New Roman"/>
          <w:sz w:val="20"/>
          <w:szCs w:val="20"/>
          <w:lang w:val="en-GB"/>
        </w:rPr>
        <w:t>-1</w:t>
      </w:r>
      <w:proofErr w:type="gramEnd"/>
      <w:r w:rsidRPr="00EA3E1D">
        <w:rPr>
          <w:rFonts w:ascii="Times New Roman" w:hAnsi="Times New Roman" w:cs="Times New Roman"/>
          <w:sz w:val="20"/>
          <w:szCs w:val="20"/>
          <w:lang w:val="en-GB"/>
        </w:rPr>
        <w:t xml:space="preserve"> to 1 and values close to 1 correspond to areas with complete coverage by live vegetation, values close to zero correspond to areas without live vegetation and negative values correspond to water</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To assess greenness, we used images from Landsat 7 and Landsat 8 (Collection 1 Tier 1 DN values, representing scaled, calibrated at sensor radiance) for the entire US from June 1, up to August 31 (summer), for each year (2000-2016)</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Landsat 7 and Landsat 8 images </w:t>
      </w:r>
      <w:proofErr w:type="gramStart"/>
      <w:r w:rsidRPr="00EA3E1D">
        <w:rPr>
          <w:rFonts w:ascii="Times New Roman" w:hAnsi="Times New Roman" w:cs="Times New Roman"/>
          <w:sz w:val="20"/>
          <w:szCs w:val="20"/>
          <w:lang w:val="en-GB"/>
        </w:rPr>
        <w:t>are generated</w:t>
      </w:r>
      <w:proofErr w:type="gramEnd"/>
      <w:r w:rsidRPr="00EA3E1D">
        <w:rPr>
          <w:rFonts w:ascii="Times New Roman" w:hAnsi="Times New Roman" w:cs="Times New Roman"/>
          <w:sz w:val="20"/>
          <w:szCs w:val="20"/>
          <w:lang w:val="en-GB"/>
        </w:rPr>
        <w:t xml:space="preserve"> every 16 days at 30m resolution</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Using Google Earth Engine,</w:t>
      </w:r>
      <w:r w:rsidR="005E6CEF" w:rsidRPr="00EA3E1D">
        <w:rPr>
          <w:rFonts w:ascii="Times New Roman" w:hAnsi="Times New Roman" w:cs="Times New Roman"/>
          <w:sz w:val="20"/>
          <w:szCs w:val="20"/>
          <w:lang w:val="en-GB"/>
        </w:rPr>
        <w:fldChar w:fldCharType="begin" w:fldLock="1"/>
      </w:r>
      <w:r w:rsidR="005E6CEF" w:rsidRPr="00EA3E1D">
        <w:rPr>
          <w:rFonts w:ascii="Times New Roman" w:hAnsi="Times New Roman" w:cs="Times New Roman"/>
          <w:sz w:val="20"/>
          <w:szCs w:val="20"/>
          <w:lang w:val="en-GB"/>
        </w:rPr>
        <w:instrText>ADDIN CSL_CITATION {"citationItems":[{"id":"ITEM-1","itemData":{"DOI":"10.1016/j.rse.2017.06.031","ISSN":"00344257","abstract":"Google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Environment","id":"ITEM-1","issued":{"date-parts":[["2017","12","1"]]},"page":"18-27","publisher":"Elsevier Inc.","title":"Google Earth Engine: Planetary-scale geospatial analysis for everyone","type":"article-journal","volume":"202"},"uris":["http://www.mendeley.com/documents/?uuid=50b154d4-a60a-347e-9bd8-8fbbd41b0b03"]}],"mendeley":{"formattedCitation":"&lt;sup&gt;3&lt;/sup&gt;","plainTextFormattedCitation":"3","previouslyFormattedCitation":"(Gorelick et al. 2017)"},"properties":{"noteIndex":0},"schema":"https://github.com/citation-style-language/schema/raw/master/csl-citation.json"}</w:instrText>
      </w:r>
      <w:r w:rsidR="005E6CEF" w:rsidRPr="00EA3E1D">
        <w:rPr>
          <w:rFonts w:ascii="Times New Roman" w:hAnsi="Times New Roman" w:cs="Times New Roman"/>
          <w:sz w:val="20"/>
          <w:szCs w:val="20"/>
          <w:lang w:val="en-GB"/>
        </w:rPr>
        <w:fldChar w:fldCharType="separate"/>
      </w:r>
      <w:r w:rsidR="005E6CEF" w:rsidRPr="00EA3E1D">
        <w:rPr>
          <w:rFonts w:ascii="Times New Roman" w:hAnsi="Times New Roman" w:cs="Times New Roman"/>
          <w:noProof/>
          <w:sz w:val="20"/>
          <w:szCs w:val="20"/>
          <w:vertAlign w:val="superscript"/>
          <w:lang w:val="en-GB"/>
        </w:rPr>
        <w:t>3</w:t>
      </w:r>
      <w:r w:rsidR="005E6CEF" w:rsidRPr="00EA3E1D">
        <w:rPr>
          <w:rFonts w:ascii="Times New Roman" w:hAnsi="Times New Roman" w:cs="Times New Roman"/>
          <w:sz w:val="20"/>
          <w:szCs w:val="20"/>
          <w:lang w:val="en-GB"/>
        </w:rPr>
        <w:fldChar w:fldCharType="end"/>
      </w:r>
      <w:r w:rsidRPr="00EA3E1D">
        <w:rPr>
          <w:rFonts w:ascii="Times New Roman" w:hAnsi="Times New Roman" w:cs="Times New Roman"/>
          <w:sz w:val="20"/>
          <w:szCs w:val="20"/>
          <w:lang w:val="en-GB"/>
        </w:rPr>
        <w:t xml:space="preserve"> we made cloud-free composite maps for the contiguous US</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After setting negative NDVI values to zero,</w:t>
      </w:r>
      <w:r w:rsidRPr="00EA3E1D" w:rsidDel="000E11A3">
        <w:rPr>
          <w:rFonts w:ascii="Times New Roman" w:hAnsi="Times New Roman" w:cs="Times New Roman"/>
          <w:sz w:val="20"/>
          <w:szCs w:val="20"/>
          <w:lang w:val="en-GB"/>
        </w:rPr>
        <w:t xml:space="preserve"> </w:t>
      </w:r>
      <w:r w:rsidRPr="00EA3E1D">
        <w:rPr>
          <w:rFonts w:ascii="Times New Roman" w:hAnsi="Times New Roman" w:cs="Times New Roman"/>
          <w:sz w:val="20"/>
          <w:szCs w:val="20"/>
          <w:lang w:val="en-GB"/>
        </w:rPr>
        <w:t>we calculated the spatially weighted mean summer NDVI for each zip code in the US for each year</w:t>
      </w:r>
      <w:r w:rsidR="00B1078E" w:rsidRPr="00EA3E1D">
        <w:rPr>
          <w:rFonts w:ascii="Times New Roman" w:hAnsi="Times New Roman" w:cs="Times New Roman"/>
          <w:sz w:val="20"/>
          <w:szCs w:val="20"/>
          <w:lang w:val="en-GB"/>
        </w:rPr>
        <w:t>.</w:t>
      </w:r>
    </w:p>
    <w:p w14:paraId="38EC4ACB" w14:textId="77777777" w:rsidR="00FC71A1" w:rsidRPr="00EA3E1D" w:rsidRDefault="00FC71A1" w:rsidP="00FC71A1">
      <w:pPr>
        <w:ind w:firstLine="720"/>
        <w:jc w:val="both"/>
        <w:rPr>
          <w:rFonts w:ascii="Times New Roman" w:hAnsi="Times New Roman" w:cs="Times New Roman"/>
          <w:b/>
          <w:sz w:val="20"/>
          <w:szCs w:val="20"/>
          <w:lang w:val="en-GB"/>
        </w:rPr>
      </w:pPr>
      <w:r w:rsidRPr="00EA3E1D">
        <w:rPr>
          <w:rFonts w:ascii="Times New Roman" w:hAnsi="Times New Roman" w:cs="Times New Roman"/>
          <w:b/>
          <w:sz w:val="20"/>
          <w:szCs w:val="20"/>
          <w:lang w:val="en-GB"/>
        </w:rPr>
        <w:t>- Blue space cover</w:t>
      </w:r>
    </w:p>
    <w:p w14:paraId="5BFE318D" w14:textId="52D38639" w:rsidR="00FC71A1" w:rsidRPr="00EA3E1D" w:rsidRDefault="00FC71A1" w:rsidP="00FC71A1">
      <w:pPr>
        <w:jc w:val="both"/>
        <w:rPr>
          <w:rFonts w:ascii="Times New Roman" w:hAnsi="Times New Roman" w:cs="Times New Roman"/>
          <w:sz w:val="20"/>
          <w:szCs w:val="20"/>
        </w:rPr>
      </w:pPr>
      <w:r w:rsidRPr="00EA3E1D">
        <w:rPr>
          <w:rFonts w:ascii="Times New Roman" w:hAnsi="Times New Roman" w:cs="Times New Roman"/>
          <w:sz w:val="20"/>
          <w:szCs w:val="20"/>
          <w:lang w:val="en-GB"/>
        </w:rPr>
        <w:t xml:space="preserve">We estimated blue space using satellite imagery based on </w:t>
      </w:r>
      <w:r w:rsidRPr="00EA3E1D">
        <w:rPr>
          <w:rFonts w:ascii="Times New Roman" w:hAnsi="Times New Roman" w:cs="Times New Roman"/>
          <w:sz w:val="20"/>
          <w:szCs w:val="20"/>
        </w:rPr>
        <w:t>the Joint Research Centre's Global Surface Water Dataset</w:t>
      </w:r>
      <w:r w:rsidR="00B1078E" w:rsidRPr="00EA3E1D">
        <w:rPr>
          <w:rFonts w:ascii="Times New Roman" w:hAnsi="Times New Roman" w:cs="Times New Roman"/>
          <w:sz w:val="20"/>
          <w:szCs w:val="20"/>
        </w:rPr>
        <w:t>.</w:t>
      </w:r>
      <w:r w:rsidR="005E6CEF" w:rsidRPr="00EA3E1D">
        <w:rPr>
          <w:rFonts w:ascii="Times New Roman" w:hAnsi="Times New Roman" w:cs="Times New Roman"/>
          <w:sz w:val="20"/>
          <w:szCs w:val="20"/>
        </w:rPr>
        <w:fldChar w:fldCharType="begin" w:fldLock="1"/>
      </w:r>
      <w:r w:rsidR="005E6CEF" w:rsidRPr="00EA3E1D">
        <w:rPr>
          <w:rFonts w:ascii="Times New Roman" w:hAnsi="Times New Roman" w:cs="Times New Roman"/>
          <w:sz w:val="20"/>
          <w:szCs w:val="20"/>
        </w:rPr>
        <w:instrText>ADDIN CSL_CITATION {"citationItems":[{"id":"ITEM-1","itemData":{"DOI":"10.1038/nature20584","ISSN":"14764687","PMID":"27926733","abstract":"The location and persistence of surface water (inland and coastal) is both affected by climate and human activity and affects climate, biological diversity and human wellbeing. Global data sets documenting surface water location and seasonality have been produced from inventories and national descriptions, statistical extrapolation of regional data and satellite imagery, but measuring long-term changes at high resolution remains a challenge. Here, using three million Landsat satellite images, we quantify changes in global surface water over the past 32 years at 30-metre resolution. We record the months and years when water was present, where occurrence changed and what form changes took in terms of seasonality and persistence. Between 1984 and 2015 permanent surface water has disappeared from an area of almost 90,000 square kilometres, roughly equivalent to that of Lake Superior, though new permanent bodies of surface water covering 184,000 square kilometres have formed elsewhere. All continental regions show a net increase in permanent water, except Oceania, which has a fractional (one per cent) net loss. Much of the increase is from reservoir filling, although climate change is also implicated. Loss is more geographically concentrated than gain. Over 70 per cent of global net permanent water loss occurred in the Middle East and Central Asia, linked to drought and human actions including river diversion or damming and unregulated withdrawal. Losses in Australia and the USA linked to long-term droughts are also evident. This globally consistent, validated data set shows that impacts of climate change and climate oscillations on surface water occurrence can be measured and that evidence can be gathered to show how surface water is altered by human activities. We anticipate that this freely available data will improve the modelling of surface forcing, provide evidence of state and change in wetland ecotones (the transition areas between biomes), and inform water-management decision-making.","author":[{"dropping-particle":"","family":"Pekel","given":"Jean François","non-dropping-particle":"","parse-names":false,"suffix":""},{"dropping-particle":"","family":"Cottam","given":"Andrew","non-dropping-particle":"","parse-names":false,"suffix":""},{"dropping-particle":"","family":"Gorelick","given":"Noel","non-dropping-particle":"","parse-names":false,"suffix":""},{"dropping-particle":"","family":"Belward","given":"Alan S.","non-dropping-particle":"","parse-names":false,"suffix":""}],"container-title":"Nature","id":"ITEM-1","issue":"7633","issued":{"date-parts":[["2016","12","15"]]},"page":"418-422","publisher":"Nature Publishing Group","title":"High-resolution mapping of global surface water and its long-term changes","type":"article-journal","volume":"540"},"uris":["http://www.mendeley.com/documents/?uuid=7a61ea5b-8837-3ce2-9a25-6db9326c705d"]}],"mendeley":{"formattedCitation":"&lt;sup&gt;4&lt;/sup&gt;","plainTextFormattedCitation":"4","previouslyFormattedCitation":"(Pekel et al. 2016)"},"properties":{"noteIndex":0},"schema":"https://github.com/citation-style-language/schema/raw/master/csl-citation.json"}</w:instrText>
      </w:r>
      <w:r w:rsidR="005E6CEF" w:rsidRPr="00EA3E1D">
        <w:rPr>
          <w:rFonts w:ascii="Times New Roman" w:hAnsi="Times New Roman" w:cs="Times New Roman"/>
          <w:sz w:val="20"/>
          <w:szCs w:val="20"/>
        </w:rPr>
        <w:fldChar w:fldCharType="separate"/>
      </w:r>
      <w:r w:rsidR="005E6CEF" w:rsidRPr="00EA3E1D">
        <w:rPr>
          <w:rFonts w:ascii="Times New Roman" w:hAnsi="Times New Roman" w:cs="Times New Roman"/>
          <w:noProof/>
          <w:sz w:val="20"/>
          <w:szCs w:val="20"/>
          <w:vertAlign w:val="superscript"/>
        </w:rPr>
        <w:t>4</w:t>
      </w:r>
      <w:r w:rsidR="005E6CEF" w:rsidRPr="00EA3E1D">
        <w:rPr>
          <w:rFonts w:ascii="Times New Roman" w:hAnsi="Times New Roman" w:cs="Times New Roman"/>
          <w:sz w:val="20"/>
          <w:szCs w:val="20"/>
        </w:rPr>
        <w:fldChar w:fldCharType="end"/>
      </w:r>
      <w:r w:rsidRPr="00EA3E1D">
        <w:rPr>
          <w:rFonts w:ascii="Times New Roman" w:hAnsi="Times New Roman" w:cs="Times New Roman"/>
          <w:sz w:val="20"/>
          <w:szCs w:val="20"/>
        </w:rPr>
        <w:t xml:space="preserve"> This dataset contains information about the location and temporal distribution of surface water from 1984 to 2018, based on images from Landsat 5, 7, and 8 (30 m spatial resolution)</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To classify each pixel into water or non-water, we used the “Occurrence” </w:t>
      </w:r>
      <w:r w:rsidRPr="00EA3E1D">
        <w:rPr>
          <w:rFonts w:ascii="Times New Roman" w:hAnsi="Times New Roman" w:cs="Times New Roman"/>
          <w:sz w:val="20"/>
          <w:szCs w:val="20"/>
        </w:rPr>
        <w:lastRenderedPageBreak/>
        <w:t>band</w:t>
      </w:r>
      <w:r w:rsidR="005E6CEF" w:rsidRPr="00EA3E1D">
        <w:rPr>
          <w:rFonts w:ascii="Times New Roman" w:hAnsi="Times New Roman" w:cs="Times New Roman"/>
          <w:sz w:val="20"/>
          <w:szCs w:val="20"/>
        </w:rPr>
        <w:t xml:space="preserve">. This band indicates </w:t>
      </w:r>
      <w:r w:rsidRPr="00EA3E1D">
        <w:rPr>
          <w:rFonts w:ascii="Times New Roman" w:hAnsi="Times New Roman" w:cs="Times New Roman"/>
          <w:sz w:val="20"/>
          <w:szCs w:val="20"/>
        </w:rPr>
        <w:t xml:space="preserve">the frequency with which water was present </w:t>
      </w:r>
      <w:r w:rsidR="005E6CEF" w:rsidRPr="00EA3E1D">
        <w:rPr>
          <w:rFonts w:ascii="Times New Roman" w:hAnsi="Times New Roman" w:cs="Times New Roman"/>
          <w:sz w:val="20"/>
          <w:szCs w:val="20"/>
        </w:rPr>
        <w:t xml:space="preserve">in each pixel during the </w:t>
      </w:r>
      <w:proofErr w:type="gramStart"/>
      <w:r w:rsidR="005E6CEF" w:rsidRPr="00EA3E1D">
        <w:rPr>
          <w:rFonts w:ascii="Times New Roman" w:hAnsi="Times New Roman" w:cs="Times New Roman"/>
          <w:sz w:val="20"/>
          <w:szCs w:val="20"/>
        </w:rPr>
        <w:t>time period</w:t>
      </w:r>
      <w:proofErr w:type="gramEnd"/>
      <w:r w:rsidR="005E6CEF" w:rsidRPr="00EA3E1D">
        <w:rPr>
          <w:rFonts w:ascii="Times New Roman" w:hAnsi="Times New Roman" w:cs="Times New Roman"/>
          <w:sz w:val="20"/>
          <w:szCs w:val="20"/>
        </w:rPr>
        <w:t xml:space="preserve">. We used </w:t>
      </w:r>
      <w:r w:rsidRPr="00EA3E1D">
        <w:rPr>
          <w:rFonts w:ascii="Times New Roman" w:hAnsi="Times New Roman" w:cs="Times New Roman"/>
          <w:sz w:val="20"/>
          <w:szCs w:val="20"/>
        </w:rPr>
        <w:t>a 50% threshold</w:t>
      </w:r>
      <w:r w:rsidR="005E6CEF" w:rsidRPr="00EA3E1D">
        <w:rPr>
          <w:rFonts w:ascii="Times New Roman" w:hAnsi="Times New Roman" w:cs="Times New Roman"/>
          <w:sz w:val="20"/>
          <w:szCs w:val="20"/>
        </w:rPr>
        <w:t xml:space="preserve"> (water was present 50% or more of the time) to classify pixels into blue space and no blue space</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As zip codes </w:t>
      </w:r>
      <w:proofErr w:type="gramStart"/>
      <w:r w:rsidRPr="00EA3E1D">
        <w:rPr>
          <w:rFonts w:ascii="Times New Roman" w:hAnsi="Times New Roman" w:cs="Times New Roman"/>
          <w:sz w:val="20"/>
          <w:szCs w:val="20"/>
        </w:rPr>
        <w:t>are used</w:t>
      </w:r>
      <w:proofErr w:type="gramEnd"/>
      <w:r w:rsidRPr="00EA3E1D">
        <w:rPr>
          <w:rFonts w:ascii="Times New Roman" w:hAnsi="Times New Roman" w:cs="Times New Roman"/>
          <w:sz w:val="20"/>
          <w:szCs w:val="20"/>
        </w:rPr>
        <w:t xml:space="preserve"> for postal services, adjacent water bodies such as rivers, lakes and oceans are not always included in zip code areas</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 xml:space="preserve"> Therefore, we calculated spatially weighted mean blue space of zip codes with a 1000 m buffer to be able to capture water bodies close to each zip code</w:t>
      </w:r>
      <w:r w:rsidR="00B1078E" w:rsidRPr="00EA3E1D">
        <w:rPr>
          <w:rFonts w:ascii="Times New Roman" w:hAnsi="Times New Roman" w:cs="Times New Roman"/>
          <w:sz w:val="20"/>
          <w:szCs w:val="20"/>
        </w:rPr>
        <w:t>.</w:t>
      </w:r>
      <w:r w:rsidR="005E6CEF" w:rsidRPr="00EA3E1D">
        <w:rPr>
          <w:rFonts w:ascii="Times New Roman" w:hAnsi="Times New Roman" w:cs="Times New Roman"/>
          <w:sz w:val="20"/>
          <w:szCs w:val="20"/>
        </w:rPr>
        <w:t xml:space="preserve"> We used Google Earth Engine </w:t>
      </w:r>
      <w:r w:rsidRPr="00EA3E1D">
        <w:rPr>
          <w:rFonts w:ascii="Times New Roman" w:hAnsi="Times New Roman" w:cs="Times New Roman"/>
          <w:sz w:val="20"/>
          <w:szCs w:val="20"/>
        </w:rPr>
        <w:fldChar w:fldCharType="begin" w:fldLock="1"/>
      </w:r>
      <w:r w:rsidR="005E6CEF" w:rsidRPr="00EA3E1D">
        <w:rPr>
          <w:rFonts w:ascii="Times New Roman" w:hAnsi="Times New Roman" w:cs="Times New Roman"/>
          <w:sz w:val="20"/>
          <w:szCs w:val="20"/>
        </w:rPr>
        <w:instrText>ADDIN CSL_CITATION {"citationItems":[{"id":"ITEM-1","itemData":{"DOI":"10.1016/j.rse.2017.06.031","ISSN":"00344257","abstract":"Google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Environment","id":"ITEM-1","issued":{"date-parts":[["2017","12","1"]]},"page":"18-27","publisher":"Elsevier Inc.","title":"Google Earth Engine: Planetary-scale geospatial analysis for everyone","type":"article-journal","volume":"202"},"uris":["http://www.mendeley.com/documents/?uuid=50b154d4-a60a-347e-9bd8-8fbbd41b0b03"]}],"mendeley":{"formattedCitation":"&lt;sup&gt;3&lt;/sup&gt;","plainTextFormattedCitation":"3","previouslyFormattedCitation":"(Gorelick et al. 2017)"},"properties":{"noteIndex":0},"schema":"https://github.com/citation-style-language/schema/raw/master/csl-citation.json"}</w:instrText>
      </w:r>
      <w:r w:rsidRPr="00EA3E1D">
        <w:rPr>
          <w:rFonts w:ascii="Times New Roman" w:hAnsi="Times New Roman" w:cs="Times New Roman"/>
          <w:sz w:val="20"/>
          <w:szCs w:val="20"/>
        </w:rPr>
        <w:fldChar w:fldCharType="separate"/>
      </w:r>
      <w:r w:rsidR="005E6CEF" w:rsidRPr="00EA3E1D">
        <w:rPr>
          <w:rFonts w:ascii="Times New Roman" w:hAnsi="Times New Roman" w:cs="Times New Roman"/>
          <w:noProof/>
          <w:sz w:val="20"/>
          <w:szCs w:val="20"/>
          <w:vertAlign w:val="superscript"/>
        </w:rPr>
        <w:t>3</w:t>
      </w:r>
      <w:r w:rsidRPr="00EA3E1D">
        <w:rPr>
          <w:rFonts w:ascii="Times New Roman" w:hAnsi="Times New Roman" w:cs="Times New Roman"/>
          <w:sz w:val="20"/>
          <w:szCs w:val="20"/>
        </w:rPr>
        <w:fldChar w:fldCharType="end"/>
      </w:r>
      <w:r w:rsidRPr="00EA3E1D">
        <w:rPr>
          <w:rFonts w:ascii="Times New Roman" w:hAnsi="Times New Roman" w:cs="Times New Roman"/>
          <w:sz w:val="20"/>
          <w:szCs w:val="20"/>
        </w:rPr>
        <w:t xml:space="preserve"> to calculate spatially weighted mean blue space for each zip code</w:t>
      </w:r>
      <w:r w:rsidR="00B1078E" w:rsidRPr="00EA3E1D">
        <w:rPr>
          <w:rFonts w:ascii="Times New Roman" w:hAnsi="Times New Roman" w:cs="Times New Roman"/>
          <w:sz w:val="20"/>
          <w:szCs w:val="20"/>
        </w:rPr>
        <w:t>.</w:t>
      </w:r>
    </w:p>
    <w:p w14:paraId="41BFC5F7" w14:textId="51A557BA" w:rsidR="00FC71A1" w:rsidRPr="00EA3E1D" w:rsidRDefault="00B1078E" w:rsidP="00FC71A1">
      <w:pPr>
        <w:jc w:val="both"/>
        <w:rPr>
          <w:rFonts w:ascii="Times New Roman" w:hAnsi="Times New Roman" w:cs="Times New Roman"/>
          <w:b/>
          <w:iCs/>
          <w:sz w:val="24"/>
          <w:szCs w:val="20"/>
          <w:lang w:val="en-GB"/>
        </w:rPr>
      </w:pPr>
      <w:r w:rsidRPr="00EA3E1D">
        <w:rPr>
          <w:rFonts w:ascii="Times New Roman" w:hAnsi="Times New Roman" w:cs="Times New Roman"/>
          <w:b/>
          <w:iCs/>
          <w:sz w:val="24"/>
          <w:szCs w:val="20"/>
          <w:lang w:val="en-GB"/>
        </w:rPr>
        <w:t xml:space="preserve">S2. </w:t>
      </w:r>
      <w:r w:rsidR="00FC71A1" w:rsidRPr="00EA3E1D">
        <w:rPr>
          <w:rFonts w:ascii="Times New Roman" w:hAnsi="Times New Roman" w:cs="Times New Roman"/>
          <w:b/>
          <w:iCs/>
          <w:sz w:val="24"/>
          <w:szCs w:val="20"/>
          <w:lang w:val="en-GB"/>
        </w:rPr>
        <w:t>Covariates</w:t>
      </w:r>
    </w:p>
    <w:p w14:paraId="751A631A" w14:textId="38EF3F03" w:rsidR="00FC71A1" w:rsidRPr="00EA3E1D" w:rsidRDefault="00FC71A1" w:rsidP="00FC71A1">
      <w:pPr>
        <w:jc w:val="both"/>
        <w:rPr>
          <w:rFonts w:ascii="Times New Roman" w:hAnsi="Times New Roman" w:cs="Times New Roman"/>
          <w:sz w:val="20"/>
          <w:szCs w:val="20"/>
          <w:lang w:val="en-GB"/>
        </w:rPr>
      </w:pPr>
      <w:r w:rsidRPr="00EA3E1D">
        <w:rPr>
          <w:rFonts w:ascii="Times New Roman" w:hAnsi="Times New Roman" w:cs="Times New Roman"/>
          <w:sz w:val="20"/>
          <w:szCs w:val="20"/>
          <w:lang w:val="en-GB"/>
        </w:rPr>
        <w:t>For each beneficiary, information about year of entry, age at year of Medicare entry, sex, race, Medicaid eligibility (a proxy for low socioeconomic status), and zip code of residence for all Medicare beneficiaries were derived from the Medicare beneficiary file</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As a proxy for neighbourhood SES</w:t>
      </w:r>
      <w:r w:rsidR="008230C0" w:rsidRPr="00EA3E1D">
        <w:rPr>
          <w:rFonts w:ascii="Times New Roman" w:hAnsi="Times New Roman" w:cs="Times New Roman"/>
          <w:sz w:val="20"/>
          <w:szCs w:val="20"/>
          <w:lang w:val="en-GB"/>
        </w:rPr>
        <w:t xml:space="preserve"> (</w:t>
      </w:r>
      <w:proofErr w:type="spellStart"/>
      <w:r w:rsidR="008230C0" w:rsidRPr="00EA3E1D">
        <w:rPr>
          <w:rFonts w:ascii="Times New Roman" w:hAnsi="Times New Roman" w:cs="Times New Roman"/>
          <w:sz w:val="20"/>
          <w:szCs w:val="20"/>
          <w:lang w:val="en-GB"/>
        </w:rPr>
        <w:t>nSES</w:t>
      </w:r>
      <w:proofErr w:type="spellEnd"/>
      <w:r w:rsidR="008230C0"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we used eight zip code-level covariates from the US Census and American Community Survey (median home value, median household income, population density, percent Hispanic, percent Black, percent of the population with less than a high school degree, percent below the poverty level, and percent of owner-occupied housing units)</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We linked percent of the population that were ever smokers (based on the county level), derived from the nationwide Behavioural Risk Factor Surveillance System (BRFSS)</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BRFSS is the nation’s premier system of surveys that collect information about health-related risk behaviours of US residents</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US census (2000, 2009-2016) and BRFSS (2000-2011) variables were available for some years but not all</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Temporal interpolation using a moving average algorithm within each zip code was performed for missing years, as described previously</w:t>
      </w:r>
      <w:r w:rsidR="00B1078E" w:rsidRPr="00EA3E1D">
        <w:rPr>
          <w:rFonts w:ascii="Times New Roman" w:hAnsi="Times New Roman" w:cs="Times New Roman"/>
          <w:sz w:val="20"/>
          <w:szCs w:val="20"/>
          <w:lang w:val="en-GB"/>
        </w:rPr>
        <w:t>.</w:t>
      </w:r>
      <w:r w:rsidR="005E6CEF" w:rsidRPr="00EA3E1D">
        <w:rPr>
          <w:rStyle w:val="FootnoteReference"/>
          <w:rFonts w:ascii="Times New Roman" w:hAnsi="Times New Roman" w:cs="Times New Roman"/>
          <w:sz w:val="20"/>
          <w:szCs w:val="20"/>
          <w:lang w:val="en-GB"/>
        </w:rPr>
        <w:fldChar w:fldCharType="begin" w:fldLock="1"/>
      </w:r>
      <w:r w:rsidR="005E6CEF" w:rsidRPr="00EA3E1D">
        <w:rPr>
          <w:rFonts w:ascii="Times New Roman" w:hAnsi="Times New Roman" w:cs="Times New Roman"/>
          <w:sz w:val="20"/>
          <w:szCs w:val="20"/>
          <w:lang w:val="en-GB"/>
        </w:rPr>
        <w:instrText>ADDIN CSL_CITATION {"citationItems":[{"id":"ITEM-1","itemData":{"DOI":"10.1056/NEJMoa1702747","ISSN":"0028-4793","abstract":"BACKGROUND Studies have shown that long-term exposure to air pollution increases mortality. However, evidence is limited for air-pollution levels below the most recent National Ambient Air Quality Standards. Previous studies involved predominantly urban populations and did not have the statistical power to estimate the health effects in underrepresented groups. METHODS We constructed an open cohort of all Medicare beneficiaries (60,925,443 persons) in the continental United States from the years 2000 through 2012, with 460,310,521 person-years of follow-up. Annual averages of fine particulate matter (particles with a mass median aerodynamic diameter of less than 2.5 μm [PM2.5]) and ozone were estimated according to the ZIP Code of residence for each enrollee with the use of previously validated prediction models. We estimated the risk of death associated with exposure to increases of 10 μg per cubic meter for PM2.5 and 10 parts per billion (ppb) for ozone using a two-pollutant Cox proportionalhazards model that controlled for demographic characteristics, Medicaid eligibility, and area-level covariates. RESULTS Increases of 10 μg per cubic meter in PM2.5 and of 10 ppb in ozone were associated with increases in all-cause mortality of 7.3% (95% confidence interval [CI], 7.1 to 7.5) and 1.1% (95% CI, 1.0 to 1.2), respectively. When the analysis was restricted to person-years with exposure to PM2.5 of less than 12 μg per cubic meter and ozone of less than 50 ppb, the same increases in PM2.5 and ozone were associated with increases in the risk of death of 13.6% (95% CI, 13.1 to 14.1) and 1.0% (95% CI, 0.9 to 1.1), respectively. For PM2.5, the risk of death among men, blacks, and people with Medicaid eligibility was higher than that in the rest of the population. CONCLUSIONS In the entire Medicare population, there was significant evidence of adverse effects related to exposure to PM2.5 and ozone at concentrations below current national standards. This effect was most pronounced among self-identified racial minorities and people with low income. (Supported by the Health Effects Institute and others.)","author":[{"dropping-particle":"","family":"Di","given":"Qian","non-dropping-particle":"","parse-names":false,"suffix":""},{"dropping-particle":"","family":"Wang","given":"Yan","non-dropping-particle":"","parse-names":false,"suffix":""},{"dropping-particle":"","family":"Zanobetti","given":"Antonella","non-dropping-particle":"","parse-names":false,"suffix":""},{"dropping-particle":"","family":"Wang","given":"Yun","non-dropping-particle":"","parse-names":false,"suffix":""},{"dropping-particle":"","family":"Koutrakis","given":"Petros","non-dropping-particle":"","parse-names":false,"suffix":""},{"dropping-particle":"","family":"Choirat","given":"Christine","non-dropping-particle":"","parse-names":false,"suffix":""},{"dropping-particle":"","family":"Dominici","given":"Francesca","non-dropping-particle":"","parse-names":false,"suffix":""},{"dropping-particle":"","family":"Schwartz","given":"Joel D.","non-dropping-particle":"","parse-names":false,"suffix":""}],"container-title":"New England Journal of Medicine","id":"ITEM-1","issue":"26","issued":{"date-parts":[["2017","6","29"]]},"page":"2513-2522","publisher":"Massachussetts Medical Society","title":"Air Pollution and Mortality in the Medicare Population","type":"article-journal","volume":"376"},"uris":["http://www.mendeley.com/documents/?uuid=4b775322-6831-36b9-83ab-a26f81473b9e"]}],"mendeley":{"formattedCitation":"&lt;sup&gt;5&lt;/sup&gt;","plainTextFormattedCitation":"5","previouslyFormattedCitation":"(Di et al. 2017)"},"properties":{"noteIndex":0},"schema":"https://github.com/citation-style-language/schema/raw/master/csl-citation.json"}</w:instrText>
      </w:r>
      <w:r w:rsidR="005E6CEF" w:rsidRPr="00EA3E1D">
        <w:rPr>
          <w:rStyle w:val="FootnoteReference"/>
          <w:rFonts w:ascii="Times New Roman" w:hAnsi="Times New Roman" w:cs="Times New Roman"/>
          <w:sz w:val="20"/>
          <w:szCs w:val="20"/>
          <w:lang w:val="en-GB"/>
        </w:rPr>
        <w:fldChar w:fldCharType="separate"/>
      </w:r>
      <w:r w:rsidR="005E6CEF" w:rsidRPr="00EA3E1D">
        <w:rPr>
          <w:rFonts w:ascii="Times New Roman" w:hAnsi="Times New Roman" w:cs="Times New Roman"/>
          <w:noProof/>
          <w:sz w:val="20"/>
          <w:szCs w:val="20"/>
          <w:vertAlign w:val="superscript"/>
          <w:lang w:val="en-GB"/>
        </w:rPr>
        <w:t>5</w:t>
      </w:r>
      <w:r w:rsidR="005E6CEF" w:rsidRPr="00EA3E1D">
        <w:rPr>
          <w:rStyle w:val="FootnoteReference"/>
          <w:rFonts w:ascii="Times New Roman" w:hAnsi="Times New Roman" w:cs="Times New Roman"/>
          <w:sz w:val="20"/>
          <w:szCs w:val="20"/>
          <w:lang w:val="en-GB"/>
        </w:rPr>
        <w:fldChar w:fldCharType="end"/>
      </w:r>
      <w:r w:rsidRPr="00EA3E1D">
        <w:rPr>
          <w:rFonts w:ascii="Times New Roman" w:hAnsi="Times New Roman" w:cs="Times New Roman"/>
          <w:sz w:val="20"/>
          <w:szCs w:val="20"/>
          <w:lang w:val="en-GB"/>
        </w:rPr>
        <w:t xml:space="preserve"> </w:t>
      </w:r>
    </w:p>
    <w:p w14:paraId="1058DC80" w14:textId="09E722D8" w:rsidR="00FC71A1" w:rsidRPr="00EA3E1D" w:rsidRDefault="00FC71A1" w:rsidP="00FC71A1">
      <w:pPr>
        <w:jc w:val="both"/>
        <w:rPr>
          <w:rFonts w:ascii="Times New Roman" w:hAnsi="Times New Roman" w:cs="Times New Roman"/>
          <w:sz w:val="20"/>
          <w:szCs w:val="20"/>
          <w:lang w:val="en-GB"/>
        </w:rPr>
      </w:pPr>
      <w:r w:rsidRPr="00EA3E1D">
        <w:rPr>
          <w:rFonts w:ascii="Times New Roman" w:hAnsi="Times New Roman" w:cs="Times New Roman"/>
          <w:sz w:val="20"/>
          <w:szCs w:val="20"/>
          <w:lang w:val="en-GB"/>
        </w:rPr>
        <w:t>We also assessed zip code-level</w:t>
      </w:r>
      <w:r w:rsidRPr="00EA3E1D">
        <w:rPr>
          <w:rFonts w:ascii="Times New Roman" w:hAnsi="Times New Roman" w:cs="Times New Roman"/>
          <w:sz w:val="20"/>
          <w:szCs w:val="20"/>
        </w:rPr>
        <w:t xml:space="preserve"> air pollution (particulate matter less than 2</w:t>
      </w:r>
      <w:r w:rsidR="00B1078E" w:rsidRPr="00EA3E1D">
        <w:rPr>
          <w:rFonts w:ascii="Times New Roman" w:hAnsi="Times New Roman" w:cs="Times New Roman"/>
          <w:sz w:val="20"/>
          <w:szCs w:val="20"/>
        </w:rPr>
        <w:t>.</w:t>
      </w:r>
      <w:r w:rsidRPr="00EA3E1D">
        <w:rPr>
          <w:rFonts w:ascii="Times New Roman" w:hAnsi="Times New Roman" w:cs="Times New Roman"/>
          <w:sz w:val="20"/>
          <w:szCs w:val="20"/>
        </w:rPr>
        <w:t>5 microns (PM</w:t>
      </w:r>
      <w:r w:rsidRPr="00EA3E1D">
        <w:rPr>
          <w:rFonts w:ascii="Times New Roman" w:hAnsi="Times New Roman" w:cs="Times New Roman"/>
          <w:sz w:val="20"/>
          <w:szCs w:val="20"/>
          <w:vertAlign w:val="subscript"/>
        </w:rPr>
        <w:t>2</w:t>
      </w:r>
      <w:r w:rsidR="00B1078E" w:rsidRPr="00EA3E1D">
        <w:rPr>
          <w:rFonts w:ascii="Times New Roman" w:hAnsi="Times New Roman" w:cs="Times New Roman"/>
          <w:sz w:val="20"/>
          <w:szCs w:val="20"/>
          <w:vertAlign w:val="subscript"/>
        </w:rPr>
        <w:t>.</w:t>
      </w:r>
      <w:r w:rsidRPr="00EA3E1D">
        <w:rPr>
          <w:rFonts w:ascii="Times New Roman" w:hAnsi="Times New Roman" w:cs="Times New Roman"/>
          <w:sz w:val="20"/>
          <w:szCs w:val="20"/>
          <w:vertAlign w:val="subscript"/>
        </w:rPr>
        <w:t>5</w:t>
      </w:r>
      <w:r w:rsidRPr="00EA3E1D">
        <w:rPr>
          <w:rFonts w:ascii="Times New Roman" w:hAnsi="Times New Roman" w:cs="Times New Roman"/>
          <w:sz w:val="20"/>
          <w:szCs w:val="20"/>
        </w:rPr>
        <w:t>) and nitrogen dioxide (NO</w:t>
      </w:r>
      <w:r w:rsidRPr="00EA3E1D">
        <w:rPr>
          <w:rFonts w:ascii="Times New Roman" w:hAnsi="Times New Roman" w:cs="Times New Roman"/>
          <w:sz w:val="20"/>
          <w:szCs w:val="20"/>
          <w:vertAlign w:val="subscript"/>
        </w:rPr>
        <w:t>2</w:t>
      </w:r>
      <w:r w:rsidRPr="00EA3E1D">
        <w:rPr>
          <w:rFonts w:ascii="Times New Roman" w:hAnsi="Times New Roman" w:cs="Times New Roman"/>
          <w:sz w:val="20"/>
          <w:szCs w:val="20"/>
        </w:rPr>
        <w:t>))</w:t>
      </w:r>
      <w:r w:rsidRPr="00EA3E1D">
        <w:rPr>
          <w:rFonts w:ascii="Times New Roman" w:hAnsi="Times New Roman" w:cs="Times New Roman"/>
          <w:sz w:val="20"/>
          <w:szCs w:val="20"/>
          <w:lang w:val="en-GB"/>
        </w:rPr>
        <w:t>, and meteorological indicators (maximum daily temperature, specific humidity, and precipitation)</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Briefly, annual PM</w:t>
      </w:r>
      <w:r w:rsidRPr="00EA3E1D">
        <w:rPr>
          <w:rFonts w:ascii="Times New Roman" w:hAnsi="Times New Roman" w:cs="Times New Roman"/>
          <w:sz w:val="20"/>
          <w:szCs w:val="20"/>
          <w:vertAlign w:val="subscript"/>
          <w:lang w:val="en-GB"/>
        </w:rPr>
        <w:t>2</w:t>
      </w:r>
      <w:r w:rsidR="00B1078E" w:rsidRPr="00EA3E1D">
        <w:rPr>
          <w:rFonts w:ascii="Times New Roman" w:hAnsi="Times New Roman" w:cs="Times New Roman"/>
          <w:sz w:val="20"/>
          <w:szCs w:val="20"/>
          <w:vertAlign w:val="subscript"/>
          <w:lang w:val="en-GB"/>
        </w:rPr>
        <w:t>.</w:t>
      </w:r>
      <w:r w:rsidRPr="00EA3E1D">
        <w:rPr>
          <w:rFonts w:ascii="Times New Roman" w:hAnsi="Times New Roman" w:cs="Times New Roman"/>
          <w:sz w:val="20"/>
          <w:szCs w:val="20"/>
          <w:vertAlign w:val="subscript"/>
          <w:lang w:val="en-GB"/>
        </w:rPr>
        <w:t>5</w:t>
      </w:r>
      <w:r w:rsidRPr="00EA3E1D">
        <w:rPr>
          <w:rFonts w:ascii="Times New Roman" w:hAnsi="Times New Roman" w:cs="Times New Roman"/>
          <w:sz w:val="20"/>
          <w:szCs w:val="20"/>
          <w:lang w:val="en-GB"/>
        </w:rPr>
        <w:t xml:space="preserve"> and NO</w:t>
      </w:r>
      <w:r w:rsidRPr="00EA3E1D">
        <w:rPr>
          <w:rFonts w:ascii="Times New Roman" w:hAnsi="Times New Roman" w:cs="Times New Roman"/>
          <w:sz w:val="20"/>
          <w:szCs w:val="20"/>
          <w:vertAlign w:val="subscript"/>
          <w:lang w:val="en-GB"/>
        </w:rPr>
        <w:t>2</w:t>
      </w:r>
      <w:r w:rsidRPr="00EA3E1D">
        <w:rPr>
          <w:rFonts w:ascii="Times New Roman" w:hAnsi="Times New Roman" w:cs="Times New Roman"/>
          <w:sz w:val="20"/>
          <w:szCs w:val="20"/>
          <w:lang w:val="en-GB"/>
        </w:rPr>
        <w:t xml:space="preserve"> concentrations across the contiguous US for 2000-2016 were estimated based on predictions from well-validated </w:t>
      </w:r>
      <w:proofErr w:type="spellStart"/>
      <w:r w:rsidRPr="00EA3E1D">
        <w:rPr>
          <w:rFonts w:ascii="Times New Roman" w:hAnsi="Times New Roman" w:cs="Times New Roman"/>
          <w:sz w:val="20"/>
          <w:szCs w:val="20"/>
          <w:lang w:val="en-GB"/>
        </w:rPr>
        <w:t>spatio</w:t>
      </w:r>
      <w:proofErr w:type="spellEnd"/>
      <w:r w:rsidRPr="00EA3E1D">
        <w:rPr>
          <w:rFonts w:ascii="Times New Roman" w:hAnsi="Times New Roman" w:cs="Times New Roman"/>
          <w:sz w:val="20"/>
          <w:szCs w:val="20"/>
          <w:lang w:val="en-GB"/>
        </w:rPr>
        <w:t>-temporal ensemble models</w:t>
      </w:r>
      <w:r w:rsidR="00B1078E" w:rsidRPr="00EA3E1D">
        <w:rPr>
          <w:rFonts w:ascii="Times New Roman" w:hAnsi="Times New Roman" w:cs="Times New Roman"/>
          <w:sz w:val="20"/>
          <w:szCs w:val="20"/>
          <w:lang w:val="en-GB"/>
        </w:rPr>
        <w:t>.</w:t>
      </w:r>
      <w:r w:rsidR="005E6CEF" w:rsidRPr="00EA3E1D">
        <w:rPr>
          <w:rStyle w:val="FootnoteReference"/>
          <w:rFonts w:ascii="Times New Roman" w:hAnsi="Times New Roman" w:cs="Times New Roman"/>
          <w:sz w:val="20"/>
          <w:szCs w:val="20"/>
          <w:lang w:val="en-GB"/>
        </w:rPr>
        <w:fldChar w:fldCharType="begin" w:fldLock="1"/>
      </w:r>
      <w:r w:rsidR="005E6CEF" w:rsidRPr="00EA3E1D">
        <w:rPr>
          <w:rFonts w:ascii="Times New Roman" w:hAnsi="Times New Roman" w:cs="Times New Roman"/>
          <w:sz w:val="20"/>
          <w:szCs w:val="20"/>
          <w:lang w:val="en-GB"/>
        </w:rPr>
        <w:instrText>ADDIN CSL_CITATION {"citationItems":[{"id":"ITEM-1","itemData":{"DOI":"10.1021/acs.est.0c01791","ISSN":"0013-936X","PMID":"32808786","abstract":"In this paper we integrated multiple types of predictor variables and three types of machine learners into a geographically weighted ensemble model to estimate daily maximum 8-hr O3 with high resolution over both space (at 1 km × 1 km grid cells covering the contiguous United States) and time (daily estimates between 2000 and 2016). We further quantify monthly model uncertainty for our 1 km × 1 km gridded domain. The results demonstrate high overall model performance, with an average cross-validated R2 (coefficient of determination) against observations of 0.90, and of 0.86 for annual averages. Overall, model performance of the three machine learning algorithms was quite similar. The overall model performance from the ensemble model outperformed those from any single algorithm. The East North Central region of the United States had the highest R2, 0.93, and performance was weakest for the western mountainous regions (R2 of 0.86) and New England (R2 of 0.87). For the cross-validation by season, our model had t","author":[{"dropping-particle":"","family":"Requia","given":"Weeberb J.","non-dropping-particle":"","parse-names":false,"suffix":""},{"dropping-particle":"","family":"Di","given":"Qian","non-dropping-particle":"","parse-names":false,"suffix":""},{"dropping-particle":"","family":"Silvern","given":"Rachel Faye","non-dropping-particle":"","parse-names":false,"suffix":""},{"dropping-particle":"","family":"Kelly","given":"James T.","non-dropping-particle":"","parse-names":false,"suffix":""},{"dropping-particle":"","family":"Koutrakis","given":"Petros","non-dropping-particle":"","parse-names":false,"suffix":""},{"dropping-particle":"","family":"Mickley","given":"Loretta J.","non-dropping-particle":"","parse-names":false,"suffix":""},{"dropping-particle":"","family":"Sulprizio","given":"Melissa P.","non-dropping-particle":"","parse-names":false,"suffix":""},{"dropping-particle":"","family":"Amini","given":"Heresh","non-dropping-particle":"","parse-names":false,"suffix":""},{"dropping-particle":"","family":"Shi","given":"Liuhua","non-dropping-particle":"","parse-names":false,"suffix":""},{"dropping-particle":"","family":"Schwartz","given":"Joel","non-dropping-particle":"","parse-names":false,"suffix":""}],"container-title":"Environmental Science &amp; Technology","id":"ITEM-1","issued":{"date-parts":[["2020","8","18"]]},"page":"11037-11047","publisher":"American Chemical Society (ACS)","title":"An ensemble learning approach for estimating high spatiotemporal resolution of ground-level ozone in the contiguous United States","type":"article-journal","volume":"54"},"uris":["http://www.mendeley.com/documents/?uuid=462d3b22-8b7c-352a-870d-b26d3123462a"]},{"id":"ITEM-2","itemData":{"DOI":"10.1016/j.envint.2019.104909","ISSN":"18736750","PMID":"31272018","abstract":"Various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author":[{"dropping-particle":"","family":"Di","given":"Qian","non-dropping-particle":"","parse-names":false,"suffix":""},{"dropping-particle":"","family":"Amini","given":"Heresh","non-dropping-particle":"","parse-names":false,"suffix":""},{"dropping-particle":"","family":"Shi","given":"Liuhua","non-dropping-particle":"","parse-names":false,"suffix":""},{"dropping-particle":"","family":"Kloog","given":"Itai","non-dropping-particle":"","parse-names":false,"suffix":""},{"dropping-particle":"","family":"Silvern","given":"Rachel","non-dropping-particle":"","parse-names":false,"suffix":""},{"dropping-particle":"","family":"Kelly","given":"James","non-dropping-particle":"","parse-names":false,"suffix":""},{"dropping-particle":"","family":"Sabath","given":"M. Benjamin","non-dropping-particle":"","parse-names":false,"suffix":""},{"dropping-particle":"","family":"Choirat","given":"Christine","non-dropping-particle":"","parse-names":false,"suffix":""},{"dropping-particle":"","family":"Koutrakis","given":"Petros","non-dropping-particle":"","parse-names":false,"suffix":""},{"dropping-particle":"","family":"Lyapustin","given":"Alexei","non-dropping-particle":"","parse-names":false,"suffix":""},{"dropping-particle":"","family":"Wang","given":"Yujie","non-dropping-particle":"","parse-names":false,"suffix":""},{"dropping-particle":"","family":"Mickley","given":"Loretta J.","non-dropping-particle":"","parse-names":false,"suffix":""},{"dropping-particle":"","family":"Schwartz","given":"Joel","non-dropping-particle":"","parse-names":false,"suffix":""}],"container-title":"Environment International","id":"ITEM-2","issued":{"date-parts":[["2019","9","1"]]},"page":"104909","publisher":"Elsevier Ltd","title":"An ensemble-based model of PM2.5 concentration across the contiguous United States with high spatiotemporal resolution","type":"article-journal","volume":"130"},"uris":["http://www.mendeley.com/documents/?uuid=1a62b567-8c3c-3393-9d6a-300438872581"]},{"id":"ITEM-3","itemData":{"DOI":"10.1021/acs.est.9b03358","abstract":"NO 2 is a combustion byproduct that has been associated with multiple adverse health outcomes. To assess NO 2 levels with high accuracy, we propose the use of an ensemble model to integrate multiple machine learning algorithms, including neural network, random forest, and gradient boosting, with a variety of predictor variables, including chemical transport models. This NO 2 model covers the entire contiguous U.S. with daily predictions on 1-km-level grid cells from 2000 to 2016. The ensemble produced a cross-validated R 2 of 0.788 overall, a spatial R 2 of 0.844, and a temporal R 2 of 0.729. The relationship between daily monitored and predicted NO 2 is almost linear. We also estimated the associated monthly uncertainty level for the predictions and address-specific NO 2 levels. This NO 2 estimation has a very high spatiotemporal resolution and allows the examination of the health effects of NO 2 in unmonitored areas. We found the highest NO 2 levels along highways and in cities. We also observed that nationwide NO 2 levels declined in early years and stagnated after 2007, in contrast to the trend at monitoring sites in urban areas, where the decline continued. Our research indicates that the integration of different predictor variables and fitting algorithms can achieve an improved air pollution modeling framework.","author":[{"dropping-particle":"","family":"Di","given":"Qian","non-dropping-particle":"","parse-names":false,"suffix":""},{"dropping-particle":"","family":"Amini","given":"Heresh","non-dropping-particle":"","parse-names":false,"suffix":""},{"dropping-particle":"","family":"Shi","given":"Liuhua","non-dropping-particle":"","parse-names":false,"suffix":""},{"dropping-particle":"","family":"Kloog","given":"Itai","non-dropping-particle":"","parse-names":false,"suffix":""},{"dropping-particle":"","family":"Silvern","given":"Rachel","non-dropping-particle":"","parse-names":false,"suffix":""},{"dropping-particle":"","family":"Kelly","given":"James","non-dropping-particle":"","parse-names":false,"suffix":""},{"dropping-particle":"","family":"Benjamin Sabath","given":"M","non-dropping-particle":"","parse-names":false,"suffix":""},{"dropping-particle":"","family":"Choirat","given":"Christine","non-dropping-particle":"","parse-names":false,"suffix":""},{"dropping-particle":"","family":"Koutrakis","given":"Petros","non-dropping-particle":"","parse-names":false,"suffix":""},{"dropping-particle":"","family":"Lyapustin","given":"Alexei","non-dropping-particle":"","parse-names":false,"suffix":""},{"dropping-particle":"","family":"Wang","given":"Yujie","non-dropping-particle":"","parse-names":false,"suffix":""},{"dropping-particle":"","family":"Mickley","given":"Loretta J","non-dropping-particle":"","parse-names":false,"suffix":""},{"dropping-particle":"","family":"Schwartz","given":"Joel","non-dropping-particle":"","parse-names":false,"suffix":""},{"dropping-particle":"","family":"Paulson","given":"John A","non-dropping-particle":"","parse-names":false,"suffix":""}],"container-title":"ACS Publications","id":"ITEM-3","issue":"3","issued":{"date-parts":[["2019","2","4"]]},"page":"1372-1384","publisher":"American Chemical Society","title":"Assessing NO 2 Concentration and Model Uncertainty with High Spatiotemporal Resolution across the Contiguous United States Using Ensemble Model Averaging","type":"article-journal","volume":"54"},"uris":["http://www.mendeley.com/documents/?uuid=886ac8ef-9cd8-3918-bf20-985a65944759"]}],"mendeley":{"formattedCitation":"&lt;sup&gt;6–8&lt;/sup&gt;","plainTextFormattedCitation":"6–8","previouslyFormattedCitation":"(Di et al. 2019b, 2019a; Requia et al. 2020)"},"properties":{"noteIndex":0},"schema":"https://github.com/citation-style-language/schema/raw/master/csl-citation.json"}</w:instrText>
      </w:r>
      <w:r w:rsidR="005E6CEF" w:rsidRPr="00EA3E1D">
        <w:rPr>
          <w:rStyle w:val="FootnoteReference"/>
          <w:rFonts w:ascii="Times New Roman" w:hAnsi="Times New Roman" w:cs="Times New Roman"/>
          <w:sz w:val="20"/>
          <w:szCs w:val="20"/>
          <w:lang w:val="en-GB"/>
        </w:rPr>
        <w:fldChar w:fldCharType="separate"/>
      </w:r>
      <w:r w:rsidR="005E6CEF" w:rsidRPr="00EA3E1D">
        <w:rPr>
          <w:rFonts w:ascii="Times New Roman" w:hAnsi="Times New Roman" w:cs="Times New Roman"/>
          <w:noProof/>
          <w:sz w:val="20"/>
          <w:szCs w:val="20"/>
          <w:vertAlign w:val="superscript"/>
          <w:lang w:val="en-GB"/>
        </w:rPr>
        <w:t>6–8</w:t>
      </w:r>
      <w:r w:rsidR="005E6CEF" w:rsidRPr="00EA3E1D">
        <w:rPr>
          <w:rStyle w:val="FootnoteReference"/>
          <w:rFonts w:ascii="Times New Roman" w:hAnsi="Times New Roman" w:cs="Times New Roman"/>
          <w:sz w:val="20"/>
          <w:szCs w:val="20"/>
          <w:lang w:val="en-GB"/>
        </w:rPr>
        <w:fldChar w:fldCharType="end"/>
      </w:r>
      <w:r w:rsidRPr="00EA3E1D">
        <w:rPr>
          <w:rFonts w:ascii="Times New Roman" w:hAnsi="Times New Roman" w:cs="Times New Roman"/>
          <w:sz w:val="20"/>
          <w:szCs w:val="20"/>
          <w:lang w:val="en-GB"/>
        </w:rPr>
        <w:t xml:space="preserve"> Detailed information about air pollution models can be found elsewhere</w:t>
      </w:r>
      <w:r w:rsidR="00B1078E" w:rsidRPr="00EA3E1D">
        <w:rPr>
          <w:rFonts w:ascii="Times New Roman" w:hAnsi="Times New Roman" w:cs="Times New Roman"/>
          <w:sz w:val="20"/>
          <w:szCs w:val="20"/>
          <w:lang w:val="en-GB"/>
        </w:rPr>
        <w:t>.</w:t>
      </w:r>
      <w:r w:rsidR="005E6CEF" w:rsidRPr="00EA3E1D">
        <w:rPr>
          <w:rStyle w:val="FootnoteReference"/>
          <w:rFonts w:ascii="Times New Roman" w:hAnsi="Times New Roman" w:cs="Times New Roman"/>
          <w:sz w:val="20"/>
          <w:szCs w:val="20"/>
          <w:lang w:val="en-GB"/>
        </w:rPr>
        <w:fldChar w:fldCharType="begin" w:fldLock="1"/>
      </w:r>
      <w:r w:rsidR="005E6CEF" w:rsidRPr="00EA3E1D">
        <w:rPr>
          <w:rFonts w:ascii="Times New Roman" w:hAnsi="Times New Roman" w:cs="Times New Roman"/>
          <w:sz w:val="20"/>
          <w:szCs w:val="20"/>
          <w:lang w:val="en-GB"/>
        </w:rPr>
        <w:instrText>ADDIN CSL_CITATION {"citationItems":[{"id":"ITEM-1","itemData":{"DOI":"10.1021/acs.est.0c01791","ISSN":"0013-936X","PMID":"32808786","abstract":"In this paper we integrated multiple types of predictor variables and three types of machine learners into a geographically weighted ensemble model to estimate daily maximum 8-hr O3 with high resolution over both space (at 1 km × 1 km grid cells covering the contiguous United States) and time (daily estimates between 2000 and 2016). We further quantify monthly model uncertainty for our 1 km × 1 km gridded domain. The results demonstrate high overall model performance, with an average cross-validated R2 (coefficient of determination) against observations of 0.90, and of 0.86 for annual averages. Overall, model performance of the three machine learning algorithms was quite similar. The overall model performance from the ensemble model outperformed those from any single algorithm. The East North Central region of the United States had the highest R2, 0.93, and performance was weakest for the western mountainous regions (R2 of 0.86) and New England (R2 of 0.87). For the cross-validation by season, our model had t","author":[{"dropping-particle":"","family":"Requia","given":"Weeberb J.","non-dropping-particle":"","parse-names":false,"suffix":""},{"dropping-particle":"","family":"Di","given":"Qian","non-dropping-particle":"","parse-names":false,"suffix":""},{"dropping-particle":"","family":"Silvern","given":"Rachel Faye","non-dropping-particle":"","parse-names":false,"suffix":""},{"dropping-particle":"","family":"Kelly","given":"James T.","non-dropping-particle":"","parse-names":false,"suffix":""},{"dropping-particle":"","family":"Koutrakis","given":"Petros","non-dropping-particle":"","parse-names":false,"suffix":""},{"dropping-particle":"","family":"Mickley","given":"Loretta J.","non-dropping-particle":"","parse-names":false,"suffix":""},{"dropping-particle":"","family":"Sulprizio","given":"Melissa P.","non-dropping-particle":"","parse-names":false,"suffix":""},{"dropping-particle":"","family":"Amini","given":"Heresh","non-dropping-particle":"","parse-names":false,"suffix":""},{"dropping-particle":"","family":"Shi","given":"Liuhua","non-dropping-particle":"","parse-names":false,"suffix":""},{"dropping-particle":"","family":"Schwartz","given":"Joel","non-dropping-particle":"","parse-names":false,"suffix":""}],"container-title":"Environmental Science &amp; Technology","id":"ITEM-1","issued":{"date-parts":[["2020","8","18"]]},"page":"11037-11047","publisher":"American Chemical Society (ACS)","title":"An ensemble learning approach for estimating high spatiotemporal resolution of ground-level ozone in the contiguous United States","type":"article-journal","volume":"54"},"uris":["http://www.mendeley.com/documents/?uuid=462d3b22-8b7c-352a-870d-b26d3123462a"]},{"id":"ITEM-2","itemData":{"DOI":"10.1021/acs.est.9b03358","abstract":"NO 2 is a combustion byproduct that has been associated with multiple adverse health outcomes. To assess NO 2 levels with high accuracy, we propose the use of an ensemble model to integrate multiple machine learning algorithms, including neural network, random forest, and gradient boosting, with a variety of predictor variables, including chemical transport models. This NO 2 model covers the entire contiguous U.S. with daily predictions on 1-km-level grid cells from 2000 to 2016. The ensemble produced a cross-validated R 2 of 0.788 overall, a spatial R 2 of 0.844, and a temporal R 2 of 0.729. The relationship between daily monitored and predicted NO 2 is almost linear. We also estimated the associated monthly uncertainty level for the predictions and address-specific NO 2 levels. This NO 2 estimation has a very high spatiotemporal resolution and allows the examination of the health effects of NO 2 in unmonitored areas. We found the highest NO 2 levels along highways and in cities. We also observed that nationwide NO 2 levels declined in early years and stagnated after 2007, in contrast to the trend at monitoring sites in urban areas, where the decline continued. Our research indicates that the integration of different predictor variables and fitting algorithms can achieve an improved air pollution modeling framework.","author":[{"dropping-particle":"","family":"Di","given":"Qian","non-dropping-particle":"","parse-names":false,"suffix":""},{"dropping-particle":"","family":"Amini","given":"Heresh","non-dropping-particle":"","parse-names":false,"suffix":""},{"dropping-particle":"","family":"Shi","given":"Liuhua","non-dropping-particle":"","parse-names":false,"suffix":""},{"dropping-particle":"","family":"Kloog","given":"Itai","non-dropping-particle":"","parse-names":false,"suffix":""},{"dropping-particle":"","family":"Silvern","given":"Rachel","non-dropping-particle":"","parse-names":false,"suffix":""},{"dropping-particle":"","family":"Kelly","given":"James","non-dropping-particle":"","parse-names":false,"suffix":""},{"dropping-particle":"","family":"Benjamin Sabath","given":"M","non-dropping-particle":"","parse-names":false,"suffix":""},{"dropping-particle":"","family":"Choirat","given":"Christine","non-dropping-particle":"","parse-names":false,"suffix":""},{"dropping-particle":"","family":"Koutrakis","given":"Petros","non-dropping-particle":"","parse-names":false,"suffix":""},{"dropping-particle":"","family":"Lyapustin","given":"Alexei","non-dropping-particle":"","parse-names":false,"suffix":""},{"dropping-particle":"","family":"Wang","given":"Yujie","non-dropping-particle":"","parse-names":false,"suffix":""},{"dropping-particle":"","family":"Mickley","given":"Loretta J","non-dropping-particle":"","parse-names":false,"suffix":""},{"dropping-particle":"","family":"Schwartz","given":"Joel","non-dropping-particle":"","parse-names":false,"suffix":""},{"dropping-particle":"","family":"Paulson","given":"John A","non-dropping-particle":"","parse-names":false,"suffix":""}],"container-title":"ACS Publications","id":"ITEM-2","issue":"3","issued":{"date-parts":[["2019","2","4"]]},"page":"1372-1384","publisher":"American Chemical Society","title":"Assessing NO 2 Concentration and Model Uncertainty with High Spatiotemporal Resolution across the Contiguous United States Using Ensemble Model Averaging","type":"article-journal","volume":"54"},"uris":["http://www.mendeley.com/documents/?uuid=886ac8ef-9cd8-3918-bf20-985a65944759"]},{"id":"ITEM-3","itemData":{"DOI":"10.1016/j.envint.2019.104909","ISSN":"18736750","PMID":"31272018","abstract":"Various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author":[{"dropping-particle":"","family":"Di","given":"Qian","non-dropping-particle":"","parse-names":false,"suffix":""},{"dropping-particle":"","family":"Amini","given":"Heresh","non-dropping-particle":"","parse-names":false,"suffix":""},{"dropping-particle":"","family":"Shi","given":"Liuhua","non-dropping-particle":"","parse-names":false,"suffix":""},{"dropping-particle":"","family":"Kloog","given":"Itai","non-dropping-particle":"","parse-names":false,"suffix":""},{"dropping-particle":"","family":"Silvern","given":"Rachel","non-dropping-particle":"","parse-names":false,"suffix":""},{"dropping-particle":"","family":"Kelly","given":"James","non-dropping-particle":"","parse-names":false,"suffix":""},{"dropping-particle":"","family":"Sabath","given":"M. Benjamin","non-dropping-particle":"","parse-names":false,"suffix":""},{"dropping-particle":"","family":"Choirat","given":"Christine","non-dropping-particle":"","parse-names":false,"suffix":""},{"dropping-particle":"","family":"Koutrakis","given":"Petros","non-dropping-particle":"","parse-names":false,"suffix":""},{"dropping-particle":"","family":"Lyapustin","given":"Alexei","non-dropping-particle":"","parse-names":false,"suffix":""},{"dropping-particle":"","family":"Wang","given":"Yujie","non-dropping-particle":"","parse-names":false,"suffix":""},{"dropping-particle":"","family":"Mickley","given":"Loretta J.","non-dropping-particle":"","parse-names":false,"suffix":""},{"dropping-particle":"","family":"Schwartz","given":"Joel","non-dropping-particle":"","parse-names":false,"suffix":""}],"container-title":"Environment International","id":"ITEM-3","issued":{"date-parts":[["2019","9","1"]]},"page":"104909","publisher":"Elsevier Ltd","title":"An ensemble-based model of PM2.5 concentration across the contiguous United States with high spatiotemporal resolution","type":"article-journal","volume":"130"},"uris":["http://www.mendeley.com/documents/?uuid=1a62b567-8c3c-3393-9d6a-300438872581"]}],"mendeley":{"formattedCitation":"&lt;sup&gt;6–8&lt;/sup&gt;","plainTextFormattedCitation":"6–8","previouslyFormattedCitation":"(Di et al. 2019b, 2019a; Requia et al. 2020)"},"properties":{"noteIndex":0},"schema":"https://github.com/citation-style-language/schema/raw/master/csl-citation.json"}</w:instrText>
      </w:r>
      <w:r w:rsidR="005E6CEF" w:rsidRPr="00EA3E1D">
        <w:rPr>
          <w:rStyle w:val="FootnoteReference"/>
          <w:rFonts w:ascii="Times New Roman" w:hAnsi="Times New Roman" w:cs="Times New Roman"/>
          <w:sz w:val="20"/>
          <w:szCs w:val="20"/>
          <w:lang w:val="en-GB"/>
        </w:rPr>
        <w:fldChar w:fldCharType="separate"/>
      </w:r>
      <w:r w:rsidR="005E6CEF" w:rsidRPr="00EA3E1D">
        <w:rPr>
          <w:rFonts w:ascii="Times New Roman" w:hAnsi="Times New Roman" w:cs="Times New Roman"/>
          <w:bCs/>
          <w:noProof/>
          <w:sz w:val="20"/>
          <w:szCs w:val="20"/>
          <w:vertAlign w:val="superscript"/>
          <w:lang w:val="en-GB"/>
        </w:rPr>
        <w:t>6–8</w:t>
      </w:r>
      <w:r w:rsidR="005E6CEF" w:rsidRPr="00EA3E1D">
        <w:rPr>
          <w:rStyle w:val="FootnoteReference"/>
          <w:rFonts w:ascii="Times New Roman" w:hAnsi="Times New Roman" w:cs="Times New Roman"/>
          <w:sz w:val="20"/>
          <w:szCs w:val="20"/>
          <w:lang w:val="en-GB"/>
        </w:rPr>
        <w:fldChar w:fldCharType="end"/>
      </w:r>
      <w:r w:rsidRPr="00EA3E1D">
        <w:rPr>
          <w:rFonts w:ascii="Times New Roman" w:hAnsi="Times New Roman" w:cs="Times New Roman"/>
          <w:sz w:val="20"/>
          <w:szCs w:val="20"/>
          <w:lang w:val="en-GB"/>
        </w:rPr>
        <w:t xml:space="preserve"> </w:t>
      </w:r>
      <w:proofErr w:type="gramStart"/>
      <w:r w:rsidRPr="00EA3E1D">
        <w:rPr>
          <w:rFonts w:ascii="Times New Roman" w:hAnsi="Times New Roman" w:cs="Times New Roman"/>
          <w:sz w:val="20"/>
          <w:szCs w:val="20"/>
          <w:lang w:val="en-GB"/>
        </w:rPr>
        <w:t>For</w:t>
      </w:r>
      <w:proofErr w:type="gramEnd"/>
      <w:r w:rsidRPr="00EA3E1D">
        <w:rPr>
          <w:rFonts w:ascii="Times New Roman" w:hAnsi="Times New Roman" w:cs="Times New Roman"/>
          <w:sz w:val="20"/>
          <w:szCs w:val="20"/>
          <w:lang w:val="en-GB"/>
        </w:rPr>
        <w:t xml:space="preserve"> each zip code, the annual average concentrations were estimated by averaging the estimations at grid cells whose centroids fall within the boundary of that ZIP code</w:t>
      </w:r>
      <w:r w:rsidR="00B1078E" w:rsidRPr="00EA3E1D">
        <w:rPr>
          <w:rFonts w:ascii="Times New Roman" w:hAnsi="Times New Roman" w:cs="Times New Roman"/>
          <w:sz w:val="20"/>
          <w:szCs w:val="20"/>
          <w:lang w:val="en-GB"/>
        </w:rPr>
        <w:t>.</w:t>
      </w:r>
      <w:r w:rsidRPr="00EA3E1D">
        <w:rPr>
          <w:rFonts w:ascii="Times New Roman" w:hAnsi="Times New Roman" w:cs="Times New Roman"/>
          <w:sz w:val="20"/>
          <w:szCs w:val="20"/>
          <w:lang w:val="en-GB"/>
        </w:rPr>
        <w:t xml:space="preserve"> Average summer maximum temperature, ambient specific humidity and total precipitation were estimated for each year for each zip code using daily data from the Gridded Surface Meteorological dataset</w:t>
      </w:r>
      <w:r w:rsidR="00B1078E" w:rsidRPr="00EA3E1D">
        <w:rPr>
          <w:rFonts w:ascii="Times New Roman" w:hAnsi="Times New Roman" w:cs="Times New Roman"/>
          <w:sz w:val="20"/>
          <w:szCs w:val="20"/>
          <w:lang w:val="en-GB"/>
        </w:rPr>
        <w:t>.</w:t>
      </w:r>
      <w:r w:rsidR="005E6CEF" w:rsidRPr="00EA3E1D">
        <w:rPr>
          <w:rFonts w:ascii="Times New Roman" w:hAnsi="Times New Roman" w:cs="Times New Roman"/>
          <w:sz w:val="20"/>
          <w:szCs w:val="20"/>
          <w:lang w:val="en-GB"/>
        </w:rPr>
        <w:fldChar w:fldCharType="begin" w:fldLock="1"/>
      </w:r>
      <w:r w:rsidR="005E6CEF" w:rsidRPr="00EA3E1D">
        <w:rPr>
          <w:rFonts w:ascii="Times New Roman" w:hAnsi="Times New Roman" w:cs="Times New Roman"/>
          <w:sz w:val="20"/>
          <w:szCs w:val="20"/>
          <w:lang w:val="en-GB"/>
        </w:rPr>
        <w:instrText>ADDIN CSL_CITATION {"citationItems":[{"id":"ITEM-1","itemData":{"DOI":"10.1002/joc.3413","ISSN":"08998418","abstract":"Landscape-scale ecological modelling has been hindered by suitable high-resolution surface meteorological datasets. To overcome these limitations, desirable spatial attributes of gridded climate data are combined with desirable temporal attributes of regional-scale reanalysis and daily gauge-based precipitation to derive a spatially and temporally complete, high-resolution (4-km) gridded dataset of surface meteorological variables required in ecological modelling for the contiguous United States from 1979 to 2010. Validation of the resulting gridded surface meteorological data, using an extensive network of automated weather stations across the western United States, showed skill comparable to that derived from interpolation using station observations, suggesting it can serve as suitable surrogate for landscape-scale ecological modelling across vast unmonitored areas of the United States. © 2011 Royal Meteorological Society.","author":[{"dropping-particle":"","family":"Abatzoglou","given":"John T.","non-dropping-particle":"","parse-names":false,"suffix":""}],"container-title":"International Journal of Climatology","id":"ITEM-1","issue":"1","issued":{"date-parts":[["2013","1","1"]]},"page":"121-131","publisher":"John Wiley &amp; Sons, Ltd","title":"Development of gridded surface meteorological data for ecological applications and modelling","type":"article-journal","volume":"33"},"uris":["http://www.mendeley.com/documents/?uuid=9e86223b-87c2-3a52-b07c-bd54dc99acfd"]}],"mendeley":{"formattedCitation":"&lt;sup&gt;9&lt;/sup&gt;","plainTextFormattedCitation":"9","previouslyFormattedCitation":"(Abatzoglou 2013)"},"properties":{"noteIndex":0},"schema":"https://github.com/citation-style-language/schema/raw/master/csl-citation.json"}</w:instrText>
      </w:r>
      <w:r w:rsidR="005E6CEF" w:rsidRPr="00EA3E1D">
        <w:rPr>
          <w:rFonts w:ascii="Times New Roman" w:hAnsi="Times New Roman" w:cs="Times New Roman"/>
          <w:sz w:val="20"/>
          <w:szCs w:val="20"/>
          <w:lang w:val="en-GB"/>
        </w:rPr>
        <w:fldChar w:fldCharType="separate"/>
      </w:r>
      <w:r w:rsidR="005E6CEF" w:rsidRPr="00EA3E1D">
        <w:rPr>
          <w:rFonts w:ascii="Times New Roman" w:hAnsi="Times New Roman" w:cs="Times New Roman"/>
          <w:noProof/>
          <w:sz w:val="20"/>
          <w:szCs w:val="20"/>
          <w:vertAlign w:val="superscript"/>
          <w:lang w:val="en-GB"/>
        </w:rPr>
        <w:t>9</w:t>
      </w:r>
      <w:r w:rsidR="005E6CEF" w:rsidRPr="00EA3E1D">
        <w:rPr>
          <w:rFonts w:ascii="Times New Roman" w:hAnsi="Times New Roman" w:cs="Times New Roman"/>
          <w:sz w:val="20"/>
          <w:szCs w:val="20"/>
          <w:lang w:val="en-GB"/>
        </w:rPr>
        <w:fldChar w:fldCharType="end"/>
      </w:r>
      <w:r w:rsidRPr="00EA3E1D">
        <w:rPr>
          <w:rFonts w:ascii="Times New Roman" w:hAnsi="Times New Roman" w:cs="Times New Roman"/>
          <w:sz w:val="20"/>
          <w:szCs w:val="20"/>
          <w:lang w:val="en-GB"/>
        </w:rPr>
        <w:t xml:space="preserve"> </w:t>
      </w:r>
    </w:p>
    <w:p w14:paraId="492844CF" w14:textId="1F139F60" w:rsidR="006C0C91" w:rsidRPr="00EA3E1D" w:rsidRDefault="006C0C91" w:rsidP="00FC71A1">
      <w:pPr>
        <w:jc w:val="both"/>
        <w:rPr>
          <w:rFonts w:ascii="Times New Roman" w:hAnsi="Times New Roman" w:cs="Times New Roman"/>
          <w:b/>
          <w:sz w:val="24"/>
          <w:szCs w:val="20"/>
        </w:rPr>
      </w:pPr>
      <w:r w:rsidRPr="00EA3E1D">
        <w:rPr>
          <w:rFonts w:ascii="Times New Roman" w:hAnsi="Times New Roman" w:cs="Times New Roman"/>
          <w:b/>
          <w:sz w:val="24"/>
          <w:szCs w:val="20"/>
        </w:rPr>
        <w:t>Literature</w:t>
      </w:r>
    </w:p>
    <w:p w14:paraId="73E6975B" w14:textId="01A84B25" w:rsidR="005E6CEF" w:rsidRPr="00EA3E1D" w:rsidRDefault="006C0C91"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b/>
          <w:bCs/>
          <w:sz w:val="20"/>
          <w:szCs w:val="20"/>
        </w:rPr>
        <w:fldChar w:fldCharType="begin" w:fldLock="1"/>
      </w:r>
      <w:r w:rsidRPr="00EA3E1D">
        <w:rPr>
          <w:rFonts w:ascii="Times New Roman" w:hAnsi="Times New Roman" w:cs="Times New Roman"/>
          <w:b/>
          <w:bCs/>
          <w:sz w:val="20"/>
          <w:szCs w:val="20"/>
        </w:rPr>
        <w:instrText xml:space="preserve">ADDIN Mendeley Bibliography CSL_BIBLIOGRAPHY </w:instrText>
      </w:r>
      <w:r w:rsidRPr="00EA3E1D">
        <w:rPr>
          <w:rFonts w:ascii="Times New Roman" w:hAnsi="Times New Roman" w:cs="Times New Roman"/>
          <w:b/>
          <w:bCs/>
          <w:sz w:val="20"/>
          <w:szCs w:val="20"/>
        </w:rPr>
        <w:fldChar w:fldCharType="separate"/>
      </w:r>
      <w:r w:rsidR="005E6CEF" w:rsidRPr="00EA3E1D">
        <w:rPr>
          <w:rFonts w:ascii="Times New Roman" w:hAnsi="Times New Roman" w:cs="Times New Roman"/>
          <w:noProof/>
          <w:sz w:val="20"/>
          <w:szCs w:val="20"/>
        </w:rPr>
        <w:t>1</w:t>
      </w:r>
      <w:r w:rsidR="005E6CEF" w:rsidRPr="00EA3E1D">
        <w:rPr>
          <w:rFonts w:ascii="Times New Roman" w:hAnsi="Times New Roman" w:cs="Times New Roman"/>
          <w:noProof/>
          <w:sz w:val="20"/>
          <w:szCs w:val="20"/>
        </w:rPr>
        <w:tab/>
        <w:t>U.S. Geological Survey (USGS), Gap Analysis Project. Protected Areas Database of the United States (PAD-US) 2.1: U.S. Geological Survey data release. 2020. DOI:https://doi.org/10.5066/P92QM3NT.</w:t>
      </w:r>
    </w:p>
    <w:p w14:paraId="704965FB"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2</w:t>
      </w:r>
      <w:r w:rsidRPr="00EA3E1D">
        <w:rPr>
          <w:rFonts w:ascii="Times New Roman" w:hAnsi="Times New Roman" w:cs="Times New Roman"/>
          <w:noProof/>
          <w:sz w:val="20"/>
          <w:szCs w:val="20"/>
        </w:rPr>
        <w:tab/>
        <w:t>NASA. Measuring Vegetation (NDVI &amp; EVI). https://earthobservatory.nasa.gov/features/MeasuringVegetation/measuring_vegetation_2.php (accessed June 16, 2020).</w:t>
      </w:r>
    </w:p>
    <w:p w14:paraId="4ADA4BFD"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3</w:t>
      </w:r>
      <w:r w:rsidRPr="00EA3E1D">
        <w:rPr>
          <w:rFonts w:ascii="Times New Roman" w:hAnsi="Times New Roman" w:cs="Times New Roman"/>
          <w:noProof/>
          <w:sz w:val="20"/>
          <w:szCs w:val="20"/>
        </w:rPr>
        <w:tab/>
        <w:t xml:space="preserve">Gorelick N, Hancher M, Dixon M, Ilyushchenko S, Thau D, Moore R. Google Earth Engine: Planetary-scale geospatial analysis for everyone. </w:t>
      </w:r>
      <w:r w:rsidRPr="00EA3E1D">
        <w:rPr>
          <w:rFonts w:ascii="Times New Roman" w:hAnsi="Times New Roman" w:cs="Times New Roman"/>
          <w:i/>
          <w:iCs/>
          <w:noProof/>
          <w:sz w:val="20"/>
          <w:szCs w:val="20"/>
        </w:rPr>
        <w:t>Remote Sens Environ</w:t>
      </w:r>
      <w:r w:rsidRPr="00EA3E1D">
        <w:rPr>
          <w:rFonts w:ascii="Times New Roman" w:hAnsi="Times New Roman" w:cs="Times New Roman"/>
          <w:noProof/>
          <w:sz w:val="20"/>
          <w:szCs w:val="20"/>
        </w:rPr>
        <w:t xml:space="preserve"> 2017; </w:t>
      </w:r>
      <w:r w:rsidRPr="00EA3E1D">
        <w:rPr>
          <w:rFonts w:ascii="Times New Roman" w:hAnsi="Times New Roman" w:cs="Times New Roman"/>
          <w:b/>
          <w:bCs/>
          <w:noProof/>
          <w:sz w:val="20"/>
          <w:szCs w:val="20"/>
        </w:rPr>
        <w:t>202</w:t>
      </w:r>
      <w:r w:rsidRPr="00EA3E1D">
        <w:rPr>
          <w:rFonts w:ascii="Times New Roman" w:hAnsi="Times New Roman" w:cs="Times New Roman"/>
          <w:noProof/>
          <w:sz w:val="20"/>
          <w:szCs w:val="20"/>
        </w:rPr>
        <w:t>: 18–27.</w:t>
      </w:r>
    </w:p>
    <w:p w14:paraId="33A201DA"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4</w:t>
      </w:r>
      <w:r w:rsidRPr="00EA3E1D">
        <w:rPr>
          <w:rFonts w:ascii="Times New Roman" w:hAnsi="Times New Roman" w:cs="Times New Roman"/>
          <w:noProof/>
          <w:sz w:val="20"/>
          <w:szCs w:val="20"/>
        </w:rPr>
        <w:tab/>
        <w:t xml:space="preserve">Pekel JF, Cottam A, Gorelick N, Belward AS. High-resolution mapping of global surface water and its long-term changes. </w:t>
      </w:r>
      <w:r w:rsidRPr="00EA3E1D">
        <w:rPr>
          <w:rFonts w:ascii="Times New Roman" w:hAnsi="Times New Roman" w:cs="Times New Roman"/>
          <w:i/>
          <w:iCs/>
          <w:noProof/>
          <w:sz w:val="20"/>
          <w:szCs w:val="20"/>
        </w:rPr>
        <w:t>Nature</w:t>
      </w:r>
      <w:r w:rsidRPr="00EA3E1D">
        <w:rPr>
          <w:rFonts w:ascii="Times New Roman" w:hAnsi="Times New Roman" w:cs="Times New Roman"/>
          <w:noProof/>
          <w:sz w:val="20"/>
          <w:szCs w:val="20"/>
        </w:rPr>
        <w:t xml:space="preserve"> 2016; </w:t>
      </w:r>
      <w:r w:rsidRPr="00EA3E1D">
        <w:rPr>
          <w:rFonts w:ascii="Times New Roman" w:hAnsi="Times New Roman" w:cs="Times New Roman"/>
          <w:b/>
          <w:bCs/>
          <w:noProof/>
          <w:sz w:val="20"/>
          <w:szCs w:val="20"/>
        </w:rPr>
        <w:t>540</w:t>
      </w:r>
      <w:r w:rsidRPr="00EA3E1D">
        <w:rPr>
          <w:rFonts w:ascii="Times New Roman" w:hAnsi="Times New Roman" w:cs="Times New Roman"/>
          <w:noProof/>
          <w:sz w:val="20"/>
          <w:szCs w:val="20"/>
        </w:rPr>
        <w:t>: 418–22.</w:t>
      </w:r>
    </w:p>
    <w:p w14:paraId="692DD2F9"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5</w:t>
      </w:r>
      <w:r w:rsidRPr="00EA3E1D">
        <w:rPr>
          <w:rFonts w:ascii="Times New Roman" w:hAnsi="Times New Roman" w:cs="Times New Roman"/>
          <w:noProof/>
          <w:sz w:val="20"/>
          <w:szCs w:val="20"/>
        </w:rPr>
        <w:tab/>
        <w:t xml:space="preserve">Di Q, Wang Y, Zanobetti A, </w:t>
      </w:r>
      <w:r w:rsidRPr="00EA3E1D">
        <w:rPr>
          <w:rFonts w:ascii="Times New Roman" w:hAnsi="Times New Roman" w:cs="Times New Roman"/>
          <w:i/>
          <w:iCs/>
          <w:noProof/>
          <w:sz w:val="20"/>
          <w:szCs w:val="20"/>
        </w:rPr>
        <w:t>et al.</w:t>
      </w:r>
      <w:r w:rsidRPr="00EA3E1D">
        <w:rPr>
          <w:rFonts w:ascii="Times New Roman" w:hAnsi="Times New Roman" w:cs="Times New Roman"/>
          <w:noProof/>
          <w:sz w:val="20"/>
          <w:szCs w:val="20"/>
        </w:rPr>
        <w:t xml:space="preserve"> Air Pollution and Mortality in the Medicare Population. </w:t>
      </w:r>
      <w:r w:rsidRPr="00EA3E1D">
        <w:rPr>
          <w:rFonts w:ascii="Times New Roman" w:hAnsi="Times New Roman" w:cs="Times New Roman"/>
          <w:i/>
          <w:iCs/>
          <w:noProof/>
          <w:sz w:val="20"/>
          <w:szCs w:val="20"/>
        </w:rPr>
        <w:t>N Engl J Med</w:t>
      </w:r>
      <w:r w:rsidRPr="00EA3E1D">
        <w:rPr>
          <w:rFonts w:ascii="Times New Roman" w:hAnsi="Times New Roman" w:cs="Times New Roman"/>
          <w:noProof/>
          <w:sz w:val="20"/>
          <w:szCs w:val="20"/>
        </w:rPr>
        <w:t xml:space="preserve"> 2017; </w:t>
      </w:r>
      <w:r w:rsidRPr="00EA3E1D">
        <w:rPr>
          <w:rFonts w:ascii="Times New Roman" w:hAnsi="Times New Roman" w:cs="Times New Roman"/>
          <w:b/>
          <w:bCs/>
          <w:noProof/>
          <w:sz w:val="20"/>
          <w:szCs w:val="20"/>
        </w:rPr>
        <w:t>376</w:t>
      </w:r>
      <w:r w:rsidRPr="00EA3E1D">
        <w:rPr>
          <w:rFonts w:ascii="Times New Roman" w:hAnsi="Times New Roman" w:cs="Times New Roman"/>
          <w:noProof/>
          <w:sz w:val="20"/>
          <w:szCs w:val="20"/>
        </w:rPr>
        <w:t>: 2513–22.</w:t>
      </w:r>
    </w:p>
    <w:p w14:paraId="1E037EF0"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6</w:t>
      </w:r>
      <w:r w:rsidRPr="00EA3E1D">
        <w:rPr>
          <w:rFonts w:ascii="Times New Roman" w:hAnsi="Times New Roman" w:cs="Times New Roman"/>
          <w:noProof/>
          <w:sz w:val="20"/>
          <w:szCs w:val="20"/>
        </w:rPr>
        <w:tab/>
        <w:t xml:space="preserve">Requia WJ, Di Q, Silvern RF, </w:t>
      </w:r>
      <w:r w:rsidRPr="00EA3E1D">
        <w:rPr>
          <w:rFonts w:ascii="Times New Roman" w:hAnsi="Times New Roman" w:cs="Times New Roman"/>
          <w:i/>
          <w:iCs/>
          <w:noProof/>
          <w:sz w:val="20"/>
          <w:szCs w:val="20"/>
        </w:rPr>
        <w:t>et al.</w:t>
      </w:r>
      <w:r w:rsidRPr="00EA3E1D">
        <w:rPr>
          <w:rFonts w:ascii="Times New Roman" w:hAnsi="Times New Roman" w:cs="Times New Roman"/>
          <w:noProof/>
          <w:sz w:val="20"/>
          <w:szCs w:val="20"/>
        </w:rPr>
        <w:t xml:space="preserve"> An ensemble learning approach for estimating high spatiotemporal resolution of ground-level ozone in the contiguous United States. </w:t>
      </w:r>
      <w:r w:rsidRPr="00EA3E1D">
        <w:rPr>
          <w:rFonts w:ascii="Times New Roman" w:hAnsi="Times New Roman" w:cs="Times New Roman"/>
          <w:i/>
          <w:iCs/>
          <w:noProof/>
          <w:sz w:val="20"/>
          <w:szCs w:val="20"/>
        </w:rPr>
        <w:t>Environ Sci Technol</w:t>
      </w:r>
      <w:r w:rsidRPr="00EA3E1D">
        <w:rPr>
          <w:rFonts w:ascii="Times New Roman" w:hAnsi="Times New Roman" w:cs="Times New Roman"/>
          <w:noProof/>
          <w:sz w:val="20"/>
          <w:szCs w:val="20"/>
        </w:rPr>
        <w:t xml:space="preserve"> 2020; </w:t>
      </w:r>
      <w:r w:rsidRPr="00EA3E1D">
        <w:rPr>
          <w:rFonts w:ascii="Times New Roman" w:hAnsi="Times New Roman" w:cs="Times New Roman"/>
          <w:b/>
          <w:bCs/>
          <w:noProof/>
          <w:sz w:val="20"/>
          <w:szCs w:val="20"/>
        </w:rPr>
        <w:t>54</w:t>
      </w:r>
      <w:r w:rsidRPr="00EA3E1D">
        <w:rPr>
          <w:rFonts w:ascii="Times New Roman" w:hAnsi="Times New Roman" w:cs="Times New Roman"/>
          <w:noProof/>
          <w:sz w:val="20"/>
          <w:szCs w:val="20"/>
        </w:rPr>
        <w:t>: 11037–47.</w:t>
      </w:r>
    </w:p>
    <w:p w14:paraId="072986EC"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7</w:t>
      </w:r>
      <w:r w:rsidRPr="00EA3E1D">
        <w:rPr>
          <w:rFonts w:ascii="Times New Roman" w:hAnsi="Times New Roman" w:cs="Times New Roman"/>
          <w:noProof/>
          <w:sz w:val="20"/>
          <w:szCs w:val="20"/>
        </w:rPr>
        <w:tab/>
        <w:t xml:space="preserve">Di Q, Amini H, Shi L, </w:t>
      </w:r>
      <w:r w:rsidRPr="00EA3E1D">
        <w:rPr>
          <w:rFonts w:ascii="Times New Roman" w:hAnsi="Times New Roman" w:cs="Times New Roman"/>
          <w:i/>
          <w:iCs/>
          <w:noProof/>
          <w:sz w:val="20"/>
          <w:szCs w:val="20"/>
        </w:rPr>
        <w:t>et al.</w:t>
      </w:r>
      <w:r w:rsidRPr="00EA3E1D">
        <w:rPr>
          <w:rFonts w:ascii="Times New Roman" w:hAnsi="Times New Roman" w:cs="Times New Roman"/>
          <w:noProof/>
          <w:sz w:val="20"/>
          <w:szCs w:val="20"/>
        </w:rPr>
        <w:t xml:space="preserve"> An ensemble-based model of PM2.5 concentration across the contiguous United States with high spatiotemporal resolution. </w:t>
      </w:r>
      <w:r w:rsidRPr="00EA3E1D">
        <w:rPr>
          <w:rFonts w:ascii="Times New Roman" w:hAnsi="Times New Roman" w:cs="Times New Roman"/>
          <w:i/>
          <w:iCs/>
          <w:noProof/>
          <w:sz w:val="20"/>
          <w:szCs w:val="20"/>
        </w:rPr>
        <w:t>Environ Int</w:t>
      </w:r>
      <w:r w:rsidRPr="00EA3E1D">
        <w:rPr>
          <w:rFonts w:ascii="Times New Roman" w:hAnsi="Times New Roman" w:cs="Times New Roman"/>
          <w:noProof/>
          <w:sz w:val="20"/>
          <w:szCs w:val="20"/>
        </w:rPr>
        <w:t xml:space="preserve"> 2019; </w:t>
      </w:r>
      <w:r w:rsidRPr="00EA3E1D">
        <w:rPr>
          <w:rFonts w:ascii="Times New Roman" w:hAnsi="Times New Roman" w:cs="Times New Roman"/>
          <w:b/>
          <w:bCs/>
          <w:noProof/>
          <w:sz w:val="20"/>
          <w:szCs w:val="20"/>
        </w:rPr>
        <w:t>130</w:t>
      </w:r>
      <w:r w:rsidRPr="00EA3E1D">
        <w:rPr>
          <w:rFonts w:ascii="Times New Roman" w:hAnsi="Times New Roman" w:cs="Times New Roman"/>
          <w:noProof/>
          <w:sz w:val="20"/>
          <w:szCs w:val="20"/>
        </w:rPr>
        <w:t>: 104909.</w:t>
      </w:r>
    </w:p>
    <w:p w14:paraId="5F29B505"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8</w:t>
      </w:r>
      <w:r w:rsidRPr="00EA3E1D">
        <w:rPr>
          <w:rFonts w:ascii="Times New Roman" w:hAnsi="Times New Roman" w:cs="Times New Roman"/>
          <w:noProof/>
          <w:sz w:val="20"/>
          <w:szCs w:val="20"/>
        </w:rPr>
        <w:tab/>
        <w:t xml:space="preserve">Di Q, Amini H, Shi L, </w:t>
      </w:r>
      <w:r w:rsidRPr="00EA3E1D">
        <w:rPr>
          <w:rFonts w:ascii="Times New Roman" w:hAnsi="Times New Roman" w:cs="Times New Roman"/>
          <w:i/>
          <w:iCs/>
          <w:noProof/>
          <w:sz w:val="20"/>
          <w:szCs w:val="20"/>
        </w:rPr>
        <w:t>et al.</w:t>
      </w:r>
      <w:r w:rsidRPr="00EA3E1D">
        <w:rPr>
          <w:rFonts w:ascii="Times New Roman" w:hAnsi="Times New Roman" w:cs="Times New Roman"/>
          <w:noProof/>
          <w:sz w:val="20"/>
          <w:szCs w:val="20"/>
        </w:rPr>
        <w:t xml:space="preserve"> Assessing NO 2 Concentration and Model Uncertainty with High Spatiotemporal Resolution across the Contiguous United States Using Ensemble Model Averaging. </w:t>
      </w:r>
      <w:r w:rsidRPr="00EA3E1D">
        <w:rPr>
          <w:rFonts w:ascii="Times New Roman" w:hAnsi="Times New Roman" w:cs="Times New Roman"/>
          <w:i/>
          <w:iCs/>
          <w:noProof/>
          <w:sz w:val="20"/>
          <w:szCs w:val="20"/>
        </w:rPr>
        <w:t>ACS Publ</w:t>
      </w:r>
      <w:r w:rsidRPr="00EA3E1D">
        <w:rPr>
          <w:rFonts w:ascii="Times New Roman" w:hAnsi="Times New Roman" w:cs="Times New Roman"/>
          <w:noProof/>
          <w:sz w:val="20"/>
          <w:szCs w:val="20"/>
        </w:rPr>
        <w:t xml:space="preserve"> 2019; </w:t>
      </w:r>
      <w:r w:rsidRPr="00EA3E1D">
        <w:rPr>
          <w:rFonts w:ascii="Times New Roman" w:hAnsi="Times New Roman" w:cs="Times New Roman"/>
          <w:b/>
          <w:bCs/>
          <w:noProof/>
          <w:sz w:val="20"/>
          <w:szCs w:val="20"/>
        </w:rPr>
        <w:t>54</w:t>
      </w:r>
      <w:r w:rsidRPr="00EA3E1D">
        <w:rPr>
          <w:rFonts w:ascii="Times New Roman" w:hAnsi="Times New Roman" w:cs="Times New Roman"/>
          <w:noProof/>
          <w:sz w:val="20"/>
          <w:szCs w:val="20"/>
        </w:rPr>
        <w:t>: 1372–84.</w:t>
      </w:r>
    </w:p>
    <w:p w14:paraId="5E125DE0" w14:textId="77777777" w:rsidR="005E6CEF" w:rsidRPr="00EA3E1D" w:rsidRDefault="005E6CEF" w:rsidP="005E6CEF">
      <w:pPr>
        <w:widowControl w:val="0"/>
        <w:autoSpaceDE w:val="0"/>
        <w:autoSpaceDN w:val="0"/>
        <w:adjustRightInd w:val="0"/>
        <w:spacing w:line="240" w:lineRule="auto"/>
        <w:ind w:left="640" w:hanging="640"/>
        <w:rPr>
          <w:rFonts w:ascii="Times New Roman" w:hAnsi="Times New Roman" w:cs="Times New Roman"/>
          <w:noProof/>
          <w:sz w:val="20"/>
          <w:szCs w:val="20"/>
        </w:rPr>
      </w:pPr>
      <w:r w:rsidRPr="00EA3E1D">
        <w:rPr>
          <w:rFonts w:ascii="Times New Roman" w:hAnsi="Times New Roman" w:cs="Times New Roman"/>
          <w:noProof/>
          <w:sz w:val="20"/>
          <w:szCs w:val="20"/>
        </w:rPr>
        <w:t>9</w:t>
      </w:r>
      <w:r w:rsidRPr="00EA3E1D">
        <w:rPr>
          <w:rFonts w:ascii="Times New Roman" w:hAnsi="Times New Roman" w:cs="Times New Roman"/>
          <w:noProof/>
          <w:sz w:val="20"/>
          <w:szCs w:val="20"/>
        </w:rPr>
        <w:tab/>
        <w:t xml:space="preserve">Abatzoglou JT. Development of gridded surface meteorological data for ecological applications and modelling. </w:t>
      </w:r>
      <w:r w:rsidRPr="00EA3E1D">
        <w:rPr>
          <w:rFonts w:ascii="Times New Roman" w:hAnsi="Times New Roman" w:cs="Times New Roman"/>
          <w:i/>
          <w:iCs/>
          <w:noProof/>
          <w:sz w:val="20"/>
          <w:szCs w:val="20"/>
        </w:rPr>
        <w:t>Int J Climatol</w:t>
      </w:r>
      <w:r w:rsidRPr="00EA3E1D">
        <w:rPr>
          <w:rFonts w:ascii="Times New Roman" w:hAnsi="Times New Roman" w:cs="Times New Roman"/>
          <w:noProof/>
          <w:sz w:val="20"/>
          <w:szCs w:val="20"/>
        </w:rPr>
        <w:t xml:space="preserve"> 2013; </w:t>
      </w:r>
      <w:r w:rsidRPr="00EA3E1D">
        <w:rPr>
          <w:rFonts w:ascii="Times New Roman" w:hAnsi="Times New Roman" w:cs="Times New Roman"/>
          <w:b/>
          <w:bCs/>
          <w:noProof/>
          <w:sz w:val="20"/>
          <w:szCs w:val="20"/>
        </w:rPr>
        <w:t>33</w:t>
      </w:r>
      <w:r w:rsidRPr="00EA3E1D">
        <w:rPr>
          <w:rFonts w:ascii="Times New Roman" w:hAnsi="Times New Roman" w:cs="Times New Roman"/>
          <w:noProof/>
          <w:sz w:val="20"/>
          <w:szCs w:val="20"/>
        </w:rPr>
        <w:t>: 121–31.</w:t>
      </w:r>
    </w:p>
    <w:p w14:paraId="123B2018" w14:textId="152E9617" w:rsidR="00B1078E" w:rsidRPr="00EA3E1D" w:rsidRDefault="006C0C91" w:rsidP="00B1078E">
      <w:pPr>
        <w:jc w:val="both"/>
        <w:rPr>
          <w:rFonts w:ascii="Times New Roman" w:hAnsi="Times New Roman" w:cs="Times New Roman"/>
          <w:b/>
          <w:bCs/>
          <w:sz w:val="20"/>
          <w:szCs w:val="20"/>
        </w:rPr>
      </w:pPr>
      <w:r w:rsidRPr="00EA3E1D">
        <w:rPr>
          <w:rFonts w:ascii="Times New Roman" w:hAnsi="Times New Roman" w:cs="Times New Roman"/>
          <w:b/>
          <w:bCs/>
          <w:sz w:val="20"/>
          <w:szCs w:val="20"/>
        </w:rPr>
        <w:lastRenderedPageBreak/>
        <w:fldChar w:fldCharType="end"/>
      </w:r>
      <w:r w:rsidR="00B1078E" w:rsidRPr="00EA3E1D">
        <w:rPr>
          <w:rFonts w:ascii="Times New Roman" w:hAnsi="Times New Roman" w:cs="Times New Roman"/>
          <w:b/>
          <w:bCs/>
          <w:sz w:val="20"/>
          <w:szCs w:val="20"/>
        </w:rPr>
        <w:t>Table S1. Descriptive statistics of the cardiovascular disease (CVD) and respiratory disease (RSD) hospitalization cohorts 2000-2016 (aggregated data)</w:t>
      </w:r>
      <w:r w:rsidR="00EA3E1D">
        <w:rPr>
          <w:rFonts w:ascii="Times New Roman" w:hAnsi="Times New Roman" w:cs="Times New Roman"/>
          <w:b/>
          <w:bCs/>
          <w:sz w:val="20"/>
          <w:szCs w:val="20"/>
        </w:rPr>
        <w:t>.</w:t>
      </w:r>
      <w:bookmarkStart w:id="0" w:name="_GoBack"/>
      <w:bookmarkEnd w:id="0"/>
      <w:r w:rsidR="00B1078E" w:rsidRPr="00EA3E1D">
        <w:rPr>
          <w:rFonts w:ascii="Times New Roman" w:hAnsi="Times New Roman" w:cs="Times New Roman"/>
          <w:b/>
          <w:bCs/>
          <w:sz w:val="20"/>
          <w:szCs w:val="20"/>
          <w:vertAlign w:val="superscript"/>
        </w:rPr>
        <w:t>a</w:t>
      </w:r>
      <w:r w:rsidR="00E2120A" w:rsidRPr="00EA3E1D">
        <w:rPr>
          <w:rFonts w:ascii="Times New Roman" w:hAnsi="Times New Roman" w:cs="Times New Roman"/>
          <w:b/>
          <w:bCs/>
          <w:sz w:val="20"/>
          <w:szCs w:val="20"/>
          <w:vertAlign w:val="superscript"/>
        </w:rPr>
        <w:t>, b</w:t>
      </w:r>
    </w:p>
    <w:tbl>
      <w:tblPr>
        <w:tblW w:w="10225" w:type="dxa"/>
        <w:tblLayout w:type="fixed"/>
        <w:tblLook w:val="04A0" w:firstRow="1" w:lastRow="0" w:firstColumn="1" w:lastColumn="0" w:noHBand="0" w:noVBand="1"/>
      </w:tblPr>
      <w:tblGrid>
        <w:gridCol w:w="4338"/>
        <w:gridCol w:w="1471"/>
        <w:gridCol w:w="1472"/>
        <w:gridCol w:w="1472"/>
        <w:gridCol w:w="1472"/>
      </w:tblGrid>
      <w:tr w:rsidR="00B1078E" w:rsidRPr="00EA3E1D" w14:paraId="40961898" w14:textId="77777777" w:rsidTr="00EA3E1D">
        <w:trPr>
          <w:trHeight w:val="286"/>
        </w:trPr>
        <w:tc>
          <w:tcPr>
            <w:tcW w:w="4338" w:type="dxa"/>
            <w:tcBorders>
              <w:top w:val="nil"/>
              <w:left w:val="nil"/>
              <w:right w:val="single" w:sz="4" w:space="0" w:color="auto"/>
            </w:tcBorders>
            <w:shd w:val="clear" w:color="auto" w:fill="auto"/>
            <w:noWrap/>
            <w:vAlign w:val="center"/>
          </w:tcPr>
          <w:p w14:paraId="014AFF9B"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p>
        </w:tc>
        <w:tc>
          <w:tcPr>
            <w:tcW w:w="2943" w:type="dxa"/>
            <w:gridSpan w:val="2"/>
            <w:tcBorders>
              <w:top w:val="nil"/>
              <w:left w:val="single" w:sz="4" w:space="0" w:color="auto"/>
              <w:bottom w:val="single" w:sz="4" w:space="0" w:color="auto"/>
              <w:right w:val="nil"/>
            </w:tcBorders>
            <w:shd w:val="clear" w:color="auto" w:fill="auto"/>
            <w:noWrap/>
            <w:vAlign w:val="center"/>
          </w:tcPr>
          <w:p w14:paraId="353C8A57"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CVD hospitalization</w:t>
            </w:r>
          </w:p>
        </w:tc>
        <w:tc>
          <w:tcPr>
            <w:tcW w:w="2944" w:type="dxa"/>
            <w:gridSpan w:val="2"/>
            <w:tcBorders>
              <w:top w:val="nil"/>
              <w:left w:val="single" w:sz="4" w:space="0" w:color="auto"/>
              <w:bottom w:val="single" w:sz="4" w:space="0" w:color="auto"/>
              <w:right w:val="nil"/>
            </w:tcBorders>
            <w:vAlign w:val="center"/>
          </w:tcPr>
          <w:p w14:paraId="6E940BD0"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RSD hospitalization</w:t>
            </w:r>
          </w:p>
        </w:tc>
      </w:tr>
      <w:tr w:rsidR="00B1078E" w:rsidRPr="00EA3E1D" w14:paraId="3A81D44A" w14:textId="77777777" w:rsidTr="00EA3E1D">
        <w:trPr>
          <w:trHeight w:val="286"/>
        </w:trPr>
        <w:tc>
          <w:tcPr>
            <w:tcW w:w="4338" w:type="dxa"/>
            <w:vMerge w:val="restart"/>
            <w:tcBorders>
              <w:top w:val="nil"/>
              <w:left w:val="nil"/>
              <w:right w:val="single" w:sz="4" w:space="0" w:color="auto"/>
            </w:tcBorders>
            <w:shd w:val="clear" w:color="auto" w:fill="auto"/>
            <w:noWrap/>
            <w:vAlign w:val="center"/>
          </w:tcPr>
          <w:p w14:paraId="593A6259"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Covariate</w:t>
            </w:r>
          </w:p>
        </w:tc>
        <w:tc>
          <w:tcPr>
            <w:tcW w:w="1471" w:type="dxa"/>
            <w:tcBorders>
              <w:top w:val="nil"/>
              <w:left w:val="single" w:sz="4" w:space="0" w:color="auto"/>
              <w:bottom w:val="single" w:sz="4" w:space="0" w:color="auto"/>
              <w:right w:val="nil"/>
            </w:tcBorders>
            <w:shd w:val="clear" w:color="auto" w:fill="auto"/>
            <w:noWrap/>
            <w:vAlign w:val="center"/>
          </w:tcPr>
          <w:p w14:paraId="2FDBD616"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Full cohort</w:t>
            </w:r>
          </w:p>
        </w:tc>
        <w:tc>
          <w:tcPr>
            <w:tcW w:w="1472" w:type="dxa"/>
            <w:tcBorders>
              <w:top w:val="nil"/>
              <w:left w:val="single" w:sz="4" w:space="0" w:color="auto"/>
              <w:bottom w:val="single" w:sz="4" w:space="0" w:color="auto"/>
              <w:right w:val="nil"/>
            </w:tcBorders>
            <w:vAlign w:val="center"/>
          </w:tcPr>
          <w:p w14:paraId="1FB0D718"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Urban cohort</w:t>
            </w:r>
          </w:p>
        </w:tc>
        <w:tc>
          <w:tcPr>
            <w:tcW w:w="1472" w:type="dxa"/>
            <w:tcBorders>
              <w:top w:val="nil"/>
              <w:left w:val="single" w:sz="4" w:space="0" w:color="auto"/>
              <w:bottom w:val="single" w:sz="4" w:space="0" w:color="auto"/>
              <w:right w:val="nil"/>
            </w:tcBorders>
            <w:vAlign w:val="center"/>
          </w:tcPr>
          <w:p w14:paraId="5E388A09"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Full cohort</w:t>
            </w:r>
          </w:p>
        </w:tc>
        <w:tc>
          <w:tcPr>
            <w:tcW w:w="1472" w:type="dxa"/>
            <w:tcBorders>
              <w:top w:val="nil"/>
              <w:left w:val="single" w:sz="4" w:space="0" w:color="auto"/>
              <w:bottom w:val="single" w:sz="4" w:space="0" w:color="auto"/>
              <w:right w:val="nil"/>
            </w:tcBorders>
            <w:vAlign w:val="center"/>
          </w:tcPr>
          <w:p w14:paraId="3A145EB3"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Urban cohort</w:t>
            </w:r>
          </w:p>
        </w:tc>
      </w:tr>
      <w:tr w:rsidR="00B1078E" w:rsidRPr="00EA3E1D" w14:paraId="63FBACC0" w14:textId="77777777" w:rsidTr="00EA3E1D">
        <w:trPr>
          <w:trHeight w:val="286"/>
        </w:trPr>
        <w:tc>
          <w:tcPr>
            <w:tcW w:w="4338" w:type="dxa"/>
            <w:vMerge/>
            <w:tcBorders>
              <w:left w:val="nil"/>
              <w:bottom w:val="single" w:sz="4" w:space="0" w:color="auto"/>
              <w:right w:val="single" w:sz="4" w:space="0" w:color="auto"/>
            </w:tcBorders>
            <w:shd w:val="clear" w:color="auto" w:fill="auto"/>
            <w:noWrap/>
            <w:vAlign w:val="bottom"/>
            <w:hideMark/>
          </w:tcPr>
          <w:p w14:paraId="21B9FDDE"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p>
        </w:tc>
        <w:tc>
          <w:tcPr>
            <w:tcW w:w="1471" w:type="dxa"/>
            <w:tcBorders>
              <w:top w:val="nil"/>
              <w:left w:val="single" w:sz="4" w:space="0" w:color="auto"/>
              <w:bottom w:val="single" w:sz="4" w:space="0" w:color="auto"/>
              <w:right w:val="nil"/>
            </w:tcBorders>
            <w:shd w:val="clear" w:color="auto" w:fill="auto"/>
            <w:noWrap/>
            <w:vAlign w:val="center"/>
            <w:hideMark/>
          </w:tcPr>
          <w:p w14:paraId="774CDF19"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Median (IQR)</w:t>
            </w:r>
          </w:p>
        </w:tc>
        <w:tc>
          <w:tcPr>
            <w:tcW w:w="1472" w:type="dxa"/>
            <w:tcBorders>
              <w:top w:val="nil"/>
              <w:left w:val="single" w:sz="4" w:space="0" w:color="auto"/>
              <w:bottom w:val="single" w:sz="4" w:space="0" w:color="auto"/>
              <w:right w:val="nil"/>
            </w:tcBorders>
            <w:vAlign w:val="center"/>
          </w:tcPr>
          <w:p w14:paraId="5B17BDCA"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Median (IQR)</w:t>
            </w:r>
          </w:p>
        </w:tc>
        <w:tc>
          <w:tcPr>
            <w:tcW w:w="1472" w:type="dxa"/>
            <w:tcBorders>
              <w:top w:val="nil"/>
              <w:left w:val="single" w:sz="4" w:space="0" w:color="auto"/>
              <w:bottom w:val="single" w:sz="4" w:space="0" w:color="auto"/>
              <w:right w:val="nil"/>
            </w:tcBorders>
            <w:vAlign w:val="center"/>
          </w:tcPr>
          <w:p w14:paraId="38D8C407"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Median (IQR)</w:t>
            </w:r>
          </w:p>
        </w:tc>
        <w:tc>
          <w:tcPr>
            <w:tcW w:w="1472" w:type="dxa"/>
            <w:tcBorders>
              <w:top w:val="nil"/>
              <w:left w:val="single" w:sz="4" w:space="0" w:color="auto"/>
              <w:bottom w:val="single" w:sz="4" w:space="0" w:color="auto"/>
              <w:right w:val="nil"/>
            </w:tcBorders>
          </w:tcPr>
          <w:p w14:paraId="6EE50B9E" w14:textId="77777777" w:rsidR="00B1078E" w:rsidRPr="00EA3E1D" w:rsidRDefault="00B1078E" w:rsidP="00B1078E">
            <w:pPr>
              <w:spacing w:after="0" w:line="240" w:lineRule="auto"/>
              <w:jc w:val="center"/>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Median (IQR)</w:t>
            </w:r>
          </w:p>
        </w:tc>
      </w:tr>
      <w:tr w:rsidR="00B1078E" w:rsidRPr="00EA3E1D" w14:paraId="0E35C681" w14:textId="77777777" w:rsidTr="00EA3E1D">
        <w:trPr>
          <w:trHeight w:val="267"/>
        </w:trPr>
        <w:tc>
          <w:tcPr>
            <w:tcW w:w="4338" w:type="dxa"/>
            <w:tcBorders>
              <w:top w:val="nil"/>
              <w:left w:val="nil"/>
              <w:bottom w:val="nil"/>
              <w:right w:val="single" w:sz="4" w:space="0" w:color="auto"/>
            </w:tcBorders>
            <w:shd w:val="clear" w:color="auto" w:fill="auto"/>
            <w:noWrap/>
          </w:tcPr>
          <w:p w14:paraId="491F216F" w14:textId="77777777" w:rsidR="00B1078E" w:rsidRPr="00EA3E1D" w:rsidRDefault="00B1078E" w:rsidP="00B1078E">
            <w:pPr>
              <w:spacing w:after="0" w:line="240" w:lineRule="auto"/>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Natural environment measures</w:t>
            </w:r>
          </w:p>
        </w:tc>
        <w:tc>
          <w:tcPr>
            <w:tcW w:w="1471" w:type="dxa"/>
            <w:tcBorders>
              <w:top w:val="nil"/>
              <w:left w:val="single" w:sz="4" w:space="0" w:color="auto"/>
              <w:bottom w:val="nil"/>
              <w:right w:val="nil"/>
            </w:tcBorders>
            <w:shd w:val="clear" w:color="auto" w:fill="auto"/>
            <w:noWrap/>
            <w:vAlign w:val="center"/>
          </w:tcPr>
          <w:p w14:paraId="4A527771" w14:textId="77777777" w:rsidR="00B1078E" w:rsidRPr="00EA3E1D" w:rsidRDefault="00B1078E" w:rsidP="00B1078E">
            <w:pPr>
              <w:spacing w:after="0" w:line="240" w:lineRule="auto"/>
              <w:jc w:val="right"/>
              <w:rPr>
                <w:rFonts w:ascii="Times New Roman" w:hAnsi="Times New Roman" w:cs="Times New Roman"/>
                <w:color w:val="000000"/>
                <w:sz w:val="16"/>
                <w:szCs w:val="16"/>
              </w:rPr>
            </w:pPr>
          </w:p>
        </w:tc>
        <w:tc>
          <w:tcPr>
            <w:tcW w:w="1472" w:type="dxa"/>
            <w:tcBorders>
              <w:top w:val="nil"/>
              <w:left w:val="single" w:sz="4" w:space="0" w:color="auto"/>
              <w:bottom w:val="nil"/>
              <w:right w:val="nil"/>
            </w:tcBorders>
            <w:vAlign w:val="center"/>
          </w:tcPr>
          <w:p w14:paraId="58BCF4E7" w14:textId="77777777" w:rsidR="00B1078E" w:rsidRPr="00EA3E1D" w:rsidRDefault="00B1078E" w:rsidP="00B1078E">
            <w:pPr>
              <w:spacing w:after="0" w:line="240" w:lineRule="auto"/>
              <w:jc w:val="right"/>
              <w:rPr>
                <w:rFonts w:ascii="Times New Roman" w:hAnsi="Times New Roman" w:cs="Times New Roman"/>
                <w:color w:val="000000"/>
                <w:sz w:val="16"/>
                <w:szCs w:val="16"/>
              </w:rPr>
            </w:pPr>
          </w:p>
        </w:tc>
        <w:tc>
          <w:tcPr>
            <w:tcW w:w="1472" w:type="dxa"/>
            <w:tcBorders>
              <w:top w:val="nil"/>
              <w:left w:val="single" w:sz="4" w:space="0" w:color="auto"/>
              <w:bottom w:val="nil"/>
              <w:right w:val="nil"/>
            </w:tcBorders>
            <w:vAlign w:val="center"/>
          </w:tcPr>
          <w:p w14:paraId="640C2D5D" w14:textId="77777777" w:rsidR="00B1078E" w:rsidRPr="00EA3E1D" w:rsidRDefault="00B1078E" w:rsidP="00B1078E">
            <w:pPr>
              <w:spacing w:after="0" w:line="240" w:lineRule="auto"/>
              <w:jc w:val="right"/>
              <w:rPr>
                <w:rFonts w:ascii="Times New Roman" w:hAnsi="Times New Roman" w:cs="Times New Roman"/>
                <w:color w:val="000000"/>
                <w:sz w:val="16"/>
                <w:szCs w:val="16"/>
              </w:rPr>
            </w:pPr>
          </w:p>
        </w:tc>
        <w:tc>
          <w:tcPr>
            <w:tcW w:w="1472" w:type="dxa"/>
            <w:tcBorders>
              <w:top w:val="nil"/>
              <w:left w:val="single" w:sz="4" w:space="0" w:color="auto"/>
              <w:bottom w:val="nil"/>
              <w:right w:val="nil"/>
            </w:tcBorders>
          </w:tcPr>
          <w:p w14:paraId="423534C2" w14:textId="77777777" w:rsidR="00B1078E" w:rsidRPr="00EA3E1D" w:rsidRDefault="00B1078E" w:rsidP="00B1078E">
            <w:pPr>
              <w:spacing w:after="0" w:line="240" w:lineRule="auto"/>
              <w:jc w:val="right"/>
              <w:rPr>
                <w:rFonts w:ascii="Times New Roman" w:hAnsi="Times New Roman" w:cs="Times New Roman"/>
                <w:color w:val="000000"/>
                <w:sz w:val="16"/>
                <w:szCs w:val="16"/>
              </w:rPr>
            </w:pPr>
          </w:p>
        </w:tc>
      </w:tr>
      <w:tr w:rsidR="00B1078E" w:rsidRPr="00EA3E1D" w14:paraId="12CCDBED" w14:textId="77777777" w:rsidTr="00EA3E1D">
        <w:trPr>
          <w:trHeight w:val="267"/>
        </w:trPr>
        <w:tc>
          <w:tcPr>
            <w:tcW w:w="4338" w:type="dxa"/>
            <w:tcBorders>
              <w:top w:val="nil"/>
              <w:left w:val="nil"/>
              <w:bottom w:val="nil"/>
              <w:right w:val="single" w:sz="4" w:space="0" w:color="auto"/>
            </w:tcBorders>
            <w:shd w:val="clear" w:color="auto" w:fill="auto"/>
            <w:noWrap/>
          </w:tcPr>
          <w:p w14:paraId="400CF60A"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 Public park cover</w:t>
            </w:r>
          </w:p>
        </w:tc>
        <w:tc>
          <w:tcPr>
            <w:tcW w:w="1471" w:type="dxa"/>
            <w:tcBorders>
              <w:top w:val="nil"/>
              <w:left w:val="single" w:sz="4" w:space="0" w:color="auto"/>
              <w:bottom w:val="nil"/>
              <w:right w:val="nil"/>
            </w:tcBorders>
            <w:shd w:val="clear" w:color="auto" w:fill="auto"/>
            <w:noWrap/>
            <w:vAlign w:val="bottom"/>
          </w:tcPr>
          <w:p w14:paraId="4C47B9CB"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7·5 (15·9)</w:t>
            </w:r>
          </w:p>
        </w:tc>
        <w:tc>
          <w:tcPr>
            <w:tcW w:w="1472" w:type="dxa"/>
            <w:tcBorders>
              <w:top w:val="nil"/>
              <w:left w:val="single" w:sz="4" w:space="0" w:color="auto"/>
              <w:bottom w:val="nil"/>
              <w:right w:val="nil"/>
            </w:tcBorders>
            <w:vAlign w:val="bottom"/>
          </w:tcPr>
          <w:p w14:paraId="76AF8A9E"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11·4 (13·8)</w:t>
            </w:r>
          </w:p>
        </w:tc>
        <w:tc>
          <w:tcPr>
            <w:tcW w:w="1472" w:type="dxa"/>
            <w:tcBorders>
              <w:top w:val="nil"/>
              <w:left w:val="single" w:sz="4" w:space="0" w:color="auto"/>
              <w:bottom w:val="nil"/>
              <w:right w:val="nil"/>
            </w:tcBorders>
            <w:vAlign w:val="bottom"/>
          </w:tcPr>
          <w:p w14:paraId="4765C27D"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7·5 (15·9)</w:t>
            </w:r>
          </w:p>
        </w:tc>
        <w:tc>
          <w:tcPr>
            <w:tcW w:w="1472" w:type="dxa"/>
            <w:tcBorders>
              <w:top w:val="nil"/>
              <w:left w:val="single" w:sz="4" w:space="0" w:color="auto"/>
              <w:bottom w:val="nil"/>
              <w:right w:val="nil"/>
            </w:tcBorders>
            <w:vAlign w:val="center"/>
          </w:tcPr>
          <w:p w14:paraId="25E30F40"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11·4 (13·8)</w:t>
            </w:r>
          </w:p>
        </w:tc>
      </w:tr>
      <w:tr w:rsidR="00B1078E" w:rsidRPr="00EA3E1D" w14:paraId="674AED65" w14:textId="77777777" w:rsidTr="00EA3E1D">
        <w:trPr>
          <w:trHeight w:val="267"/>
        </w:trPr>
        <w:tc>
          <w:tcPr>
            <w:tcW w:w="4338" w:type="dxa"/>
            <w:tcBorders>
              <w:top w:val="nil"/>
              <w:left w:val="nil"/>
              <w:bottom w:val="nil"/>
              <w:right w:val="single" w:sz="4" w:space="0" w:color="auto"/>
            </w:tcBorders>
            <w:shd w:val="clear" w:color="auto" w:fill="auto"/>
            <w:noWrap/>
          </w:tcPr>
          <w:p w14:paraId="581DC61F"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NDVI</w:t>
            </w:r>
          </w:p>
        </w:tc>
        <w:tc>
          <w:tcPr>
            <w:tcW w:w="1471" w:type="dxa"/>
            <w:tcBorders>
              <w:top w:val="nil"/>
              <w:left w:val="single" w:sz="4" w:space="0" w:color="auto"/>
              <w:bottom w:val="nil"/>
              <w:right w:val="nil"/>
            </w:tcBorders>
            <w:shd w:val="clear" w:color="auto" w:fill="auto"/>
            <w:noWrap/>
            <w:vAlign w:val="bottom"/>
          </w:tcPr>
          <w:p w14:paraId="094687DB"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0·52 (0·27)</w:t>
            </w:r>
          </w:p>
        </w:tc>
        <w:tc>
          <w:tcPr>
            <w:tcW w:w="1472" w:type="dxa"/>
            <w:tcBorders>
              <w:top w:val="nil"/>
              <w:left w:val="single" w:sz="4" w:space="0" w:color="auto"/>
              <w:bottom w:val="nil"/>
              <w:right w:val="nil"/>
            </w:tcBorders>
            <w:vAlign w:val="bottom"/>
          </w:tcPr>
          <w:p w14:paraId="71D681F2"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0·39 (0·23)</w:t>
            </w:r>
          </w:p>
        </w:tc>
        <w:tc>
          <w:tcPr>
            <w:tcW w:w="1472" w:type="dxa"/>
            <w:tcBorders>
              <w:top w:val="nil"/>
              <w:left w:val="single" w:sz="4" w:space="0" w:color="auto"/>
              <w:bottom w:val="nil"/>
              <w:right w:val="nil"/>
            </w:tcBorders>
            <w:vAlign w:val="bottom"/>
          </w:tcPr>
          <w:p w14:paraId="4D441341"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0·52 (0·27)</w:t>
            </w:r>
          </w:p>
        </w:tc>
        <w:tc>
          <w:tcPr>
            <w:tcW w:w="1472" w:type="dxa"/>
            <w:tcBorders>
              <w:top w:val="nil"/>
              <w:left w:val="single" w:sz="4" w:space="0" w:color="auto"/>
              <w:bottom w:val="nil"/>
              <w:right w:val="nil"/>
            </w:tcBorders>
            <w:vAlign w:val="center"/>
          </w:tcPr>
          <w:p w14:paraId="47A385A5"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0·39 (0·23)</w:t>
            </w:r>
          </w:p>
        </w:tc>
      </w:tr>
      <w:tr w:rsidR="00B1078E" w:rsidRPr="00EA3E1D" w14:paraId="2240318B" w14:textId="77777777" w:rsidTr="00EA3E1D">
        <w:trPr>
          <w:trHeight w:val="267"/>
        </w:trPr>
        <w:tc>
          <w:tcPr>
            <w:tcW w:w="4338" w:type="dxa"/>
            <w:tcBorders>
              <w:top w:val="nil"/>
              <w:left w:val="nil"/>
              <w:bottom w:val="nil"/>
              <w:right w:val="single" w:sz="4" w:space="0" w:color="auto"/>
            </w:tcBorders>
            <w:shd w:val="clear" w:color="auto" w:fill="auto"/>
            <w:noWrap/>
          </w:tcPr>
          <w:p w14:paraId="40822F75"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 Blue space cover (1000m buffer)</w:t>
            </w:r>
          </w:p>
        </w:tc>
        <w:tc>
          <w:tcPr>
            <w:tcW w:w="1471" w:type="dxa"/>
            <w:tcBorders>
              <w:top w:val="nil"/>
              <w:left w:val="single" w:sz="4" w:space="0" w:color="auto"/>
              <w:bottom w:val="nil"/>
              <w:right w:val="nil"/>
            </w:tcBorders>
            <w:shd w:val="clear" w:color="auto" w:fill="auto"/>
            <w:noWrap/>
            <w:vAlign w:val="bottom"/>
          </w:tcPr>
          <w:p w14:paraId="5D636754"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0·5 (3·2)</w:t>
            </w:r>
          </w:p>
        </w:tc>
        <w:tc>
          <w:tcPr>
            <w:tcW w:w="1472" w:type="dxa"/>
            <w:tcBorders>
              <w:top w:val="nil"/>
              <w:left w:val="single" w:sz="4" w:space="0" w:color="auto"/>
              <w:bottom w:val="nil"/>
              <w:right w:val="nil"/>
            </w:tcBorders>
            <w:vAlign w:val="bottom"/>
          </w:tcPr>
          <w:p w14:paraId="497FFAD3"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0·7 (5·2)</w:t>
            </w:r>
          </w:p>
        </w:tc>
        <w:tc>
          <w:tcPr>
            <w:tcW w:w="1472" w:type="dxa"/>
            <w:tcBorders>
              <w:top w:val="nil"/>
              <w:left w:val="single" w:sz="4" w:space="0" w:color="auto"/>
              <w:bottom w:val="nil"/>
              <w:right w:val="nil"/>
            </w:tcBorders>
            <w:vAlign w:val="bottom"/>
          </w:tcPr>
          <w:p w14:paraId="4DC64D6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0·5 (3·2)</w:t>
            </w:r>
          </w:p>
        </w:tc>
        <w:tc>
          <w:tcPr>
            <w:tcW w:w="1472" w:type="dxa"/>
            <w:tcBorders>
              <w:top w:val="nil"/>
              <w:left w:val="single" w:sz="4" w:space="0" w:color="auto"/>
              <w:bottom w:val="nil"/>
              <w:right w:val="nil"/>
            </w:tcBorders>
            <w:vAlign w:val="center"/>
          </w:tcPr>
          <w:p w14:paraId="4B94B067"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0·7 (5·2)</w:t>
            </w:r>
          </w:p>
        </w:tc>
      </w:tr>
      <w:tr w:rsidR="00B1078E" w:rsidRPr="00EA3E1D" w14:paraId="048EEFC9" w14:textId="77777777" w:rsidTr="00EA3E1D">
        <w:trPr>
          <w:trHeight w:val="267"/>
        </w:trPr>
        <w:tc>
          <w:tcPr>
            <w:tcW w:w="4338" w:type="dxa"/>
            <w:tcBorders>
              <w:top w:val="nil"/>
              <w:left w:val="nil"/>
              <w:bottom w:val="nil"/>
              <w:right w:val="single" w:sz="4" w:space="0" w:color="auto"/>
            </w:tcBorders>
            <w:shd w:val="clear" w:color="auto" w:fill="auto"/>
            <w:noWrap/>
            <w:vAlign w:val="center"/>
          </w:tcPr>
          <w:p w14:paraId="13B957F9"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 Blue space cover (no buffer)</w:t>
            </w:r>
          </w:p>
        </w:tc>
        <w:tc>
          <w:tcPr>
            <w:tcW w:w="1471" w:type="dxa"/>
            <w:tcBorders>
              <w:top w:val="nil"/>
              <w:left w:val="single" w:sz="4" w:space="0" w:color="auto"/>
              <w:bottom w:val="nil"/>
              <w:right w:val="nil"/>
            </w:tcBorders>
            <w:shd w:val="clear" w:color="auto" w:fill="auto"/>
            <w:noWrap/>
            <w:vAlign w:val="bottom"/>
          </w:tcPr>
          <w:p w14:paraId="4870A0F5"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0·3 (1·3)</w:t>
            </w:r>
          </w:p>
        </w:tc>
        <w:tc>
          <w:tcPr>
            <w:tcW w:w="1472" w:type="dxa"/>
            <w:tcBorders>
              <w:top w:val="nil"/>
              <w:left w:val="single" w:sz="4" w:space="0" w:color="auto"/>
              <w:bottom w:val="nil"/>
              <w:right w:val="nil"/>
            </w:tcBorders>
            <w:vAlign w:val="bottom"/>
          </w:tcPr>
          <w:p w14:paraId="23DBA502"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0·2 (1·3)</w:t>
            </w:r>
          </w:p>
        </w:tc>
        <w:tc>
          <w:tcPr>
            <w:tcW w:w="1472" w:type="dxa"/>
            <w:tcBorders>
              <w:top w:val="nil"/>
              <w:left w:val="single" w:sz="4" w:space="0" w:color="auto"/>
              <w:bottom w:val="nil"/>
              <w:right w:val="nil"/>
            </w:tcBorders>
            <w:vAlign w:val="bottom"/>
          </w:tcPr>
          <w:p w14:paraId="3C55F493"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0·3 (1·3)</w:t>
            </w:r>
          </w:p>
        </w:tc>
        <w:tc>
          <w:tcPr>
            <w:tcW w:w="1472" w:type="dxa"/>
            <w:tcBorders>
              <w:top w:val="nil"/>
              <w:left w:val="single" w:sz="4" w:space="0" w:color="auto"/>
              <w:bottom w:val="nil"/>
              <w:right w:val="nil"/>
            </w:tcBorders>
            <w:vAlign w:val="center"/>
          </w:tcPr>
          <w:p w14:paraId="489483BE"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0·2 (1·3)</w:t>
            </w:r>
          </w:p>
        </w:tc>
      </w:tr>
      <w:tr w:rsidR="00B1078E" w:rsidRPr="00EA3E1D" w14:paraId="5303BB07" w14:textId="77777777" w:rsidTr="00EA3E1D">
        <w:trPr>
          <w:trHeight w:val="267"/>
        </w:trPr>
        <w:tc>
          <w:tcPr>
            <w:tcW w:w="4338" w:type="dxa"/>
            <w:tcBorders>
              <w:top w:val="nil"/>
              <w:left w:val="nil"/>
              <w:bottom w:val="nil"/>
              <w:right w:val="single" w:sz="4" w:space="0" w:color="auto"/>
            </w:tcBorders>
            <w:shd w:val="clear" w:color="auto" w:fill="auto"/>
            <w:noWrap/>
            <w:vAlign w:val="center"/>
          </w:tcPr>
          <w:p w14:paraId="7A91AABD" w14:textId="77777777" w:rsidR="00B1078E" w:rsidRPr="00EA3E1D" w:rsidRDefault="00B1078E" w:rsidP="00B1078E">
            <w:pPr>
              <w:spacing w:after="0" w:line="240" w:lineRule="auto"/>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US census covariates</w:t>
            </w:r>
          </w:p>
        </w:tc>
        <w:tc>
          <w:tcPr>
            <w:tcW w:w="1471" w:type="dxa"/>
            <w:tcBorders>
              <w:top w:val="nil"/>
              <w:left w:val="single" w:sz="4" w:space="0" w:color="auto"/>
              <w:bottom w:val="nil"/>
              <w:right w:val="nil"/>
            </w:tcBorders>
            <w:shd w:val="clear" w:color="auto" w:fill="auto"/>
            <w:noWrap/>
            <w:vAlign w:val="center"/>
          </w:tcPr>
          <w:p w14:paraId="415001C2"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vAlign w:val="center"/>
          </w:tcPr>
          <w:p w14:paraId="356034F0"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vAlign w:val="center"/>
          </w:tcPr>
          <w:p w14:paraId="46DB9D46"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tcPr>
          <w:p w14:paraId="722D6835"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r>
      <w:tr w:rsidR="00B1078E" w:rsidRPr="00EA3E1D" w14:paraId="6AA541AD" w14:textId="77777777" w:rsidTr="00EA3E1D">
        <w:trPr>
          <w:trHeight w:val="267"/>
        </w:trPr>
        <w:tc>
          <w:tcPr>
            <w:tcW w:w="4338" w:type="dxa"/>
            <w:tcBorders>
              <w:top w:val="nil"/>
              <w:left w:val="nil"/>
              <w:bottom w:val="nil"/>
              <w:right w:val="single" w:sz="4" w:space="0" w:color="auto"/>
            </w:tcBorders>
            <w:shd w:val="clear" w:color="auto" w:fill="auto"/>
            <w:noWrap/>
            <w:vAlign w:val="center"/>
          </w:tcPr>
          <w:p w14:paraId="512AEC76"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Population density (persons/mile</w:t>
            </w:r>
            <w:r w:rsidRPr="00EA3E1D">
              <w:rPr>
                <w:rFonts w:ascii="Times New Roman" w:eastAsia="Times New Roman" w:hAnsi="Times New Roman" w:cs="Times New Roman"/>
                <w:color w:val="000000"/>
                <w:sz w:val="16"/>
                <w:szCs w:val="16"/>
                <w:vertAlign w:val="superscript"/>
              </w:rPr>
              <w:t>2</w:t>
            </w:r>
            <w:r w:rsidRPr="00EA3E1D">
              <w:rPr>
                <w:rFonts w:ascii="Times New Roman" w:eastAsia="Times New Roman" w:hAnsi="Times New Roman" w:cs="Times New Roman"/>
                <w:color w:val="000000"/>
                <w:sz w:val="16"/>
                <w:szCs w:val="16"/>
              </w:rPr>
              <w:t>)</w:t>
            </w:r>
          </w:p>
        </w:tc>
        <w:tc>
          <w:tcPr>
            <w:tcW w:w="1471" w:type="dxa"/>
            <w:tcBorders>
              <w:top w:val="nil"/>
              <w:left w:val="single" w:sz="4" w:space="0" w:color="auto"/>
              <w:bottom w:val="nil"/>
              <w:right w:val="nil"/>
            </w:tcBorders>
            <w:shd w:val="clear" w:color="auto" w:fill="auto"/>
            <w:noWrap/>
            <w:vAlign w:val="bottom"/>
          </w:tcPr>
          <w:p w14:paraId="76BE3A70"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517·4 (2919·0)</w:t>
            </w:r>
          </w:p>
        </w:tc>
        <w:tc>
          <w:tcPr>
            <w:tcW w:w="1472" w:type="dxa"/>
            <w:tcBorders>
              <w:top w:val="nil"/>
              <w:left w:val="single" w:sz="4" w:space="0" w:color="auto"/>
              <w:bottom w:val="nil"/>
              <w:right w:val="nil"/>
            </w:tcBorders>
            <w:vAlign w:val="bottom"/>
          </w:tcPr>
          <w:p w14:paraId="7AD4D724"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3602·0 (4269·1)</w:t>
            </w:r>
          </w:p>
        </w:tc>
        <w:tc>
          <w:tcPr>
            <w:tcW w:w="1472" w:type="dxa"/>
            <w:tcBorders>
              <w:top w:val="nil"/>
              <w:left w:val="single" w:sz="4" w:space="0" w:color="auto"/>
              <w:bottom w:val="nil"/>
              <w:right w:val="nil"/>
            </w:tcBorders>
            <w:vAlign w:val="bottom"/>
          </w:tcPr>
          <w:p w14:paraId="524E750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511·7 (2890·8)</w:t>
            </w:r>
          </w:p>
        </w:tc>
        <w:tc>
          <w:tcPr>
            <w:tcW w:w="1472" w:type="dxa"/>
            <w:tcBorders>
              <w:top w:val="nil"/>
              <w:left w:val="single" w:sz="4" w:space="0" w:color="auto"/>
              <w:bottom w:val="nil"/>
              <w:right w:val="nil"/>
            </w:tcBorders>
            <w:vAlign w:val="center"/>
          </w:tcPr>
          <w:p w14:paraId="26ECEF4E"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3580·2 (4223·4)</w:t>
            </w:r>
          </w:p>
        </w:tc>
      </w:tr>
      <w:tr w:rsidR="00B1078E" w:rsidRPr="00EA3E1D" w14:paraId="3195A2D9" w14:textId="77777777" w:rsidTr="00EA3E1D">
        <w:trPr>
          <w:trHeight w:val="267"/>
        </w:trPr>
        <w:tc>
          <w:tcPr>
            <w:tcW w:w="4338" w:type="dxa"/>
            <w:tcBorders>
              <w:top w:val="nil"/>
              <w:left w:val="nil"/>
              <w:bottom w:val="nil"/>
              <w:right w:val="single" w:sz="4" w:space="0" w:color="auto"/>
            </w:tcBorders>
            <w:shd w:val="clear" w:color="auto" w:fill="auto"/>
            <w:noWrap/>
            <w:vAlign w:val="center"/>
            <w:hideMark/>
          </w:tcPr>
          <w:p w14:paraId="60D5687B"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Median home value ($1,000)</w:t>
            </w:r>
          </w:p>
        </w:tc>
        <w:tc>
          <w:tcPr>
            <w:tcW w:w="1471" w:type="dxa"/>
            <w:tcBorders>
              <w:top w:val="nil"/>
              <w:left w:val="single" w:sz="4" w:space="0" w:color="auto"/>
              <w:bottom w:val="nil"/>
              <w:right w:val="nil"/>
            </w:tcBorders>
            <w:shd w:val="clear" w:color="auto" w:fill="auto"/>
            <w:noWrap/>
            <w:vAlign w:val="bottom"/>
          </w:tcPr>
          <w:p w14:paraId="76162054"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139·4 (145·3)</w:t>
            </w:r>
          </w:p>
        </w:tc>
        <w:tc>
          <w:tcPr>
            <w:tcW w:w="1472" w:type="dxa"/>
            <w:tcBorders>
              <w:top w:val="nil"/>
              <w:left w:val="single" w:sz="4" w:space="0" w:color="auto"/>
              <w:bottom w:val="nil"/>
              <w:right w:val="nil"/>
            </w:tcBorders>
            <w:vAlign w:val="bottom"/>
          </w:tcPr>
          <w:p w14:paraId="49E33B10"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198·0 (210·4)</w:t>
            </w:r>
          </w:p>
        </w:tc>
        <w:tc>
          <w:tcPr>
            <w:tcW w:w="1472" w:type="dxa"/>
            <w:tcBorders>
              <w:top w:val="nil"/>
              <w:left w:val="single" w:sz="4" w:space="0" w:color="auto"/>
              <w:bottom w:val="nil"/>
              <w:right w:val="nil"/>
            </w:tcBorders>
            <w:vAlign w:val="bottom"/>
          </w:tcPr>
          <w:p w14:paraId="2D5DBB17"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139·6 (145·0)</w:t>
            </w:r>
          </w:p>
        </w:tc>
        <w:tc>
          <w:tcPr>
            <w:tcW w:w="1472" w:type="dxa"/>
            <w:tcBorders>
              <w:top w:val="nil"/>
              <w:left w:val="single" w:sz="4" w:space="0" w:color="auto"/>
              <w:bottom w:val="nil"/>
              <w:right w:val="nil"/>
            </w:tcBorders>
            <w:vAlign w:val="center"/>
          </w:tcPr>
          <w:p w14:paraId="7FDF38DE"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198·0 (209·8)</w:t>
            </w:r>
          </w:p>
        </w:tc>
      </w:tr>
      <w:tr w:rsidR="00B1078E" w:rsidRPr="00EA3E1D" w14:paraId="754B32AF" w14:textId="77777777" w:rsidTr="00EA3E1D">
        <w:trPr>
          <w:trHeight w:val="267"/>
        </w:trPr>
        <w:tc>
          <w:tcPr>
            <w:tcW w:w="4338" w:type="dxa"/>
            <w:tcBorders>
              <w:top w:val="nil"/>
              <w:left w:val="nil"/>
              <w:bottom w:val="nil"/>
              <w:right w:val="single" w:sz="4" w:space="0" w:color="auto"/>
            </w:tcBorders>
            <w:shd w:val="clear" w:color="auto" w:fill="auto"/>
            <w:noWrap/>
            <w:vAlign w:val="center"/>
            <w:hideMark/>
          </w:tcPr>
          <w:p w14:paraId="54951E98"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Median household income ($1,000)</w:t>
            </w:r>
          </w:p>
        </w:tc>
        <w:tc>
          <w:tcPr>
            <w:tcW w:w="1471" w:type="dxa"/>
            <w:tcBorders>
              <w:top w:val="nil"/>
              <w:left w:val="single" w:sz="4" w:space="0" w:color="auto"/>
              <w:bottom w:val="nil"/>
              <w:right w:val="nil"/>
            </w:tcBorders>
            <w:shd w:val="clear" w:color="auto" w:fill="auto"/>
            <w:noWrap/>
            <w:vAlign w:val="bottom"/>
          </w:tcPr>
          <w:p w14:paraId="77C39D2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46·0 (24·9)</w:t>
            </w:r>
          </w:p>
        </w:tc>
        <w:tc>
          <w:tcPr>
            <w:tcW w:w="1472" w:type="dxa"/>
            <w:tcBorders>
              <w:top w:val="nil"/>
              <w:left w:val="single" w:sz="4" w:space="0" w:color="auto"/>
              <w:bottom w:val="nil"/>
              <w:right w:val="nil"/>
            </w:tcBorders>
            <w:vAlign w:val="bottom"/>
          </w:tcPr>
          <w:p w14:paraId="267115F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51·5 (31·5)</w:t>
            </w:r>
          </w:p>
        </w:tc>
        <w:tc>
          <w:tcPr>
            <w:tcW w:w="1472" w:type="dxa"/>
            <w:tcBorders>
              <w:top w:val="nil"/>
              <w:left w:val="single" w:sz="4" w:space="0" w:color="auto"/>
              <w:bottom w:val="nil"/>
              <w:right w:val="nil"/>
            </w:tcBorders>
            <w:vAlign w:val="bottom"/>
          </w:tcPr>
          <w:p w14:paraId="5B64B078"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46·1 (24·9)</w:t>
            </w:r>
          </w:p>
        </w:tc>
        <w:tc>
          <w:tcPr>
            <w:tcW w:w="1472" w:type="dxa"/>
            <w:tcBorders>
              <w:top w:val="nil"/>
              <w:left w:val="single" w:sz="4" w:space="0" w:color="auto"/>
              <w:bottom w:val="nil"/>
              <w:right w:val="nil"/>
            </w:tcBorders>
            <w:vAlign w:val="center"/>
          </w:tcPr>
          <w:p w14:paraId="40D2E295"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51·7 (31·5)</w:t>
            </w:r>
          </w:p>
        </w:tc>
      </w:tr>
      <w:tr w:rsidR="00B1078E" w:rsidRPr="00EA3E1D" w14:paraId="50BB1256" w14:textId="77777777" w:rsidTr="00EA3E1D">
        <w:trPr>
          <w:trHeight w:val="267"/>
        </w:trPr>
        <w:tc>
          <w:tcPr>
            <w:tcW w:w="4338" w:type="dxa"/>
            <w:tcBorders>
              <w:top w:val="nil"/>
              <w:left w:val="nil"/>
              <w:bottom w:val="nil"/>
              <w:right w:val="single" w:sz="4" w:space="0" w:color="auto"/>
            </w:tcBorders>
            <w:shd w:val="clear" w:color="auto" w:fill="FFFFFF" w:themeFill="background1"/>
            <w:noWrap/>
            <w:vAlign w:val="center"/>
          </w:tcPr>
          <w:p w14:paraId="60E46B7E"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hAnsi="Times New Roman" w:cs="Times New Roman"/>
                <w:sz w:val="16"/>
                <w:szCs w:val="16"/>
              </w:rPr>
              <w:t>- % with less than a high school degree</w:t>
            </w:r>
          </w:p>
        </w:tc>
        <w:tc>
          <w:tcPr>
            <w:tcW w:w="1471" w:type="dxa"/>
            <w:tcBorders>
              <w:top w:val="nil"/>
              <w:left w:val="single" w:sz="4" w:space="0" w:color="auto"/>
              <w:bottom w:val="nil"/>
              <w:right w:val="nil"/>
            </w:tcBorders>
            <w:shd w:val="clear" w:color="auto" w:fill="FFFFFF" w:themeFill="background1"/>
            <w:noWrap/>
            <w:vAlign w:val="bottom"/>
          </w:tcPr>
          <w:p w14:paraId="35FCADCC"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24·7 (21·6)</w:t>
            </w:r>
          </w:p>
        </w:tc>
        <w:tc>
          <w:tcPr>
            <w:tcW w:w="1472" w:type="dxa"/>
            <w:tcBorders>
              <w:top w:val="nil"/>
              <w:left w:val="single" w:sz="4" w:space="0" w:color="auto"/>
              <w:bottom w:val="nil"/>
              <w:right w:val="nil"/>
            </w:tcBorders>
            <w:shd w:val="clear" w:color="auto" w:fill="FFFFFF" w:themeFill="background1"/>
            <w:vAlign w:val="bottom"/>
          </w:tcPr>
          <w:p w14:paraId="39A4299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22·7 (21·1)</w:t>
            </w:r>
          </w:p>
        </w:tc>
        <w:tc>
          <w:tcPr>
            <w:tcW w:w="1472" w:type="dxa"/>
            <w:tcBorders>
              <w:top w:val="nil"/>
              <w:left w:val="single" w:sz="4" w:space="0" w:color="auto"/>
              <w:bottom w:val="nil"/>
              <w:right w:val="nil"/>
            </w:tcBorders>
            <w:shd w:val="clear" w:color="auto" w:fill="FFFFFF" w:themeFill="background1"/>
            <w:vAlign w:val="bottom"/>
          </w:tcPr>
          <w:p w14:paraId="69DCBF27"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24·5 (21·4)</w:t>
            </w:r>
          </w:p>
        </w:tc>
        <w:tc>
          <w:tcPr>
            <w:tcW w:w="1472" w:type="dxa"/>
            <w:tcBorders>
              <w:top w:val="nil"/>
              <w:left w:val="single" w:sz="4" w:space="0" w:color="auto"/>
              <w:bottom w:val="nil"/>
              <w:right w:val="nil"/>
            </w:tcBorders>
            <w:shd w:val="clear" w:color="auto" w:fill="FFFFFF" w:themeFill="background1"/>
            <w:vAlign w:val="center"/>
          </w:tcPr>
          <w:p w14:paraId="549E1C93"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22·6 (20·9)</w:t>
            </w:r>
          </w:p>
        </w:tc>
      </w:tr>
      <w:tr w:rsidR="00B1078E" w:rsidRPr="00EA3E1D" w14:paraId="0392BDCF" w14:textId="77777777" w:rsidTr="00EA3E1D">
        <w:trPr>
          <w:trHeight w:val="267"/>
        </w:trPr>
        <w:tc>
          <w:tcPr>
            <w:tcW w:w="4338" w:type="dxa"/>
            <w:tcBorders>
              <w:top w:val="nil"/>
              <w:left w:val="nil"/>
              <w:bottom w:val="nil"/>
              <w:right w:val="single" w:sz="4" w:space="0" w:color="auto"/>
            </w:tcBorders>
            <w:shd w:val="clear" w:color="auto" w:fill="FFFFFF" w:themeFill="background1"/>
            <w:noWrap/>
            <w:vAlign w:val="center"/>
          </w:tcPr>
          <w:p w14:paraId="33BB4C67"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hAnsi="Times New Roman" w:cs="Times New Roman"/>
                <w:sz w:val="16"/>
                <w:szCs w:val="16"/>
              </w:rPr>
              <w:t>- % below the poverty level</w:t>
            </w:r>
          </w:p>
        </w:tc>
        <w:tc>
          <w:tcPr>
            <w:tcW w:w="1471" w:type="dxa"/>
            <w:tcBorders>
              <w:top w:val="nil"/>
              <w:left w:val="single" w:sz="4" w:space="0" w:color="auto"/>
              <w:bottom w:val="nil"/>
              <w:right w:val="nil"/>
            </w:tcBorders>
            <w:shd w:val="clear" w:color="auto" w:fill="FFFFFF" w:themeFill="background1"/>
            <w:noWrap/>
            <w:vAlign w:val="bottom"/>
          </w:tcPr>
          <w:p w14:paraId="336ED91F"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8·6 (8·2)</w:t>
            </w:r>
          </w:p>
        </w:tc>
        <w:tc>
          <w:tcPr>
            <w:tcW w:w="1472" w:type="dxa"/>
            <w:tcBorders>
              <w:top w:val="nil"/>
              <w:left w:val="single" w:sz="4" w:space="0" w:color="auto"/>
              <w:bottom w:val="nil"/>
              <w:right w:val="nil"/>
            </w:tcBorders>
            <w:shd w:val="clear" w:color="auto" w:fill="FFFFFF" w:themeFill="background1"/>
            <w:vAlign w:val="bottom"/>
          </w:tcPr>
          <w:p w14:paraId="3E8C3B9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8·6 (8·4)</w:t>
            </w:r>
          </w:p>
        </w:tc>
        <w:tc>
          <w:tcPr>
            <w:tcW w:w="1472" w:type="dxa"/>
            <w:tcBorders>
              <w:top w:val="nil"/>
              <w:left w:val="single" w:sz="4" w:space="0" w:color="auto"/>
              <w:bottom w:val="nil"/>
              <w:right w:val="nil"/>
            </w:tcBorders>
            <w:shd w:val="clear" w:color="auto" w:fill="FFFFFF" w:themeFill="background1"/>
            <w:vAlign w:val="bottom"/>
          </w:tcPr>
          <w:p w14:paraId="24D7456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8·6 (8·2)</w:t>
            </w:r>
          </w:p>
        </w:tc>
        <w:tc>
          <w:tcPr>
            <w:tcW w:w="1472" w:type="dxa"/>
            <w:tcBorders>
              <w:top w:val="nil"/>
              <w:left w:val="single" w:sz="4" w:space="0" w:color="auto"/>
              <w:bottom w:val="nil"/>
              <w:right w:val="nil"/>
            </w:tcBorders>
            <w:shd w:val="clear" w:color="auto" w:fill="FFFFFF" w:themeFill="background1"/>
            <w:vAlign w:val="center"/>
          </w:tcPr>
          <w:p w14:paraId="718E850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8·6 (8·4)</w:t>
            </w:r>
          </w:p>
        </w:tc>
      </w:tr>
      <w:tr w:rsidR="00B1078E" w:rsidRPr="00EA3E1D" w14:paraId="7FDAA88E" w14:textId="77777777" w:rsidTr="00EA3E1D">
        <w:trPr>
          <w:trHeight w:val="267"/>
        </w:trPr>
        <w:tc>
          <w:tcPr>
            <w:tcW w:w="4338" w:type="dxa"/>
            <w:tcBorders>
              <w:top w:val="nil"/>
              <w:left w:val="nil"/>
              <w:bottom w:val="nil"/>
              <w:right w:val="single" w:sz="4" w:space="0" w:color="auto"/>
            </w:tcBorders>
            <w:shd w:val="clear" w:color="auto" w:fill="FFFFFF" w:themeFill="background1"/>
            <w:noWrap/>
            <w:vAlign w:val="center"/>
          </w:tcPr>
          <w:p w14:paraId="2F885457"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hAnsi="Times New Roman" w:cs="Times New Roman"/>
                <w:sz w:val="16"/>
                <w:szCs w:val="16"/>
              </w:rPr>
              <w:t>- % owner-occupied housing units</w:t>
            </w:r>
          </w:p>
        </w:tc>
        <w:tc>
          <w:tcPr>
            <w:tcW w:w="1471" w:type="dxa"/>
            <w:tcBorders>
              <w:top w:val="nil"/>
              <w:left w:val="single" w:sz="4" w:space="0" w:color="auto"/>
              <w:bottom w:val="nil"/>
              <w:right w:val="nil"/>
            </w:tcBorders>
            <w:shd w:val="clear" w:color="auto" w:fill="FFFFFF" w:themeFill="background1"/>
            <w:noWrap/>
            <w:vAlign w:val="bottom"/>
          </w:tcPr>
          <w:p w14:paraId="1C18528B"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71·8 (21·4)</w:t>
            </w:r>
          </w:p>
        </w:tc>
        <w:tc>
          <w:tcPr>
            <w:tcW w:w="1472" w:type="dxa"/>
            <w:tcBorders>
              <w:top w:val="nil"/>
              <w:left w:val="single" w:sz="4" w:space="0" w:color="auto"/>
              <w:bottom w:val="nil"/>
              <w:right w:val="nil"/>
            </w:tcBorders>
            <w:shd w:val="clear" w:color="auto" w:fill="FFFFFF" w:themeFill="background1"/>
            <w:vAlign w:val="bottom"/>
          </w:tcPr>
          <w:p w14:paraId="6C23562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60·1 (26)</w:t>
            </w:r>
          </w:p>
        </w:tc>
        <w:tc>
          <w:tcPr>
            <w:tcW w:w="1472" w:type="dxa"/>
            <w:tcBorders>
              <w:top w:val="nil"/>
              <w:left w:val="single" w:sz="4" w:space="0" w:color="auto"/>
              <w:bottom w:val="nil"/>
              <w:right w:val="nil"/>
            </w:tcBorders>
            <w:shd w:val="clear" w:color="auto" w:fill="FFFFFF" w:themeFill="background1"/>
            <w:vAlign w:val="bottom"/>
          </w:tcPr>
          <w:p w14:paraId="22AD87E4"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71·9 (21·3)</w:t>
            </w:r>
          </w:p>
        </w:tc>
        <w:tc>
          <w:tcPr>
            <w:tcW w:w="1472" w:type="dxa"/>
            <w:tcBorders>
              <w:top w:val="nil"/>
              <w:left w:val="single" w:sz="4" w:space="0" w:color="auto"/>
              <w:bottom w:val="nil"/>
              <w:right w:val="nil"/>
            </w:tcBorders>
            <w:shd w:val="clear" w:color="auto" w:fill="FFFFFF" w:themeFill="background1"/>
            <w:vAlign w:val="center"/>
          </w:tcPr>
          <w:p w14:paraId="7642E867"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60·1 (26·0)</w:t>
            </w:r>
          </w:p>
        </w:tc>
      </w:tr>
      <w:tr w:rsidR="00B1078E" w:rsidRPr="00EA3E1D" w14:paraId="298EA16B" w14:textId="77777777" w:rsidTr="00EA3E1D">
        <w:trPr>
          <w:trHeight w:val="267"/>
        </w:trPr>
        <w:tc>
          <w:tcPr>
            <w:tcW w:w="4338" w:type="dxa"/>
            <w:tcBorders>
              <w:top w:val="nil"/>
              <w:left w:val="nil"/>
              <w:bottom w:val="nil"/>
              <w:right w:val="single" w:sz="4" w:space="0" w:color="auto"/>
            </w:tcBorders>
            <w:shd w:val="clear" w:color="auto" w:fill="FFFFFF" w:themeFill="background1"/>
            <w:noWrap/>
            <w:vAlign w:val="center"/>
            <w:hideMark/>
          </w:tcPr>
          <w:p w14:paraId="02815A95"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 Black</w:t>
            </w:r>
          </w:p>
        </w:tc>
        <w:tc>
          <w:tcPr>
            <w:tcW w:w="1471" w:type="dxa"/>
            <w:tcBorders>
              <w:top w:val="nil"/>
              <w:left w:val="single" w:sz="4" w:space="0" w:color="auto"/>
              <w:bottom w:val="nil"/>
              <w:right w:val="nil"/>
            </w:tcBorders>
            <w:shd w:val="clear" w:color="auto" w:fill="FFFFFF" w:themeFill="background1"/>
            <w:noWrap/>
            <w:vAlign w:val="bottom"/>
          </w:tcPr>
          <w:p w14:paraId="377CB782"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3·7 (13·5)</w:t>
            </w:r>
          </w:p>
        </w:tc>
        <w:tc>
          <w:tcPr>
            <w:tcW w:w="1472" w:type="dxa"/>
            <w:tcBorders>
              <w:top w:val="nil"/>
              <w:left w:val="single" w:sz="4" w:space="0" w:color="auto"/>
              <w:bottom w:val="nil"/>
              <w:right w:val="nil"/>
            </w:tcBorders>
            <w:shd w:val="clear" w:color="auto" w:fill="FFFFFF" w:themeFill="background1"/>
            <w:vAlign w:val="bottom"/>
          </w:tcPr>
          <w:p w14:paraId="4698C49B"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7·3 (17·9)</w:t>
            </w:r>
          </w:p>
        </w:tc>
        <w:tc>
          <w:tcPr>
            <w:tcW w:w="1472" w:type="dxa"/>
            <w:tcBorders>
              <w:top w:val="nil"/>
              <w:left w:val="single" w:sz="4" w:space="0" w:color="auto"/>
              <w:bottom w:val="nil"/>
              <w:right w:val="nil"/>
            </w:tcBorders>
            <w:shd w:val="clear" w:color="auto" w:fill="FFFFFF" w:themeFill="background1"/>
            <w:vAlign w:val="bottom"/>
          </w:tcPr>
          <w:p w14:paraId="6DBB38A3"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3·7 (13·5)</w:t>
            </w:r>
          </w:p>
        </w:tc>
        <w:tc>
          <w:tcPr>
            <w:tcW w:w="1472" w:type="dxa"/>
            <w:tcBorders>
              <w:top w:val="nil"/>
              <w:left w:val="single" w:sz="4" w:space="0" w:color="auto"/>
              <w:bottom w:val="nil"/>
              <w:right w:val="nil"/>
            </w:tcBorders>
            <w:shd w:val="clear" w:color="auto" w:fill="FFFFFF" w:themeFill="background1"/>
            <w:vAlign w:val="center"/>
          </w:tcPr>
          <w:p w14:paraId="4278A63F"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7·3 (18·0)</w:t>
            </w:r>
          </w:p>
        </w:tc>
      </w:tr>
      <w:tr w:rsidR="00B1078E" w:rsidRPr="00EA3E1D" w14:paraId="6CE02453" w14:textId="77777777" w:rsidTr="00EA3E1D">
        <w:trPr>
          <w:trHeight w:val="267"/>
        </w:trPr>
        <w:tc>
          <w:tcPr>
            <w:tcW w:w="4338" w:type="dxa"/>
            <w:tcBorders>
              <w:top w:val="nil"/>
              <w:left w:val="nil"/>
              <w:bottom w:val="nil"/>
              <w:right w:val="single" w:sz="4" w:space="0" w:color="auto"/>
            </w:tcBorders>
            <w:shd w:val="clear" w:color="auto" w:fill="FFFFFF" w:themeFill="background1"/>
            <w:noWrap/>
            <w:vAlign w:val="center"/>
            <w:hideMark/>
          </w:tcPr>
          <w:p w14:paraId="5FD35A3D"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 Hispanic</w:t>
            </w:r>
          </w:p>
        </w:tc>
        <w:tc>
          <w:tcPr>
            <w:tcW w:w="1471" w:type="dxa"/>
            <w:tcBorders>
              <w:top w:val="nil"/>
              <w:left w:val="single" w:sz="4" w:space="0" w:color="auto"/>
              <w:bottom w:val="nil"/>
              <w:right w:val="nil"/>
            </w:tcBorders>
            <w:shd w:val="clear" w:color="auto" w:fill="FFFFFF" w:themeFill="background1"/>
            <w:noWrap/>
            <w:vAlign w:val="bottom"/>
          </w:tcPr>
          <w:p w14:paraId="4A39C43B"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5·0 (14·0)</w:t>
            </w:r>
          </w:p>
        </w:tc>
        <w:tc>
          <w:tcPr>
            <w:tcW w:w="1472" w:type="dxa"/>
            <w:tcBorders>
              <w:top w:val="nil"/>
              <w:left w:val="single" w:sz="4" w:space="0" w:color="auto"/>
              <w:bottom w:val="nil"/>
              <w:right w:val="nil"/>
            </w:tcBorders>
            <w:shd w:val="clear" w:color="auto" w:fill="FFFFFF" w:themeFill="background1"/>
            <w:vAlign w:val="bottom"/>
          </w:tcPr>
          <w:p w14:paraId="2529DEC1"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11·3 (22·8)</w:t>
            </w:r>
          </w:p>
        </w:tc>
        <w:tc>
          <w:tcPr>
            <w:tcW w:w="1472" w:type="dxa"/>
            <w:tcBorders>
              <w:top w:val="nil"/>
              <w:left w:val="single" w:sz="4" w:space="0" w:color="auto"/>
              <w:bottom w:val="nil"/>
              <w:right w:val="nil"/>
            </w:tcBorders>
            <w:shd w:val="clear" w:color="auto" w:fill="FFFFFF" w:themeFill="background1"/>
            <w:vAlign w:val="bottom"/>
          </w:tcPr>
          <w:p w14:paraId="52536B5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5·0 (13·9)</w:t>
            </w:r>
          </w:p>
        </w:tc>
        <w:tc>
          <w:tcPr>
            <w:tcW w:w="1472" w:type="dxa"/>
            <w:tcBorders>
              <w:top w:val="nil"/>
              <w:left w:val="single" w:sz="4" w:space="0" w:color="auto"/>
              <w:bottom w:val="nil"/>
              <w:right w:val="nil"/>
            </w:tcBorders>
            <w:shd w:val="clear" w:color="auto" w:fill="FFFFFF" w:themeFill="background1"/>
            <w:vAlign w:val="center"/>
          </w:tcPr>
          <w:p w14:paraId="654A4258"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11·2 (22·6)</w:t>
            </w:r>
          </w:p>
        </w:tc>
      </w:tr>
      <w:tr w:rsidR="00B1078E" w:rsidRPr="00EA3E1D" w14:paraId="6BD0AAB2" w14:textId="77777777" w:rsidTr="00EA3E1D">
        <w:trPr>
          <w:trHeight w:val="267"/>
        </w:trPr>
        <w:tc>
          <w:tcPr>
            <w:tcW w:w="4338" w:type="dxa"/>
            <w:tcBorders>
              <w:top w:val="nil"/>
              <w:left w:val="nil"/>
              <w:bottom w:val="nil"/>
              <w:right w:val="single" w:sz="4" w:space="0" w:color="auto"/>
            </w:tcBorders>
            <w:shd w:val="clear" w:color="auto" w:fill="FFFFFF" w:themeFill="background1"/>
            <w:noWrap/>
            <w:vAlign w:val="center"/>
          </w:tcPr>
          <w:p w14:paraId="6DDE75BE" w14:textId="77777777" w:rsidR="00B1078E" w:rsidRPr="00EA3E1D" w:rsidRDefault="00B1078E" w:rsidP="00B1078E">
            <w:pPr>
              <w:spacing w:after="0" w:line="240" w:lineRule="auto"/>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BRFSS covariate</w:t>
            </w:r>
          </w:p>
        </w:tc>
        <w:tc>
          <w:tcPr>
            <w:tcW w:w="1471" w:type="dxa"/>
            <w:tcBorders>
              <w:top w:val="nil"/>
              <w:left w:val="single" w:sz="4" w:space="0" w:color="auto"/>
              <w:bottom w:val="nil"/>
              <w:right w:val="nil"/>
            </w:tcBorders>
            <w:shd w:val="clear" w:color="auto" w:fill="FFFFFF" w:themeFill="background1"/>
            <w:noWrap/>
            <w:vAlign w:val="center"/>
          </w:tcPr>
          <w:p w14:paraId="0A57E1F4"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shd w:val="clear" w:color="auto" w:fill="FFFFFF" w:themeFill="background1"/>
            <w:vAlign w:val="center"/>
          </w:tcPr>
          <w:p w14:paraId="6883FEB7"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shd w:val="clear" w:color="auto" w:fill="FFFFFF" w:themeFill="background1"/>
            <w:vAlign w:val="center"/>
          </w:tcPr>
          <w:p w14:paraId="2ACFB1B6"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shd w:val="clear" w:color="auto" w:fill="FFFFFF" w:themeFill="background1"/>
          </w:tcPr>
          <w:p w14:paraId="7CE156ED"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r>
      <w:tr w:rsidR="00B1078E" w:rsidRPr="00EA3E1D" w14:paraId="332DF87B" w14:textId="77777777" w:rsidTr="00EA3E1D">
        <w:trPr>
          <w:trHeight w:val="267"/>
        </w:trPr>
        <w:tc>
          <w:tcPr>
            <w:tcW w:w="4338" w:type="dxa"/>
            <w:tcBorders>
              <w:top w:val="nil"/>
              <w:left w:val="nil"/>
              <w:bottom w:val="nil"/>
              <w:right w:val="single" w:sz="4" w:space="0" w:color="auto"/>
            </w:tcBorders>
            <w:shd w:val="clear" w:color="auto" w:fill="FFFFFF" w:themeFill="background1"/>
            <w:noWrap/>
            <w:vAlign w:val="center"/>
            <w:hideMark/>
          </w:tcPr>
          <w:p w14:paraId="3F315E62"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 % ever smoked</w:t>
            </w:r>
          </w:p>
        </w:tc>
        <w:tc>
          <w:tcPr>
            <w:tcW w:w="1471" w:type="dxa"/>
            <w:tcBorders>
              <w:top w:val="nil"/>
              <w:left w:val="single" w:sz="4" w:space="0" w:color="auto"/>
              <w:bottom w:val="nil"/>
              <w:right w:val="nil"/>
            </w:tcBorders>
            <w:shd w:val="clear" w:color="auto" w:fill="FFFFFF" w:themeFill="background1"/>
            <w:noWrap/>
            <w:vAlign w:val="bottom"/>
          </w:tcPr>
          <w:p w14:paraId="63FEA8D8"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46·2 (9·1)</w:t>
            </w:r>
          </w:p>
        </w:tc>
        <w:tc>
          <w:tcPr>
            <w:tcW w:w="1472" w:type="dxa"/>
            <w:tcBorders>
              <w:top w:val="nil"/>
              <w:left w:val="single" w:sz="4" w:space="0" w:color="auto"/>
              <w:bottom w:val="nil"/>
              <w:right w:val="nil"/>
            </w:tcBorders>
            <w:shd w:val="clear" w:color="auto" w:fill="FFFFFF" w:themeFill="background1"/>
            <w:vAlign w:val="bottom"/>
          </w:tcPr>
          <w:p w14:paraId="3BA05F1B"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44·3 (8)</w:t>
            </w:r>
          </w:p>
        </w:tc>
        <w:tc>
          <w:tcPr>
            <w:tcW w:w="1472" w:type="dxa"/>
            <w:tcBorders>
              <w:top w:val="nil"/>
              <w:left w:val="single" w:sz="4" w:space="0" w:color="auto"/>
              <w:bottom w:val="nil"/>
              <w:right w:val="nil"/>
            </w:tcBorders>
            <w:shd w:val="clear" w:color="auto" w:fill="FFFFFF" w:themeFill="background1"/>
            <w:vAlign w:val="bottom"/>
          </w:tcPr>
          <w:p w14:paraId="126D533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46·2 (9·1)</w:t>
            </w:r>
          </w:p>
        </w:tc>
        <w:tc>
          <w:tcPr>
            <w:tcW w:w="1472" w:type="dxa"/>
            <w:tcBorders>
              <w:top w:val="nil"/>
              <w:left w:val="single" w:sz="4" w:space="0" w:color="auto"/>
              <w:bottom w:val="nil"/>
              <w:right w:val="nil"/>
            </w:tcBorders>
            <w:shd w:val="clear" w:color="auto" w:fill="FFFFFF" w:themeFill="background1"/>
            <w:vAlign w:val="bottom"/>
          </w:tcPr>
          <w:p w14:paraId="071E5EF8"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44·3 (8·0)</w:t>
            </w:r>
          </w:p>
        </w:tc>
      </w:tr>
      <w:tr w:rsidR="00B1078E" w:rsidRPr="00EA3E1D" w14:paraId="1912EAA6" w14:textId="77777777" w:rsidTr="00EA3E1D">
        <w:trPr>
          <w:trHeight w:val="267"/>
        </w:trPr>
        <w:tc>
          <w:tcPr>
            <w:tcW w:w="4338" w:type="dxa"/>
            <w:tcBorders>
              <w:top w:val="nil"/>
              <w:left w:val="nil"/>
              <w:bottom w:val="nil"/>
              <w:right w:val="single" w:sz="4" w:space="0" w:color="auto"/>
            </w:tcBorders>
            <w:shd w:val="clear" w:color="auto" w:fill="auto"/>
            <w:noWrap/>
            <w:vAlign w:val="center"/>
          </w:tcPr>
          <w:p w14:paraId="05A25CDB" w14:textId="77777777" w:rsidR="00B1078E" w:rsidRPr="00EA3E1D" w:rsidRDefault="00B1078E" w:rsidP="00B1078E">
            <w:pPr>
              <w:spacing w:after="0" w:line="240" w:lineRule="auto"/>
              <w:rPr>
                <w:rFonts w:ascii="Times New Roman" w:eastAsia="Times New Roman" w:hAnsi="Times New Roman" w:cs="Times New Roman"/>
                <w:b/>
                <w:bCs/>
                <w:color w:val="000000"/>
                <w:sz w:val="16"/>
                <w:szCs w:val="16"/>
              </w:rPr>
            </w:pPr>
            <w:r w:rsidRPr="00EA3E1D">
              <w:rPr>
                <w:rFonts w:ascii="Times New Roman" w:eastAsia="Times New Roman" w:hAnsi="Times New Roman" w:cs="Times New Roman"/>
                <w:b/>
                <w:bCs/>
                <w:color w:val="000000"/>
                <w:sz w:val="16"/>
                <w:szCs w:val="16"/>
              </w:rPr>
              <w:t>Other environmental exposures</w:t>
            </w:r>
          </w:p>
        </w:tc>
        <w:tc>
          <w:tcPr>
            <w:tcW w:w="1471" w:type="dxa"/>
            <w:tcBorders>
              <w:top w:val="nil"/>
              <w:left w:val="single" w:sz="4" w:space="0" w:color="auto"/>
              <w:bottom w:val="nil"/>
              <w:right w:val="nil"/>
            </w:tcBorders>
            <w:shd w:val="clear" w:color="auto" w:fill="auto"/>
            <w:noWrap/>
            <w:vAlign w:val="center"/>
          </w:tcPr>
          <w:p w14:paraId="40D0ECB0"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vAlign w:val="center"/>
          </w:tcPr>
          <w:p w14:paraId="2A14FF72"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vAlign w:val="center"/>
          </w:tcPr>
          <w:p w14:paraId="0298744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c>
          <w:tcPr>
            <w:tcW w:w="1472" w:type="dxa"/>
            <w:tcBorders>
              <w:top w:val="nil"/>
              <w:left w:val="single" w:sz="4" w:space="0" w:color="auto"/>
              <w:bottom w:val="nil"/>
              <w:right w:val="nil"/>
            </w:tcBorders>
          </w:tcPr>
          <w:p w14:paraId="2DB1CD04"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p>
        </w:tc>
      </w:tr>
      <w:tr w:rsidR="00B1078E" w:rsidRPr="00EA3E1D" w14:paraId="5134476F" w14:textId="77777777" w:rsidTr="00EA3E1D">
        <w:trPr>
          <w:trHeight w:val="267"/>
        </w:trPr>
        <w:tc>
          <w:tcPr>
            <w:tcW w:w="4338" w:type="dxa"/>
            <w:tcBorders>
              <w:top w:val="nil"/>
              <w:left w:val="nil"/>
              <w:right w:val="single" w:sz="4" w:space="0" w:color="auto"/>
            </w:tcBorders>
            <w:shd w:val="clear" w:color="auto" w:fill="auto"/>
            <w:noWrap/>
            <w:vAlign w:val="center"/>
          </w:tcPr>
          <w:p w14:paraId="57D98909" w14:textId="36CAD3E9" w:rsidR="00B1078E" w:rsidRPr="00EA3E1D" w:rsidRDefault="00B1078E" w:rsidP="00EA3E1D">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-summer temperature (°C)</w:t>
            </w:r>
          </w:p>
        </w:tc>
        <w:tc>
          <w:tcPr>
            <w:tcW w:w="1471" w:type="dxa"/>
            <w:tcBorders>
              <w:top w:val="nil"/>
              <w:left w:val="single" w:sz="4" w:space="0" w:color="auto"/>
              <w:bottom w:val="nil"/>
              <w:right w:val="nil"/>
            </w:tcBorders>
            <w:shd w:val="clear" w:color="auto" w:fill="auto"/>
            <w:noWrap/>
            <w:vAlign w:val="bottom"/>
          </w:tcPr>
          <w:p w14:paraId="4F6B110F"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29·9 (5·2)</w:t>
            </w:r>
          </w:p>
        </w:tc>
        <w:tc>
          <w:tcPr>
            <w:tcW w:w="1472" w:type="dxa"/>
            <w:tcBorders>
              <w:top w:val="nil"/>
              <w:left w:val="single" w:sz="4" w:space="0" w:color="auto"/>
              <w:right w:val="nil"/>
            </w:tcBorders>
            <w:vAlign w:val="bottom"/>
          </w:tcPr>
          <w:p w14:paraId="597A50C7"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29·6 (4·8)</w:t>
            </w:r>
          </w:p>
        </w:tc>
        <w:tc>
          <w:tcPr>
            <w:tcW w:w="1472" w:type="dxa"/>
            <w:tcBorders>
              <w:top w:val="nil"/>
              <w:left w:val="single" w:sz="4" w:space="0" w:color="auto"/>
              <w:right w:val="nil"/>
            </w:tcBorders>
            <w:vAlign w:val="bottom"/>
          </w:tcPr>
          <w:p w14:paraId="4479C473"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29·9 (5·2)</w:t>
            </w:r>
          </w:p>
        </w:tc>
        <w:tc>
          <w:tcPr>
            <w:tcW w:w="1472" w:type="dxa"/>
            <w:tcBorders>
              <w:top w:val="nil"/>
              <w:left w:val="single" w:sz="4" w:space="0" w:color="auto"/>
              <w:right w:val="nil"/>
            </w:tcBorders>
            <w:vAlign w:val="bottom"/>
          </w:tcPr>
          <w:p w14:paraId="0E7247AC"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29·6 (4·8)</w:t>
            </w:r>
          </w:p>
        </w:tc>
      </w:tr>
      <w:tr w:rsidR="00B1078E" w:rsidRPr="00EA3E1D" w14:paraId="4B706971" w14:textId="77777777" w:rsidTr="00EA3E1D">
        <w:trPr>
          <w:trHeight w:val="267"/>
        </w:trPr>
        <w:tc>
          <w:tcPr>
            <w:tcW w:w="4338" w:type="dxa"/>
            <w:tcBorders>
              <w:left w:val="nil"/>
              <w:right w:val="single" w:sz="4" w:space="0" w:color="auto"/>
            </w:tcBorders>
            <w:shd w:val="clear" w:color="auto" w:fill="auto"/>
            <w:noWrap/>
            <w:vAlign w:val="center"/>
          </w:tcPr>
          <w:p w14:paraId="5DA53EC5" w14:textId="46461A68" w:rsidR="00B1078E" w:rsidRPr="00EA3E1D" w:rsidRDefault="00EA3E1D"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-summer specific humidity (</w:t>
            </w:r>
            <w:r w:rsidRPr="00EA3E1D">
              <w:rPr>
                <w:rFonts w:ascii="Times New Roman" w:hAnsi="Times New Roman" w:cs="Times New Roman"/>
                <w:sz w:val="16"/>
                <w:szCs w:val="16"/>
              </w:rPr>
              <w:t>g of water vapor / kg of dry air)</w:t>
            </w:r>
          </w:p>
        </w:tc>
        <w:tc>
          <w:tcPr>
            <w:tcW w:w="1471" w:type="dxa"/>
            <w:tcBorders>
              <w:top w:val="nil"/>
              <w:left w:val="single" w:sz="4" w:space="0" w:color="auto"/>
              <w:bottom w:val="nil"/>
              <w:right w:val="nil"/>
            </w:tcBorders>
            <w:shd w:val="clear" w:color="auto" w:fill="auto"/>
            <w:noWrap/>
            <w:vAlign w:val="bottom"/>
          </w:tcPr>
          <w:p w14:paraId="2765F66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12·0 (4·0)</w:t>
            </w:r>
          </w:p>
        </w:tc>
        <w:tc>
          <w:tcPr>
            <w:tcW w:w="1472" w:type="dxa"/>
            <w:tcBorders>
              <w:left w:val="single" w:sz="4" w:space="0" w:color="auto"/>
              <w:right w:val="nil"/>
            </w:tcBorders>
            <w:vAlign w:val="bottom"/>
          </w:tcPr>
          <w:p w14:paraId="0DAB1B1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11·7 (3·2)</w:t>
            </w:r>
          </w:p>
        </w:tc>
        <w:tc>
          <w:tcPr>
            <w:tcW w:w="1472" w:type="dxa"/>
            <w:tcBorders>
              <w:left w:val="single" w:sz="4" w:space="0" w:color="auto"/>
              <w:right w:val="nil"/>
            </w:tcBorders>
            <w:vAlign w:val="bottom"/>
          </w:tcPr>
          <w:p w14:paraId="783B58B5"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12·1 (4·0)</w:t>
            </w:r>
          </w:p>
        </w:tc>
        <w:tc>
          <w:tcPr>
            <w:tcW w:w="1472" w:type="dxa"/>
            <w:tcBorders>
              <w:left w:val="single" w:sz="4" w:space="0" w:color="auto"/>
              <w:right w:val="nil"/>
            </w:tcBorders>
            <w:vAlign w:val="bottom"/>
          </w:tcPr>
          <w:p w14:paraId="17C714A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11·7 (3·2)</w:t>
            </w:r>
          </w:p>
        </w:tc>
      </w:tr>
      <w:tr w:rsidR="00B1078E" w:rsidRPr="00EA3E1D" w14:paraId="098FA6EA" w14:textId="77777777" w:rsidTr="00EA3E1D">
        <w:trPr>
          <w:trHeight w:val="267"/>
        </w:trPr>
        <w:tc>
          <w:tcPr>
            <w:tcW w:w="4338" w:type="dxa"/>
            <w:tcBorders>
              <w:left w:val="nil"/>
              <w:right w:val="single" w:sz="4" w:space="0" w:color="auto"/>
            </w:tcBorders>
            <w:shd w:val="clear" w:color="auto" w:fill="auto"/>
            <w:noWrap/>
            <w:vAlign w:val="center"/>
          </w:tcPr>
          <w:p w14:paraId="3289E9EB" w14:textId="70477062" w:rsidR="00B1078E" w:rsidRPr="00EA3E1D" w:rsidRDefault="00EA3E1D"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-summer total precipitation (mm, daily total)</w:t>
            </w:r>
          </w:p>
        </w:tc>
        <w:tc>
          <w:tcPr>
            <w:tcW w:w="1471" w:type="dxa"/>
            <w:tcBorders>
              <w:top w:val="nil"/>
              <w:left w:val="single" w:sz="4" w:space="0" w:color="auto"/>
              <w:bottom w:val="nil"/>
              <w:right w:val="nil"/>
            </w:tcBorders>
            <w:shd w:val="clear" w:color="auto" w:fill="auto"/>
            <w:noWrap/>
            <w:vAlign w:val="bottom"/>
          </w:tcPr>
          <w:p w14:paraId="6FDFBC5A"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3·1 (2·3)</w:t>
            </w:r>
          </w:p>
        </w:tc>
        <w:tc>
          <w:tcPr>
            <w:tcW w:w="1472" w:type="dxa"/>
            <w:tcBorders>
              <w:left w:val="single" w:sz="4" w:space="0" w:color="auto"/>
              <w:right w:val="nil"/>
            </w:tcBorders>
            <w:vAlign w:val="bottom"/>
          </w:tcPr>
          <w:p w14:paraId="7549BCAE"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3·0 (3·2)</w:t>
            </w:r>
          </w:p>
        </w:tc>
        <w:tc>
          <w:tcPr>
            <w:tcW w:w="1472" w:type="dxa"/>
            <w:tcBorders>
              <w:left w:val="single" w:sz="4" w:space="0" w:color="auto"/>
              <w:right w:val="nil"/>
            </w:tcBorders>
            <w:vAlign w:val="bottom"/>
          </w:tcPr>
          <w:p w14:paraId="28D8664F"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3·1 (2·3)</w:t>
            </w:r>
          </w:p>
        </w:tc>
        <w:tc>
          <w:tcPr>
            <w:tcW w:w="1472" w:type="dxa"/>
            <w:tcBorders>
              <w:left w:val="single" w:sz="4" w:space="0" w:color="auto"/>
              <w:right w:val="nil"/>
            </w:tcBorders>
            <w:vAlign w:val="bottom"/>
          </w:tcPr>
          <w:p w14:paraId="10D9AB5C"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hAnsi="Times New Roman" w:cs="Times New Roman"/>
                <w:color w:val="000000"/>
                <w:sz w:val="16"/>
                <w:szCs w:val="16"/>
              </w:rPr>
              <w:t>3·0 (3·1)</w:t>
            </w:r>
          </w:p>
        </w:tc>
      </w:tr>
      <w:tr w:rsidR="00B1078E" w:rsidRPr="00EA3E1D" w14:paraId="2B32E24E" w14:textId="77777777" w:rsidTr="00EA3E1D">
        <w:trPr>
          <w:trHeight w:val="267"/>
        </w:trPr>
        <w:tc>
          <w:tcPr>
            <w:tcW w:w="4338" w:type="dxa"/>
            <w:tcBorders>
              <w:left w:val="nil"/>
              <w:right w:val="single" w:sz="4" w:space="0" w:color="auto"/>
            </w:tcBorders>
            <w:shd w:val="clear" w:color="auto" w:fill="auto"/>
            <w:noWrap/>
            <w:vAlign w:val="center"/>
          </w:tcPr>
          <w:p w14:paraId="67032537"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-PM2.5 (µg/m</w:t>
            </w:r>
            <w:r w:rsidRPr="00EA3E1D">
              <w:rPr>
                <w:rFonts w:ascii="Times New Roman" w:eastAsia="Times New Roman" w:hAnsi="Times New Roman" w:cs="Times New Roman"/>
                <w:color w:val="000000"/>
                <w:sz w:val="16"/>
                <w:szCs w:val="16"/>
                <w:vertAlign w:val="superscript"/>
              </w:rPr>
              <w:t>3</w:t>
            </w:r>
            <w:r w:rsidRPr="00EA3E1D">
              <w:rPr>
                <w:rFonts w:ascii="Times New Roman" w:eastAsia="Times New Roman" w:hAnsi="Times New Roman" w:cs="Times New Roman"/>
                <w:color w:val="000000"/>
                <w:sz w:val="16"/>
                <w:szCs w:val="16"/>
              </w:rPr>
              <w:t>)</w:t>
            </w:r>
          </w:p>
        </w:tc>
        <w:tc>
          <w:tcPr>
            <w:tcW w:w="1471" w:type="dxa"/>
            <w:tcBorders>
              <w:top w:val="nil"/>
              <w:left w:val="single" w:sz="4" w:space="0" w:color="auto"/>
              <w:bottom w:val="nil"/>
              <w:right w:val="nil"/>
            </w:tcBorders>
            <w:shd w:val="clear" w:color="auto" w:fill="auto"/>
            <w:noWrap/>
            <w:vAlign w:val="bottom"/>
          </w:tcPr>
          <w:p w14:paraId="7EB79062"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9·7 (4·0)</w:t>
            </w:r>
          </w:p>
        </w:tc>
        <w:tc>
          <w:tcPr>
            <w:tcW w:w="1472" w:type="dxa"/>
            <w:tcBorders>
              <w:left w:val="single" w:sz="4" w:space="0" w:color="auto"/>
              <w:right w:val="nil"/>
            </w:tcBorders>
            <w:vAlign w:val="bottom"/>
          </w:tcPr>
          <w:p w14:paraId="632B04E6"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10·2 (3·9)</w:t>
            </w:r>
          </w:p>
        </w:tc>
        <w:tc>
          <w:tcPr>
            <w:tcW w:w="1472" w:type="dxa"/>
            <w:tcBorders>
              <w:left w:val="single" w:sz="4" w:space="0" w:color="auto"/>
              <w:right w:val="nil"/>
            </w:tcBorders>
            <w:vAlign w:val="bottom"/>
          </w:tcPr>
          <w:p w14:paraId="0467CACB"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9·6 (3·9)</w:t>
            </w:r>
          </w:p>
        </w:tc>
        <w:tc>
          <w:tcPr>
            <w:tcW w:w="1472" w:type="dxa"/>
            <w:tcBorders>
              <w:left w:val="single" w:sz="4" w:space="0" w:color="auto"/>
              <w:right w:val="nil"/>
            </w:tcBorders>
            <w:vAlign w:val="bottom"/>
          </w:tcPr>
          <w:p w14:paraId="1CDB7C0E" w14:textId="77777777" w:rsidR="00B1078E" w:rsidRPr="00EA3E1D" w:rsidRDefault="00B1078E" w:rsidP="00B1078E">
            <w:pPr>
              <w:spacing w:after="0" w:line="240" w:lineRule="auto"/>
              <w:jc w:val="right"/>
              <w:rPr>
                <w:rFonts w:ascii="Times New Roman" w:hAnsi="Times New Roman" w:cs="Times New Roman"/>
                <w:color w:val="000000"/>
                <w:sz w:val="16"/>
                <w:szCs w:val="16"/>
              </w:rPr>
            </w:pPr>
            <w:r w:rsidRPr="00EA3E1D">
              <w:rPr>
                <w:rFonts w:ascii="Times New Roman" w:hAnsi="Times New Roman" w:cs="Times New Roman"/>
                <w:color w:val="000000"/>
                <w:sz w:val="16"/>
                <w:szCs w:val="16"/>
              </w:rPr>
              <w:t>10·1 (3·8)</w:t>
            </w:r>
          </w:p>
        </w:tc>
      </w:tr>
      <w:tr w:rsidR="00B1078E" w:rsidRPr="00EA3E1D" w14:paraId="7718C262" w14:textId="77777777" w:rsidTr="00EA3E1D">
        <w:trPr>
          <w:trHeight w:val="267"/>
        </w:trPr>
        <w:tc>
          <w:tcPr>
            <w:tcW w:w="4338" w:type="dxa"/>
            <w:tcBorders>
              <w:left w:val="nil"/>
              <w:right w:val="single" w:sz="4" w:space="0" w:color="auto"/>
            </w:tcBorders>
            <w:shd w:val="clear" w:color="auto" w:fill="auto"/>
            <w:noWrap/>
            <w:vAlign w:val="center"/>
          </w:tcPr>
          <w:p w14:paraId="5A208D2C" w14:textId="77777777" w:rsidR="00B1078E" w:rsidRPr="00EA3E1D" w:rsidRDefault="00B1078E" w:rsidP="00B1078E">
            <w:pPr>
              <w:spacing w:after="0" w:line="240" w:lineRule="auto"/>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-NO2 (ppb)</w:t>
            </w:r>
          </w:p>
        </w:tc>
        <w:tc>
          <w:tcPr>
            <w:tcW w:w="1471" w:type="dxa"/>
            <w:tcBorders>
              <w:top w:val="nil"/>
              <w:left w:val="single" w:sz="4" w:space="0" w:color="auto"/>
              <w:bottom w:val="nil"/>
              <w:right w:val="nil"/>
            </w:tcBorders>
            <w:shd w:val="clear" w:color="auto" w:fill="auto"/>
            <w:noWrap/>
            <w:vAlign w:val="bottom"/>
          </w:tcPr>
          <w:p w14:paraId="2DD4ABB9"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16·3 (13·9)</w:t>
            </w:r>
          </w:p>
        </w:tc>
        <w:tc>
          <w:tcPr>
            <w:tcW w:w="1472" w:type="dxa"/>
            <w:tcBorders>
              <w:left w:val="single" w:sz="4" w:space="0" w:color="auto"/>
              <w:right w:val="nil"/>
            </w:tcBorders>
            <w:vAlign w:val="bottom"/>
          </w:tcPr>
          <w:p w14:paraId="52CCB0C5"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25·0 (13·0)</w:t>
            </w:r>
          </w:p>
        </w:tc>
        <w:tc>
          <w:tcPr>
            <w:tcW w:w="1472" w:type="dxa"/>
            <w:tcBorders>
              <w:left w:val="single" w:sz="4" w:space="0" w:color="auto"/>
              <w:right w:val="nil"/>
            </w:tcBorders>
            <w:vAlign w:val="bottom"/>
          </w:tcPr>
          <w:p w14:paraId="11A66A3C" w14:textId="77777777" w:rsidR="00B1078E" w:rsidRPr="00EA3E1D" w:rsidRDefault="00B1078E" w:rsidP="00B1078E">
            <w:pPr>
              <w:spacing w:after="0" w:line="240" w:lineRule="auto"/>
              <w:jc w:val="right"/>
              <w:rPr>
                <w:rFonts w:ascii="Times New Roman" w:eastAsia="Times New Roman" w:hAnsi="Times New Roman" w:cs="Times New Roman"/>
                <w:color w:val="000000"/>
                <w:sz w:val="16"/>
                <w:szCs w:val="16"/>
              </w:rPr>
            </w:pPr>
            <w:r w:rsidRPr="00EA3E1D">
              <w:rPr>
                <w:rFonts w:ascii="Times New Roman" w:eastAsia="Times New Roman" w:hAnsi="Times New Roman" w:cs="Times New Roman"/>
                <w:color w:val="000000"/>
                <w:sz w:val="16"/>
                <w:szCs w:val="16"/>
              </w:rPr>
              <w:t>16·1 (13·8)</w:t>
            </w:r>
          </w:p>
        </w:tc>
        <w:tc>
          <w:tcPr>
            <w:tcW w:w="1472" w:type="dxa"/>
            <w:tcBorders>
              <w:left w:val="single" w:sz="4" w:space="0" w:color="auto"/>
              <w:right w:val="nil"/>
            </w:tcBorders>
            <w:vAlign w:val="bottom"/>
          </w:tcPr>
          <w:p w14:paraId="38462C28" w14:textId="77777777" w:rsidR="00B1078E" w:rsidRPr="00EA3E1D" w:rsidRDefault="00B1078E" w:rsidP="00B1078E">
            <w:pPr>
              <w:spacing w:after="0" w:line="240" w:lineRule="auto"/>
              <w:jc w:val="right"/>
              <w:rPr>
                <w:rFonts w:ascii="Times New Roman" w:hAnsi="Times New Roman" w:cs="Times New Roman"/>
                <w:color w:val="000000"/>
                <w:sz w:val="16"/>
                <w:szCs w:val="16"/>
              </w:rPr>
            </w:pPr>
            <w:r w:rsidRPr="00EA3E1D">
              <w:rPr>
                <w:rFonts w:ascii="Times New Roman" w:hAnsi="Times New Roman" w:cs="Times New Roman"/>
                <w:color w:val="000000"/>
                <w:sz w:val="16"/>
                <w:szCs w:val="16"/>
              </w:rPr>
              <w:t>24·9 (13·0)</w:t>
            </w:r>
          </w:p>
        </w:tc>
      </w:tr>
    </w:tbl>
    <w:p w14:paraId="0BE6313A" w14:textId="77777777" w:rsidR="00B1078E" w:rsidRPr="00EA3E1D" w:rsidRDefault="00B1078E" w:rsidP="00B1078E">
      <w:pPr>
        <w:jc w:val="both"/>
        <w:rPr>
          <w:rFonts w:ascii="Times New Roman" w:hAnsi="Times New Roman" w:cs="Times New Roman"/>
          <w:sz w:val="20"/>
          <w:szCs w:val="20"/>
        </w:rPr>
      </w:pPr>
    </w:p>
    <w:p w14:paraId="18FB28DB" w14:textId="77777777" w:rsidR="00B1078E" w:rsidRPr="00EA3E1D" w:rsidRDefault="00B1078E" w:rsidP="00B1078E">
      <w:pPr>
        <w:jc w:val="both"/>
        <w:rPr>
          <w:rFonts w:ascii="Times New Roman" w:hAnsi="Times New Roman" w:cs="Times New Roman"/>
          <w:sz w:val="20"/>
          <w:szCs w:val="20"/>
        </w:rPr>
      </w:pPr>
      <w:proofErr w:type="gramStart"/>
      <w:r w:rsidRPr="00EA3E1D">
        <w:rPr>
          <w:rFonts w:ascii="Times New Roman" w:hAnsi="Times New Roman" w:cs="Times New Roman"/>
          <w:sz w:val="20"/>
          <w:szCs w:val="20"/>
          <w:vertAlign w:val="superscript"/>
        </w:rPr>
        <w:t>a</w:t>
      </w:r>
      <w:proofErr w:type="gramEnd"/>
      <w:r w:rsidRPr="00EA3E1D">
        <w:rPr>
          <w:rFonts w:ascii="Times New Roman" w:hAnsi="Times New Roman" w:cs="Times New Roman"/>
          <w:sz w:val="20"/>
          <w:szCs w:val="20"/>
        </w:rPr>
        <w:t xml:space="preserve"> Descriptive statistics are given for the strata (aggregated data based on zip code, year, sex, race, Medicaid eligibility, 2-year categories of age at study entry and year of follow-up).</w:t>
      </w:r>
    </w:p>
    <w:p w14:paraId="765B2888" w14:textId="77777777" w:rsidR="00B1078E" w:rsidRPr="00EA3E1D" w:rsidRDefault="00B1078E" w:rsidP="00B1078E">
      <w:pPr>
        <w:jc w:val="both"/>
        <w:rPr>
          <w:rFonts w:ascii="Times New Roman" w:hAnsi="Times New Roman" w:cs="Times New Roman"/>
          <w:sz w:val="20"/>
          <w:szCs w:val="20"/>
        </w:rPr>
      </w:pPr>
      <w:proofErr w:type="gramStart"/>
      <w:r w:rsidRPr="00EA3E1D">
        <w:rPr>
          <w:rFonts w:ascii="Times New Roman" w:hAnsi="Times New Roman" w:cs="Times New Roman"/>
          <w:sz w:val="20"/>
          <w:szCs w:val="20"/>
          <w:vertAlign w:val="superscript"/>
          <w:lang w:val="en-GB"/>
        </w:rPr>
        <w:t>b</w:t>
      </w:r>
      <w:proofErr w:type="gramEnd"/>
      <w:r w:rsidRPr="00EA3E1D">
        <w:rPr>
          <w:rFonts w:ascii="Times New Roman" w:hAnsi="Times New Roman" w:cs="Times New Roman"/>
          <w:sz w:val="20"/>
          <w:szCs w:val="20"/>
          <w:vertAlign w:val="superscript"/>
          <w:lang w:val="en-GB"/>
        </w:rPr>
        <w:t xml:space="preserve"> </w:t>
      </w:r>
      <w:r w:rsidRPr="00EA3E1D">
        <w:rPr>
          <w:rFonts w:ascii="Times New Roman" w:hAnsi="Times New Roman" w:cs="Times New Roman"/>
          <w:sz w:val="20"/>
          <w:szCs w:val="20"/>
        </w:rPr>
        <w:t>Urban cohorts included all person years in zip codes with a population density of 1000+ persons/mile</w:t>
      </w:r>
      <w:r w:rsidRPr="00EA3E1D">
        <w:rPr>
          <w:rFonts w:ascii="Times New Roman" w:hAnsi="Times New Roman" w:cs="Times New Roman"/>
          <w:sz w:val="20"/>
          <w:szCs w:val="20"/>
          <w:vertAlign w:val="superscript"/>
        </w:rPr>
        <w:t>2</w:t>
      </w:r>
      <w:r w:rsidRPr="00EA3E1D">
        <w:rPr>
          <w:rFonts w:ascii="Times New Roman" w:hAnsi="Times New Roman" w:cs="Times New Roman"/>
          <w:sz w:val="20"/>
          <w:szCs w:val="20"/>
        </w:rPr>
        <w:t>.</w:t>
      </w:r>
    </w:p>
    <w:p w14:paraId="222ED47B" w14:textId="77777777" w:rsidR="00B1078E" w:rsidRPr="00EA3E1D" w:rsidRDefault="00B1078E" w:rsidP="00B1078E">
      <w:pPr>
        <w:jc w:val="both"/>
        <w:rPr>
          <w:rFonts w:ascii="Times New Roman" w:hAnsi="Times New Roman" w:cs="Times New Roman"/>
          <w:sz w:val="20"/>
          <w:szCs w:val="20"/>
        </w:rPr>
      </w:pPr>
    </w:p>
    <w:p w14:paraId="799A3BE3" w14:textId="77777777" w:rsidR="00B1078E" w:rsidRPr="00EA3E1D" w:rsidRDefault="00B1078E" w:rsidP="00B1078E">
      <w:pPr>
        <w:jc w:val="both"/>
        <w:rPr>
          <w:rFonts w:ascii="Times New Roman" w:hAnsi="Times New Roman" w:cs="Times New Roman"/>
          <w:b/>
          <w:bCs/>
          <w:sz w:val="20"/>
          <w:szCs w:val="20"/>
          <w:lang w:val="en-GB"/>
        </w:rPr>
      </w:pPr>
    </w:p>
    <w:p w14:paraId="2CF85F10" w14:textId="77777777" w:rsidR="00B1078E" w:rsidRPr="00EA3E1D" w:rsidRDefault="00B1078E" w:rsidP="00B1078E">
      <w:pPr>
        <w:jc w:val="both"/>
        <w:rPr>
          <w:rFonts w:ascii="Times New Roman" w:hAnsi="Times New Roman" w:cs="Times New Roman"/>
          <w:b/>
          <w:bCs/>
          <w:sz w:val="20"/>
          <w:szCs w:val="20"/>
          <w:lang w:val="en-GB"/>
        </w:rPr>
      </w:pPr>
    </w:p>
    <w:p w14:paraId="4F63BC5B" w14:textId="77777777" w:rsidR="00B1078E" w:rsidRPr="00EA3E1D" w:rsidRDefault="00B1078E" w:rsidP="00B1078E">
      <w:pPr>
        <w:jc w:val="both"/>
        <w:rPr>
          <w:rFonts w:ascii="Times New Roman" w:hAnsi="Times New Roman" w:cs="Times New Roman"/>
          <w:b/>
          <w:bCs/>
          <w:sz w:val="20"/>
          <w:szCs w:val="20"/>
          <w:lang w:val="en-GB"/>
        </w:rPr>
      </w:pPr>
    </w:p>
    <w:p w14:paraId="403DDD34" w14:textId="77777777" w:rsidR="00B1078E" w:rsidRPr="00EA3E1D" w:rsidRDefault="00B1078E" w:rsidP="00B1078E">
      <w:pPr>
        <w:jc w:val="both"/>
        <w:rPr>
          <w:rFonts w:ascii="Times New Roman" w:hAnsi="Times New Roman" w:cs="Times New Roman"/>
          <w:b/>
          <w:bCs/>
          <w:sz w:val="20"/>
          <w:szCs w:val="20"/>
          <w:lang w:val="en-GB"/>
        </w:rPr>
      </w:pPr>
    </w:p>
    <w:p w14:paraId="205BEE2E" w14:textId="77777777" w:rsidR="00B1078E" w:rsidRPr="00EA3E1D" w:rsidRDefault="00B1078E" w:rsidP="00B1078E">
      <w:pPr>
        <w:jc w:val="both"/>
        <w:rPr>
          <w:rFonts w:ascii="Times New Roman" w:hAnsi="Times New Roman" w:cs="Times New Roman"/>
          <w:b/>
          <w:bCs/>
          <w:sz w:val="20"/>
          <w:szCs w:val="20"/>
          <w:lang w:val="en-GB"/>
        </w:rPr>
      </w:pPr>
    </w:p>
    <w:p w14:paraId="01CD2FD5" w14:textId="77777777" w:rsidR="00B1078E" w:rsidRPr="00EA3E1D" w:rsidRDefault="00B1078E" w:rsidP="00B1078E">
      <w:pPr>
        <w:jc w:val="both"/>
        <w:rPr>
          <w:rFonts w:ascii="Times New Roman" w:hAnsi="Times New Roman" w:cs="Times New Roman"/>
          <w:b/>
          <w:bCs/>
          <w:sz w:val="20"/>
          <w:szCs w:val="20"/>
          <w:lang w:val="en-GB"/>
        </w:rPr>
      </w:pPr>
    </w:p>
    <w:p w14:paraId="37B0BF0B" w14:textId="77777777" w:rsidR="00B1078E" w:rsidRPr="00EA3E1D" w:rsidRDefault="00B1078E" w:rsidP="00B1078E">
      <w:pPr>
        <w:jc w:val="both"/>
        <w:rPr>
          <w:rFonts w:ascii="Times New Roman" w:hAnsi="Times New Roman" w:cs="Times New Roman"/>
          <w:b/>
          <w:bCs/>
          <w:sz w:val="20"/>
          <w:szCs w:val="20"/>
          <w:lang w:val="en-GB"/>
        </w:rPr>
      </w:pPr>
    </w:p>
    <w:p w14:paraId="129DD979" w14:textId="77777777" w:rsidR="00B1078E" w:rsidRPr="00EA3E1D" w:rsidRDefault="00B1078E" w:rsidP="00B1078E">
      <w:pPr>
        <w:jc w:val="both"/>
        <w:rPr>
          <w:rFonts w:ascii="Times New Roman" w:hAnsi="Times New Roman" w:cs="Times New Roman"/>
          <w:b/>
          <w:bCs/>
          <w:sz w:val="20"/>
          <w:szCs w:val="20"/>
          <w:lang w:val="en-GB"/>
        </w:rPr>
      </w:pPr>
      <w:r w:rsidRPr="00EA3E1D">
        <w:rPr>
          <w:rFonts w:ascii="Times New Roman" w:hAnsi="Times New Roman" w:cs="Times New Roman"/>
          <w:b/>
          <w:bCs/>
          <w:sz w:val="20"/>
          <w:szCs w:val="20"/>
          <w:lang w:val="en-GB"/>
        </w:rPr>
        <w:softHyphen/>
      </w:r>
    </w:p>
    <w:p w14:paraId="4CACC495" w14:textId="77777777" w:rsidR="00B1078E" w:rsidRPr="00EA3E1D" w:rsidRDefault="00B1078E" w:rsidP="00B1078E">
      <w:pPr>
        <w:jc w:val="both"/>
        <w:rPr>
          <w:rFonts w:ascii="Times New Roman" w:hAnsi="Times New Roman" w:cs="Times New Roman"/>
          <w:b/>
          <w:bCs/>
          <w:sz w:val="20"/>
          <w:szCs w:val="20"/>
          <w:lang w:val="en-GB"/>
        </w:rPr>
        <w:sectPr w:rsidR="00B1078E" w:rsidRPr="00EA3E1D" w:rsidSect="00B1078E">
          <w:pgSz w:w="12240" w:h="15840"/>
          <w:pgMar w:top="1440" w:right="1080" w:bottom="1440" w:left="1080" w:header="720" w:footer="720" w:gutter="0"/>
          <w:cols w:space="720"/>
          <w:docGrid w:linePitch="360"/>
        </w:sectPr>
      </w:pPr>
    </w:p>
    <w:p w14:paraId="1AFE68DD" w14:textId="4A83EC8E" w:rsidR="00B1078E" w:rsidRPr="00EA3E1D" w:rsidRDefault="00B1078E" w:rsidP="00B1078E">
      <w:pPr>
        <w:jc w:val="both"/>
        <w:rPr>
          <w:rFonts w:ascii="Times New Roman" w:hAnsi="Times New Roman" w:cs="Times New Roman"/>
          <w:b/>
          <w:bCs/>
          <w:sz w:val="20"/>
          <w:szCs w:val="20"/>
          <w:lang w:val="en-GB"/>
        </w:rPr>
      </w:pPr>
      <w:r w:rsidRPr="00EA3E1D">
        <w:rPr>
          <w:rFonts w:ascii="Times New Roman" w:hAnsi="Times New Roman" w:cs="Times New Roman"/>
          <w:b/>
          <w:bCs/>
          <w:sz w:val="20"/>
          <w:szCs w:val="20"/>
          <w:lang w:val="en-GB"/>
        </w:rPr>
        <w:lastRenderedPageBreak/>
        <w:t>Table S2. Sensitivity analyses of percent public park cover, NDVI and percent blue space cover with CVD and RSD hospitalization in the full and urban cohort of US Medicare fee-for-service beneficiaries aged ≥65 living in the contiguous US from 2000 through 2016</w:t>
      </w:r>
      <w:r w:rsidR="00EA3E1D">
        <w:rPr>
          <w:rFonts w:ascii="Times New Roman" w:hAnsi="Times New Roman" w:cs="Times New Roman"/>
          <w:b/>
          <w:bCs/>
          <w:sz w:val="20"/>
          <w:szCs w:val="20"/>
          <w:lang w:val="en-GB"/>
        </w:rPr>
        <w:t>.</w:t>
      </w:r>
      <w:r w:rsidRPr="00EA3E1D">
        <w:rPr>
          <w:rFonts w:ascii="Times New Roman" w:hAnsi="Times New Roman" w:cs="Times New Roman"/>
          <w:b/>
          <w:bCs/>
          <w:sz w:val="20"/>
          <w:szCs w:val="20"/>
          <w:vertAlign w:val="superscript"/>
          <w:lang w:val="en-GB"/>
        </w:rPr>
        <w:t>a, b</w:t>
      </w:r>
    </w:p>
    <w:tbl>
      <w:tblPr>
        <w:tblW w:w="14015" w:type="dxa"/>
        <w:tblInd w:w="-523" w:type="dxa"/>
        <w:tblLayout w:type="fixed"/>
        <w:tblLook w:val="04A0" w:firstRow="1" w:lastRow="0" w:firstColumn="1" w:lastColumn="0" w:noHBand="0" w:noVBand="1"/>
      </w:tblPr>
      <w:tblGrid>
        <w:gridCol w:w="2520"/>
        <w:gridCol w:w="1642"/>
        <w:gridCol w:w="1642"/>
        <w:gridCol w:w="1642"/>
        <w:gridCol w:w="1642"/>
        <w:gridCol w:w="1642"/>
        <w:gridCol w:w="1642"/>
        <w:gridCol w:w="1624"/>
        <w:gridCol w:w="19"/>
      </w:tblGrid>
      <w:tr w:rsidR="00B1078E" w:rsidRPr="00EA3E1D" w14:paraId="3124E682" w14:textId="77777777" w:rsidTr="00B1078E">
        <w:trPr>
          <w:trHeight w:val="857"/>
        </w:trPr>
        <w:tc>
          <w:tcPr>
            <w:tcW w:w="2520" w:type="dxa"/>
            <w:vMerge w:val="restart"/>
            <w:tcBorders>
              <w:top w:val="nil"/>
              <w:left w:val="nil"/>
              <w:right w:val="single" w:sz="4" w:space="0" w:color="auto"/>
            </w:tcBorders>
            <w:shd w:val="clear" w:color="auto" w:fill="auto"/>
            <w:noWrap/>
            <w:vAlign w:val="center"/>
            <w:hideMark/>
          </w:tcPr>
          <w:p w14:paraId="2D09ACDE"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Exposure (IQR)</w:t>
            </w:r>
          </w:p>
        </w:tc>
        <w:tc>
          <w:tcPr>
            <w:tcW w:w="1642" w:type="dxa"/>
            <w:tcBorders>
              <w:top w:val="nil"/>
              <w:left w:val="single" w:sz="4" w:space="0" w:color="auto"/>
              <w:bottom w:val="single" w:sz="4" w:space="0" w:color="auto"/>
              <w:right w:val="nil"/>
            </w:tcBorders>
            <w:shd w:val="clear" w:color="auto" w:fill="auto"/>
            <w:noWrap/>
            <w:vAlign w:val="center"/>
            <w:hideMark/>
          </w:tcPr>
          <w:p w14:paraId="67399E88"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main</w:t>
            </w:r>
          </w:p>
        </w:tc>
        <w:tc>
          <w:tcPr>
            <w:tcW w:w="1642" w:type="dxa"/>
            <w:tcBorders>
              <w:top w:val="nil"/>
              <w:left w:val="nil"/>
              <w:bottom w:val="single" w:sz="4" w:space="0" w:color="auto"/>
              <w:right w:val="nil"/>
            </w:tcBorders>
            <w:shd w:val="clear" w:color="auto" w:fill="auto"/>
            <w:noWrap/>
            <w:vAlign w:val="center"/>
            <w:hideMark/>
          </w:tcPr>
          <w:p w14:paraId="2883B81A"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Single- exposure</w:t>
            </w:r>
          </w:p>
        </w:tc>
        <w:tc>
          <w:tcPr>
            <w:tcW w:w="1642" w:type="dxa"/>
            <w:tcBorders>
              <w:top w:val="nil"/>
              <w:left w:val="nil"/>
              <w:bottom w:val="single" w:sz="4" w:space="0" w:color="auto"/>
              <w:right w:val="nil"/>
            </w:tcBorders>
            <w:shd w:val="clear" w:color="auto" w:fill="auto"/>
            <w:noWrap/>
            <w:vAlign w:val="center"/>
            <w:hideMark/>
          </w:tcPr>
          <w:p w14:paraId="603A781D" w14:textId="620C4731" w:rsidR="00B1078E" w:rsidRPr="00EA3E1D" w:rsidRDefault="00B1078E" w:rsidP="004C5928">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Adj</w:t>
            </w:r>
            <w:r w:rsidR="004C5928" w:rsidRPr="00EA3E1D">
              <w:rPr>
                <w:rFonts w:ascii="Times New Roman" w:hAnsi="Times New Roman" w:cs="Times New Roman"/>
                <w:b/>
                <w:bCs/>
                <w:sz w:val="16"/>
                <w:szCs w:val="16"/>
              </w:rPr>
              <w:t>.</w:t>
            </w:r>
            <w:r w:rsidRPr="00EA3E1D">
              <w:rPr>
                <w:rFonts w:ascii="Times New Roman" w:hAnsi="Times New Roman" w:cs="Times New Roman"/>
                <w:b/>
                <w:bCs/>
                <w:sz w:val="16"/>
                <w:szCs w:val="16"/>
              </w:rPr>
              <w:t xml:space="preserve"> for PM</w:t>
            </w:r>
            <w:r w:rsidRPr="00EA3E1D">
              <w:rPr>
                <w:rFonts w:ascii="Times New Roman" w:hAnsi="Times New Roman" w:cs="Times New Roman"/>
                <w:b/>
                <w:bCs/>
                <w:sz w:val="16"/>
                <w:szCs w:val="16"/>
                <w:vertAlign w:val="subscript"/>
              </w:rPr>
              <w:t>2·5</w:t>
            </w:r>
          </w:p>
        </w:tc>
        <w:tc>
          <w:tcPr>
            <w:tcW w:w="1642" w:type="dxa"/>
            <w:tcBorders>
              <w:top w:val="nil"/>
              <w:left w:val="nil"/>
              <w:bottom w:val="single" w:sz="4" w:space="0" w:color="auto"/>
              <w:right w:val="nil"/>
            </w:tcBorders>
            <w:shd w:val="clear" w:color="auto" w:fill="auto"/>
            <w:noWrap/>
            <w:vAlign w:val="center"/>
            <w:hideMark/>
          </w:tcPr>
          <w:p w14:paraId="3E1ED2FE" w14:textId="7B2DF36E" w:rsidR="00B1078E" w:rsidRPr="00EA3E1D" w:rsidRDefault="00B1078E" w:rsidP="004C5928">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Adj</w:t>
            </w:r>
            <w:r w:rsidR="004C5928" w:rsidRPr="00EA3E1D">
              <w:rPr>
                <w:rFonts w:ascii="Times New Roman" w:hAnsi="Times New Roman" w:cs="Times New Roman"/>
                <w:b/>
                <w:bCs/>
                <w:sz w:val="16"/>
                <w:szCs w:val="16"/>
              </w:rPr>
              <w:t>.</w:t>
            </w:r>
            <w:r w:rsidRPr="00EA3E1D">
              <w:rPr>
                <w:rFonts w:ascii="Times New Roman" w:hAnsi="Times New Roman" w:cs="Times New Roman"/>
                <w:b/>
                <w:bCs/>
                <w:sz w:val="16"/>
                <w:szCs w:val="16"/>
              </w:rPr>
              <w:t xml:space="preserve"> for NO</w:t>
            </w:r>
            <w:r w:rsidRPr="00EA3E1D">
              <w:rPr>
                <w:rFonts w:ascii="Times New Roman" w:hAnsi="Times New Roman" w:cs="Times New Roman"/>
                <w:b/>
                <w:bCs/>
                <w:sz w:val="16"/>
                <w:szCs w:val="16"/>
                <w:vertAlign w:val="subscript"/>
              </w:rPr>
              <w:t>2</w:t>
            </w:r>
          </w:p>
        </w:tc>
        <w:tc>
          <w:tcPr>
            <w:tcW w:w="1642" w:type="dxa"/>
            <w:tcBorders>
              <w:top w:val="nil"/>
              <w:left w:val="nil"/>
              <w:bottom w:val="single" w:sz="4" w:space="0" w:color="auto"/>
              <w:right w:val="nil"/>
            </w:tcBorders>
            <w:vAlign w:val="center"/>
          </w:tcPr>
          <w:p w14:paraId="3F9127AD"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 Blue space cover</w:t>
            </w:r>
            <w:r w:rsidRPr="00EA3E1D">
              <w:rPr>
                <w:rFonts w:ascii="Times New Roman" w:hAnsi="Times New Roman" w:cs="Times New Roman"/>
                <w:b/>
                <w:bCs/>
                <w:sz w:val="16"/>
                <w:szCs w:val="16"/>
              </w:rPr>
              <w:br/>
              <w:t>(no buffer)</w:t>
            </w:r>
          </w:p>
        </w:tc>
        <w:tc>
          <w:tcPr>
            <w:tcW w:w="1642" w:type="dxa"/>
            <w:tcBorders>
              <w:top w:val="nil"/>
              <w:left w:val="nil"/>
              <w:bottom w:val="single" w:sz="4" w:space="0" w:color="auto"/>
              <w:right w:val="nil"/>
            </w:tcBorders>
            <w:shd w:val="clear" w:color="auto" w:fill="auto"/>
            <w:noWrap/>
            <w:vAlign w:val="center"/>
            <w:hideMark/>
          </w:tcPr>
          <w:p w14:paraId="3EABE3AD" w14:textId="439B0BCD" w:rsidR="00B1078E" w:rsidRPr="00EA3E1D" w:rsidRDefault="00B1078E" w:rsidP="004C5928">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Excl</w:t>
            </w:r>
            <w:r w:rsidR="004C5928" w:rsidRPr="00EA3E1D">
              <w:rPr>
                <w:rFonts w:ascii="Times New Roman" w:hAnsi="Times New Roman" w:cs="Times New Roman"/>
                <w:b/>
                <w:bCs/>
                <w:sz w:val="16"/>
                <w:szCs w:val="16"/>
              </w:rPr>
              <w:t>.</w:t>
            </w:r>
            <w:r w:rsidRPr="00EA3E1D">
              <w:rPr>
                <w:rFonts w:ascii="Times New Roman" w:hAnsi="Times New Roman" w:cs="Times New Roman"/>
                <w:b/>
                <w:bCs/>
                <w:sz w:val="16"/>
                <w:szCs w:val="16"/>
              </w:rPr>
              <w:t xml:space="preserve"> potentially prevalent cases</w:t>
            </w:r>
          </w:p>
        </w:tc>
        <w:tc>
          <w:tcPr>
            <w:tcW w:w="1643" w:type="dxa"/>
            <w:gridSpan w:val="2"/>
            <w:tcBorders>
              <w:top w:val="nil"/>
              <w:left w:val="nil"/>
              <w:bottom w:val="single" w:sz="4" w:space="0" w:color="auto"/>
              <w:right w:val="nil"/>
            </w:tcBorders>
            <w:vAlign w:val="center"/>
          </w:tcPr>
          <w:p w14:paraId="634A36CB"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Death as competing risk</w:t>
            </w:r>
          </w:p>
        </w:tc>
      </w:tr>
      <w:tr w:rsidR="00B1078E" w:rsidRPr="00EA3E1D" w14:paraId="3AF51570" w14:textId="77777777" w:rsidTr="00B1078E">
        <w:trPr>
          <w:gridAfter w:val="1"/>
          <w:wAfter w:w="19" w:type="dxa"/>
          <w:trHeight w:val="192"/>
        </w:trPr>
        <w:tc>
          <w:tcPr>
            <w:tcW w:w="2520" w:type="dxa"/>
            <w:vMerge/>
            <w:tcBorders>
              <w:left w:val="nil"/>
              <w:bottom w:val="single" w:sz="4" w:space="0" w:color="auto"/>
              <w:right w:val="single" w:sz="4" w:space="0" w:color="auto"/>
            </w:tcBorders>
            <w:shd w:val="clear" w:color="auto" w:fill="auto"/>
            <w:noWrap/>
            <w:vAlign w:val="center"/>
          </w:tcPr>
          <w:p w14:paraId="6FABDE1E" w14:textId="77777777" w:rsidR="00B1078E" w:rsidRPr="00EA3E1D" w:rsidRDefault="00B1078E" w:rsidP="00B1078E">
            <w:pPr>
              <w:pStyle w:val="NoSpacing"/>
              <w:rPr>
                <w:rFonts w:ascii="Times New Roman" w:hAnsi="Times New Roman" w:cs="Times New Roman"/>
                <w:b/>
                <w:bCs/>
                <w:sz w:val="16"/>
                <w:szCs w:val="16"/>
              </w:rPr>
            </w:pPr>
          </w:p>
        </w:tc>
        <w:tc>
          <w:tcPr>
            <w:tcW w:w="11476" w:type="dxa"/>
            <w:gridSpan w:val="7"/>
            <w:tcBorders>
              <w:left w:val="single" w:sz="4" w:space="0" w:color="auto"/>
              <w:bottom w:val="nil"/>
            </w:tcBorders>
          </w:tcPr>
          <w:p w14:paraId="2F751D62"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CVD - Full</w:t>
            </w:r>
          </w:p>
        </w:tc>
      </w:tr>
      <w:tr w:rsidR="00B1078E" w:rsidRPr="00EA3E1D" w14:paraId="40DC0C05" w14:textId="77777777" w:rsidTr="00B1078E">
        <w:trPr>
          <w:trHeight w:val="192"/>
        </w:trPr>
        <w:tc>
          <w:tcPr>
            <w:tcW w:w="2520" w:type="dxa"/>
            <w:vMerge/>
            <w:tcBorders>
              <w:left w:val="nil"/>
              <w:bottom w:val="single" w:sz="4" w:space="0" w:color="auto"/>
              <w:right w:val="single" w:sz="4" w:space="0" w:color="auto"/>
            </w:tcBorders>
            <w:shd w:val="clear" w:color="auto" w:fill="auto"/>
            <w:noWrap/>
            <w:vAlign w:val="center"/>
            <w:hideMark/>
          </w:tcPr>
          <w:p w14:paraId="6744458C" w14:textId="77777777" w:rsidR="00B1078E" w:rsidRPr="00EA3E1D" w:rsidRDefault="00B1078E" w:rsidP="00B1078E">
            <w:pPr>
              <w:pStyle w:val="NoSpacing"/>
              <w:rPr>
                <w:rFonts w:ascii="Times New Roman" w:hAnsi="Times New Roman" w:cs="Times New Roman"/>
                <w:b/>
                <w:bCs/>
                <w:sz w:val="16"/>
                <w:szCs w:val="16"/>
              </w:rPr>
            </w:pPr>
          </w:p>
        </w:tc>
        <w:tc>
          <w:tcPr>
            <w:tcW w:w="1642" w:type="dxa"/>
            <w:tcBorders>
              <w:top w:val="nil"/>
              <w:left w:val="single" w:sz="4" w:space="0" w:color="auto"/>
              <w:bottom w:val="nil"/>
              <w:right w:val="nil"/>
            </w:tcBorders>
            <w:shd w:val="clear" w:color="auto" w:fill="auto"/>
            <w:noWrap/>
            <w:vAlign w:val="center"/>
            <w:hideMark/>
          </w:tcPr>
          <w:p w14:paraId="412D0039"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HR (95% CI)</w:t>
            </w:r>
          </w:p>
        </w:tc>
        <w:tc>
          <w:tcPr>
            <w:tcW w:w="1642" w:type="dxa"/>
            <w:tcBorders>
              <w:top w:val="nil"/>
              <w:left w:val="nil"/>
              <w:bottom w:val="nil"/>
              <w:right w:val="nil"/>
            </w:tcBorders>
            <w:shd w:val="clear" w:color="auto" w:fill="auto"/>
            <w:noWrap/>
            <w:vAlign w:val="center"/>
            <w:hideMark/>
          </w:tcPr>
          <w:p w14:paraId="766E67EA"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HR (95% CI)</w:t>
            </w:r>
          </w:p>
        </w:tc>
        <w:tc>
          <w:tcPr>
            <w:tcW w:w="1642" w:type="dxa"/>
            <w:tcBorders>
              <w:top w:val="nil"/>
              <w:left w:val="nil"/>
              <w:bottom w:val="nil"/>
              <w:right w:val="nil"/>
            </w:tcBorders>
            <w:shd w:val="clear" w:color="auto" w:fill="auto"/>
            <w:noWrap/>
            <w:vAlign w:val="center"/>
            <w:hideMark/>
          </w:tcPr>
          <w:p w14:paraId="04957AB7"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HR (95% CI)</w:t>
            </w:r>
          </w:p>
        </w:tc>
        <w:tc>
          <w:tcPr>
            <w:tcW w:w="1642" w:type="dxa"/>
            <w:tcBorders>
              <w:top w:val="nil"/>
              <w:left w:val="nil"/>
              <w:bottom w:val="nil"/>
              <w:right w:val="nil"/>
            </w:tcBorders>
            <w:shd w:val="clear" w:color="auto" w:fill="auto"/>
            <w:noWrap/>
            <w:vAlign w:val="center"/>
            <w:hideMark/>
          </w:tcPr>
          <w:p w14:paraId="759177F3"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HR (95% CI)</w:t>
            </w:r>
          </w:p>
        </w:tc>
        <w:tc>
          <w:tcPr>
            <w:tcW w:w="1642" w:type="dxa"/>
            <w:tcBorders>
              <w:top w:val="nil"/>
              <w:left w:val="nil"/>
              <w:bottom w:val="nil"/>
              <w:right w:val="nil"/>
            </w:tcBorders>
            <w:vAlign w:val="center"/>
          </w:tcPr>
          <w:p w14:paraId="68B38B54"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HR (95% CI)</w:t>
            </w:r>
          </w:p>
        </w:tc>
        <w:tc>
          <w:tcPr>
            <w:tcW w:w="1642" w:type="dxa"/>
            <w:tcBorders>
              <w:top w:val="nil"/>
              <w:left w:val="nil"/>
              <w:bottom w:val="nil"/>
              <w:right w:val="nil"/>
            </w:tcBorders>
            <w:shd w:val="clear" w:color="auto" w:fill="auto"/>
            <w:noWrap/>
            <w:vAlign w:val="center"/>
            <w:hideMark/>
          </w:tcPr>
          <w:p w14:paraId="4AF4FEA4"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HR (95% CI)</w:t>
            </w:r>
          </w:p>
        </w:tc>
        <w:tc>
          <w:tcPr>
            <w:tcW w:w="1643" w:type="dxa"/>
            <w:gridSpan w:val="2"/>
            <w:tcBorders>
              <w:top w:val="nil"/>
              <w:left w:val="nil"/>
              <w:bottom w:val="nil"/>
              <w:right w:val="nil"/>
            </w:tcBorders>
          </w:tcPr>
          <w:p w14:paraId="33D9AD59"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HR (95% CI)</w:t>
            </w:r>
          </w:p>
        </w:tc>
      </w:tr>
      <w:tr w:rsidR="00B1078E" w:rsidRPr="00EA3E1D" w14:paraId="63854939" w14:textId="77777777" w:rsidTr="00B1078E">
        <w:trPr>
          <w:trHeight w:val="196"/>
        </w:trPr>
        <w:tc>
          <w:tcPr>
            <w:tcW w:w="2520" w:type="dxa"/>
            <w:tcBorders>
              <w:top w:val="single" w:sz="4" w:space="0" w:color="auto"/>
              <w:left w:val="nil"/>
              <w:right w:val="single" w:sz="4" w:space="0" w:color="auto"/>
            </w:tcBorders>
            <w:shd w:val="clear" w:color="auto" w:fill="auto"/>
            <w:noWrap/>
            <w:vAlign w:val="center"/>
          </w:tcPr>
          <w:p w14:paraId="54C5E9BE"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Public park cover (15·9)</w:t>
            </w:r>
          </w:p>
        </w:tc>
        <w:tc>
          <w:tcPr>
            <w:tcW w:w="1642" w:type="dxa"/>
            <w:tcBorders>
              <w:top w:val="single" w:sz="4" w:space="0" w:color="auto"/>
              <w:left w:val="single" w:sz="4" w:space="0" w:color="auto"/>
              <w:bottom w:val="nil"/>
              <w:right w:val="nil"/>
            </w:tcBorders>
            <w:shd w:val="clear" w:color="auto" w:fill="auto"/>
            <w:noWrap/>
            <w:vAlign w:val="bottom"/>
          </w:tcPr>
          <w:p w14:paraId="47A4F444"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single" w:sz="4" w:space="0" w:color="auto"/>
              <w:left w:val="nil"/>
              <w:bottom w:val="nil"/>
              <w:right w:val="nil"/>
            </w:tcBorders>
            <w:shd w:val="clear" w:color="auto" w:fill="auto"/>
            <w:noWrap/>
            <w:vAlign w:val="bottom"/>
          </w:tcPr>
          <w:p w14:paraId="1E3BB12B"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single" w:sz="4" w:space="0" w:color="auto"/>
              <w:left w:val="nil"/>
              <w:bottom w:val="nil"/>
              <w:right w:val="nil"/>
            </w:tcBorders>
            <w:shd w:val="clear" w:color="auto" w:fill="auto"/>
            <w:noWrap/>
            <w:vAlign w:val="bottom"/>
          </w:tcPr>
          <w:p w14:paraId="730877A4"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single" w:sz="4" w:space="0" w:color="auto"/>
              <w:left w:val="nil"/>
              <w:bottom w:val="nil"/>
              <w:right w:val="nil"/>
            </w:tcBorders>
            <w:shd w:val="clear" w:color="auto" w:fill="auto"/>
            <w:noWrap/>
            <w:vAlign w:val="bottom"/>
          </w:tcPr>
          <w:p w14:paraId="26E2B13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single" w:sz="4" w:space="0" w:color="auto"/>
              <w:left w:val="nil"/>
              <w:bottom w:val="nil"/>
              <w:right w:val="nil"/>
            </w:tcBorders>
            <w:vAlign w:val="bottom"/>
          </w:tcPr>
          <w:p w14:paraId="61B43369"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single" w:sz="4" w:space="0" w:color="auto"/>
              <w:left w:val="nil"/>
              <w:bottom w:val="nil"/>
              <w:right w:val="nil"/>
            </w:tcBorders>
            <w:shd w:val="clear" w:color="auto" w:fill="auto"/>
            <w:noWrap/>
            <w:vAlign w:val="bottom"/>
          </w:tcPr>
          <w:p w14:paraId="59252D18"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3" w:type="dxa"/>
            <w:gridSpan w:val="2"/>
            <w:tcBorders>
              <w:top w:val="single" w:sz="4" w:space="0" w:color="auto"/>
              <w:left w:val="nil"/>
              <w:bottom w:val="nil"/>
              <w:right w:val="nil"/>
            </w:tcBorders>
            <w:vAlign w:val="bottom"/>
          </w:tcPr>
          <w:p w14:paraId="023FC56B"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r>
      <w:tr w:rsidR="00B1078E" w:rsidRPr="00EA3E1D" w14:paraId="508ECC45" w14:textId="77777777" w:rsidTr="00B1078E">
        <w:trPr>
          <w:trHeight w:val="192"/>
        </w:trPr>
        <w:tc>
          <w:tcPr>
            <w:tcW w:w="2520" w:type="dxa"/>
            <w:tcBorders>
              <w:left w:val="nil"/>
              <w:right w:val="single" w:sz="4" w:space="0" w:color="auto"/>
            </w:tcBorders>
            <w:shd w:val="clear" w:color="auto" w:fill="auto"/>
            <w:noWrap/>
            <w:vAlign w:val="center"/>
          </w:tcPr>
          <w:p w14:paraId="0B57081F"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NDVI (0·27)</w:t>
            </w:r>
          </w:p>
        </w:tc>
        <w:tc>
          <w:tcPr>
            <w:tcW w:w="1642" w:type="dxa"/>
            <w:tcBorders>
              <w:top w:val="nil"/>
              <w:left w:val="single" w:sz="4" w:space="0" w:color="auto"/>
              <w:bottom w:val="nil"/>
              <w:right w:val="nil"/>
            </w:tcBorders>
            <w:shd w:val="clear" w:color="auto" w:fill="auto"/>
            <w:noWrap/>
            <w:vAlign w:val="bottom"/>
          </w:tcPr>
          <w:p w14:paraId="24DF53C5"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0·97 (0·96, 0·97)</w:t>
            </w:r>
          </w:p>
        </w:tc>
        <w:tc>
          <w:tcPr>
            <w:tcW w:w="1642" w:type="dxa"/>
            <w:tcBorders>
              <w:top w:val="nil"/>
              <w:left w:val="nil"/>
              <w:bottom w:val="nil"/>
              <w:right w:val="nil"/>
            </w:tcBorders>
            <w:shd w:val="clear" w:color="auto" w:fill="auto"/>
            <w:noWrap/>
            <w:vAlign w:val="bottom"/>
          </w:tcPr>
          <w:p w14:paraId="269D837C"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0·97 (0·96, 0·97)</w:t>
            </w:r>
          </w:p>
        </w:tc>
        <w:tc>
          <w:tcPr>
            <w:tcW w:w="1642" w:type="dxa"/>
            <w:tcBorders>
              <w:top w:val="nil"/>
              <w:left w:val="nil"/>
              <w:bottom w:val="nil"/>
              <w:right w:val="nil"/>
            </w:tcBorders>
            <w:shd w:val="clear" w:color="auto" w:fill="auto"/>
            <w:noWrap/>
            <w:vAlign w:val="bottom"/>
          </w:tcPr>
          <w:p w14:paraId="03C9FA8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0·96 (0·96, 0·97)</w:t>
            </w:r>
          </w:p>
        </w:tc>
        <w:tc>
          <w:tcPr>
            <w:tcW w:w="1642" w:type="dxa"/>
            <w:tcBorders>
              <w:top w:val="nil"/>
              <w:left w:val="nil"/>
              <w:bottom w:val="nil"/>
              <w:right w:val="nil"/>
            </w:tcBorders>
            <w:shd w:val="clear" w:color="auto" w:fill="auto"/>
            <w:noWrap/>
            <w:vAlign w:val="bottom"/>
          </w:tcPr>
          <w:p w14:paraId="769BBACB"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(0·98, 0·99)</w:t>
            </w:r>
          </w:p>
        </w:tc>
        <w:tc>
          <w:tcPr>
            <w:tcW w:w="1642" w:type="dxa"/>
            <w:tcBorders>
              <w:top w:val="nil"/>
              <w:left w:val="nil"/>
              <w:bottom w:val="nil"/>
              <w:right w:val="nil"/>
            </w:tcBorders>
            <w:vAlign w:val="bottom"/>
          </w:tcPr>
          <w:p w14:paraId="4F59E3B9"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0·96 (0·96, 0·97)</w:t>
            </w:r>
          </w:p>
        </w:tc>
        <w:tc>
          <w:tcPr>
            <w:tcW w:w="1642" w:type="dxa"/>
            <w:tcBorders>
              <w:top w:val="nil"/>
              <w:left w:val="nil"/>
              <w:bottom w:val="nil"/>
              <w:right w:val="nil"/>
            </w:tcBorders>
            <w:shd w:val="clear" w:color="auto" w:fill="auto"/>
            <w:noWrap/>
            <w:vAlign w:val="bottom"/>
          </w:tcPr>
          <w:p w14:paraId="4682124A"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0·96 (0·96, 0·97)</w:t>
            </w:r>
          </w:p>
        </w:tc>
        <w:tc>
          <w:tcPr>
            <w:tcW w:w="1643" w:type="dxa"/>
            <w:gridSpan w:val="2"/>
            <w:tcBorders>
              <w:top w:val="nil"/>
              <w:left w:val="nil"/>
              <w:bottom w:val="nil"/>
              <w:right w:val="nil"/>
            </w:tcBorders>
            <w:vAlign w:val="bottom"/>
          </w:tcPr>
          <w:p w14:paraId="070471C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0·96 (0·96, 0·97)</w:t>
            </w:r>
          </w:p>
        </w:tc>
      </w:tr>
      <w:tr w:rsidR="00B1078E" w:rsidRPr="00EA3E1D" w14:paraId="503745E0" w14:textId="77777777" w:rsidTr="00B1078E">
        <w:trPr>
          <w:trHeight w:val="192"/>
        </w:trPr>
        <w:tc>
          <w:tcPr>
            <w:tcW w:w="2520" w:type="dxa"/>
            <w:tcBorders>
              <w:left w:val="nil"/>
              <w:bottom w:val="single" w:sz="4" w:space="0" w:color="auto"/>
              <w:right w:val="single" w:sz="4" w:space="0" w:color="auto"/>
            </w:tcBorders>
            <w:shd w:val="clear" w:color="auto" w:fill="auto"/>
            <w:noWrap/>
            <w:vAlign w:val="center"/>
          </w:tcPr>
          <w:p w14:paraId="113F4424"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Blue space cover (3·2)</w:t>
            </w:r>
          </w:p>
        </w:tc>
        <w:tc>
          <w:tcPr>
            <w:tcW w:w="1642" w:type="dxa"/>
            <w:tcBorders>
              <w:top w:val="nil"/>
              <w:left w:val="single" w:sz="4" w:space="0" w:color="auto"/>
              <w:bottom w:val="single" w:sz="4" w:space="0" w:color="auto"/>
              <w:right w:val="nil"/>
            </w:tcBorders>
            <w:shd w:val="clear" w:color="auto" w:fill="auto"/>
            <w:noWrap/>
            <w:vAlign w:val="bottom"/>
          </w:tcPr>
          <w:p w14:paraId="4325E116"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1F38D1D3"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61D65468"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767101EE"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vAlign w:val="bottom"/>
          </w:tcPr>
          <w:p w14:paraId="6863F3BB"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5D8A38E7"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3" w:type="dxa"/>
            <w:gridSpan w:val="2"/>
            <w:tcBorders>
              <w:top w:val="nil"/>
              <w:left w:val="nil"/>
              <w:bottom w:val="single" w:sz="4" w:space="0" w:color="auto"/>
              <w:right w:val="nil"/>
            </w:tcBorders>
            <w:vAlign w:val="bottom"/>
          </w:tcPr>
          <w:p w14:paraId="1AB5EC4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r>
      <w:tr w:rsidR="00B1078E" w:rsidRPr="00EA3E1D" w14:paraId="7BFA81BD" w14:textId="77777777" w:rsidTr="00B1078E">
        <w:trPr>
          <w:gridAfter w:val="1"/>
          <w:wAfter w:w="19" w:type="dxa"/>
          <w:trHeight w:val="192"/>
        </w:trPr>
        <w:tc>
          <w:tcPr>
            <w:tcW w:w="2520" w:type="dxa"/>
            <w:tcBorders>
              <w:top w:val="single" w:sz="4" w:space="0" w:color="auto"/>
              <w:left w:val="nil"/>
              <w:bottom w:val="single" w:sz="4" w:space="0" w:color="auto"/>
              <w:right w:val="single" w:sz="4" w:space="0" w:color="auto"/>
            </w:tcBorders>
            <w:shd w:val="clear" w:color="auto" w:fill="auto"/>
            <w:noWrap/>
            <w:vAlign w:val="center"/>
          </w:tcPr>
          <w:p w14:paraId="73807E89" w14:textId="77777777" w:rsidR="00B1078E" w:rsidRPr="00EA3E1D" w:rsidRDefault="00B1078E" w:rsidP="00B1078E">
            <w:pPr>
              <w:pStyle w:val="NoSpacing"/>
              <w:rPr>
                <w:rFonts w:ascii="Times New Roman" w:hAnsi="Times New Roman" w:cs="Times New Roman"/>
                <w:b/>
                <w:bCs/>
                <w:sz w:val="16"/>
                <w:szCs w:val="16"/>
              </w:rPr>
            </w:pPr>
          </w:p>
        </w:tc>
        <w:tc>
          <w:tcPr>
            <w:tcW w:w="11476" w:type="dxa"/>
            <w:gridSpan w:val="7"/>
            <w:tcBorders>
              <w:top w:val="single" w:sz="4" w:space="0" w:color="auto"/>
              <w:left w:val="single" w:sz="4" w:space="0" w:color="auto"/>
              <w:bottom w:val="single" w:sz="4" w:space="0" w:color="auto"/>
            </w:tcBorders>
          </w:tcPr>
          <w:p w14:paraId="238337A5"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CVD – Urban</w:t>
            </w:r>
          </w:p>
        </w:tc>
      </w:tr>
      <w:tr w:rsidR="00B1078E" w:rsidRPr="00EA3E1D" w14:paraId="5D6FD19C" w14:textId="77777777" w:rsidTr="00B1078E">
        <w:trPr>
          <w:trHeight w:val="192"/>
        </w:trPr>
        <w:tc>
          <w:tcPr>
            <w:tcW w:w="2520" w:type="dxa"/>
            <w:tcBorders>
              <w:top w:val="single" w:sz="4" w:space="0" w:color="auto"/>
              <w:left w:val="nil"/>
              <w:right w:val="single" w:sz="4" w:space="0" w:color="auto"/>
            </w:tcBorders>
            <w:shd w:val="clear" w:color="auto" w:fill="auto"/>
            <w:noWrap/>
            <w:vAlign w:val="center"/>
          </w:tcPr>
          <w:p w14:paraId="545036D4"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Public park cover (15·9)</w:t>
            </w:r>
          </w:p>
        </w:tc>
        <w:tc>
          <w:tcPr>
            <w:tcW w:w="1642" w:type="dxa"/>
            <w:tcBorders>
              <w:top w:val="single" w:sz="4" w:space="0" w:color="auto"/>
              <w:left w:val="single" w:sz="4" w:space="0" w:color="auto"/>
              <w:bottom w:val="nil"/>
              <w:right w:val="nil"/>
            </w:tcBorders>
            <w:shd w:val="clear" w:color="auto" w:fill="auto"/>
            <w:noWrap/>
            <w:vAlign w:val="bottom"/>
          </w:tcPr>
          <w:p w14:paraId="245456E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5297C239"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2302F5C7"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439B8A71"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vAlign w:val="bottom"/>
          </w:tcPr>
          <w:p w14:paraId="411ADEE7"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3EE61331"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3" w:type="dxa"/>
            <w:gridSpan w:val="2"/>
            <w:tcBorders>
              <w:top w:val="single" w:sz="4" w:space="0" w:color="auto"/>
              <w:left w:val="nil"/>
              <w:bottom w:val="nil"/>
              <w:right w:val="nil"/>
            </w:tcBorders>
            <w:vAlign w:val="bottom"/>
          </w:tcPr>
          <w:p w14:paraId="1B7B1F63"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r>
      <w:tr w:rsidR="00B1078E" w:rsidRPr="00EA3E1D" w14:paraId="1FF15CA8" w14:textId="77777777" w:rsidTr="00B1078E">
        <w:trPr>
          <w:trHeight w:val="192"/>
        </w:trPr>
        <w:tc>
          <w:tcPr>
            <w:tcW w:w="2520" w:type="dxa"/>
            <w:tcBorders>
              <w:left w:val="nil"/>
              <w:right w:val="single" w:sz="4" w:space="0" w:color="auto"/>
            </w:tcBorders>
            <w:shd w:val="clear" w:color="auto" w:fill="auto"/>
            <w:noWrap/>
            <w:vAlign w:val="center"/>
          </w:tcPr>
          <w:p w14:paraId="25C933CD"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NDVI (0·27)</w:t>
            </w:r>
          </w:p>
        </w:tc>
        <w:tc>
          <w:tcPr>
            <w:tcW w:w="1642" w:type="dxa"/>
            <w:tcBorders>
              <w:top w:val="nil"/>
              <w:left w:val="single" w:sz="4" w:space="0" w:color="auto"/>
              <w:bottom w:val="nil"/>
              <w:right w:val="nil"/>
            </w:tcBorders>
            <w:shd w:val="clear" w:color="auto" w:fill="auto"/>
            <w:noWrap/>
            <w:vAlign w:val="bottom"/>
          </w:tcPr>
          <w:p w14:paraId="32D5090E"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0·98 (0·97, 0·99)</w:t>
            </w:r>
          </w:p>
        </w:tc>
        <w:tc>
          <w:tcPr>
            <w:tcW w:w="1642" w:type="dxa"/>
            <w:tcBorders>
              <w:top w:val="nil"/>
              <w:left w:val="nil"/>
              <w:bottom w:val="nil"/>
              <w:right w:val="nil"/>
            </w:tcBorders>
            <w:shd w:val="clear" w:color="auto" w:fill="auto"/>
            <w:noWrap/>
            <w:vAlign w:val="bottom"/>
          </w:tcPr>
          <w:p w14:paraId="31C91FCD"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0·98 (0·97, 0·98)</w:t>
            </w:r>
          </w:p>
        </w:tc>
        <w:tc>
          <w:tcPr>
            <w:tcW w:w="1642" w:type="dxa"/>
            <w:tcBorders>
              <w:top w:val="nil"/>
              <w:left w:val="nil"/>
              <w:bottom w:val="nil"/>
              <w:right w:val="nil"/>
            </w:tcBorders>
            <w:shd w:val="clear" w:color="auto" w:fill="auto"/>
            <w:noWrap/>
            <w:vAlign w:val="bottom"/>
          </w:tcPr>
          <w:p w14:paraId="0BD5BA6A"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0·98 (0·97, 0·99)</w:t>
            </w:r>
          </w:p>
        </w:tc>
        <w:tc>
          <w:tcPr>
            <w:tcW w:w="1642" w:type="dxa"/>
            <w:tcBorders>
              <w:top w:val="nil"/>
              <w:left w:val="nil"/>
              <w:bottom w:val="nil"/>
              <w:right w:val="nil"/>
            </w:tcBorders>
            <w:shd w:val="clear" w:color="auto" w:fill="auto"/>
            <w:noWrap/>
            <w:vAlign w:val="bottom"/>
          </w:tcPr>
          <w:p w14:paraId="215D3E2A"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(0·98, 1·00)</w:t>
            </w:r>
          </w:p>
        </w:tc>
        <w:tc>
          <w:tcPr>
            <w:tcW w:w="1642" w:type="dxa"/>
            <w:tcBorders>
              <w:top w:val="nil"/>
              <w:left w:val="nil"/>
              <w:bottom w:val="nil"/>
              <w:right w:val="nil"/>
            </w:tcBorders>
            <w:vAlign w:val="bottom"/>
          </w:tcPr>
          <w:p w14:paraId="112699F1"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0·98 (0·97, 0·99)</w:t>
            </w:r>
          </w:p>
        </w:tc>
        <w:tc>
          <w:tcPr>
            <w:tcW w:w="1642" w:type="dxa"/>
            <w:tcBorders>
              <w:top w:val="nil"/>
              <w:left w:val="nil"/>
              <w:bottom w:val="nil"/>
              <w:right w:val="nil"/>
            </w:tcBorders>
            <w:shd w:val="clear" w:color="auto" w:fill="auto"/>
            <w:noWrap/>
            <w:vAlign w:val="bottom"/>
          </w:tcPr>
          <w:p w14:paraId="10EC6D5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0·98 (0·97, 0·99)</w:t>
            </w:r>
          </w:p>
        </w:tc>
        <w:tc>
          <w:tcPr>
            <w:tcW w:w="1643" w:type="dxa"/>
            <w:gridSpan w:val="2"/>
            <w:tcBorders>
              <w:top w:val="nil"/>
              <w:left w:val="nil"/>
              <w:bottom w:val="nil"/>
              <w:right w:val="nil"/>
            </w:tcBorders>
            <w:vAlign w:val="bottom"/>
          </w:tcPr>
          <w:p w14:paraId="592C9F8A"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0·97 (0·96, 0·98)</w:t>
            </w:r>
          </w:p>
        </w:tc>
      </w:tr>
      <w:tr w:rsidR="00B1078E" w:rsidRPr="00EA3E1D" w14:paraId="05281FD4" w14:textId="77777777" w:rsidTr="00B1078E">
        <w:trPr>
          <w:trHeight w:val="192"/>
        </w:trPr>
        <w:tc>
          <w:tcPr>
            <w:tcW w:w="2520" w:type="dxa"/>
            <w:tcBorders>
              <w:left w:val="nil"/>
              <w:bottom w:val="single" w:sz="4" w:space="0" w:color="auto"/>
              <w:right w:val="single" w:sz="4" w:space="0" w:color="auto"/>
            </w:tcBorders>
            <w:shd w:val="clear" w:color="auto" w:fill="auto"/>
            <w:noWrap/>
            <w:vAlign w:val="center"/>
          </w:tcPr>
          <w:p w14:paraId="097C659D"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Blue space cover (3·2)</w:t>
            </w:r>
          </w:p>
        </w:tc>
        <w:tc>
          <w:tcPr>
            <w:tcW w:w="1642" w:type="dxa"/>
            <w:tcBorders>
              <w:top w:val="nil"/>
              <w:left w:val="single" w:sz="4" w:space="0" w:color="auto"/>
              <w:bottom w:val="single" w:sz="4" w:space="0" w:color="auto"/>
              <w:right w:val="nil"/>
            </w:tcBorders>
            <w:shd w:val="clear" w:color="auto" w:fill="auto"/>
            <w:noWrap/>
            <w:vAlign w:val="bottom"/>
          </w:tcPr>
          <w:p w14:paraId="0452DD94"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7A0B2A5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19633E12"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0F50E786"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vAlign w:val="bottom"/>
          </w:tcPr>
          <w:p w14:paraId="2DCEAEE3"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6D17FE92"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3" w:type="dxa"/>
            <w:gridSpan w:val="2"/>
            <w:tcBorders>
              <w:top w:val="nil"/>
              <w:left w:val="nil"/>
              <w:bottom w:val="single" w:sz="4" w:space="0" w:color="auto"/>
              <w:right w:val="nil"/>
            </w:tcBorders>
            <w:vAlign w:val="bottom"/>
          </w:tcPr>
          <w:p w14:paraId="4C8E2B83"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r>
      <w:tr w:rsidR="00B1078E" w:rsidRPr="00EA3E1D" w14:paraId="22BC3E6D" w14:textId="77777777" w:rsidTr="00B1078E">
        <w:trPr>
          <w:gridAfter w:val="1"/>
          <w:wAfter w:w="19" w:type="dxa"/>
          <w:trHeight w:val="192"/>
        </w:trPr>
        <w:tc>
          <w:tcPr>
            <w:tcW w:w="2520" w:type="dxa"/>
            <w:tcBorders>
              <w:top w:val="single" w:sz="4" w:space="0" w:color="auto"/>
              <w:left w:val="nil"/>
              <w:bottom w:val="single" w:sz="4" w:space="0" w:color="auto"/>
              <w:right w:val="single" w:sz="4" w:space="0" w:color="auto"/>
            </w:tcBorders>
            <w:shd w:val="clear" w:color="auto" w:fill="auto"/>
            <w:noWrap/>
            <w:vAlign w:val="center"/>
          </w:tcPr>
          <w:p w14:paraId="6F59B652" w14:textId="77777777" w:rsidR="00B1078E" w:rsidRPr="00EA3E1D" w:rsidRDefault="00B1078E" w:rsidP="00B1078E">
            <w:pPr>
              <w:pStyle w:val="NoSpacing"/>
              <w:rPr>
                <w:rFonts w:ascii="Times New Roman" w:hAnsi="Times New Roman" w:cs="Times New Roman"/>
                <w:b/>
                <w:bCs/>
                <w:sz w:val="16"/>
                <w:szCs w:val="16"/>
              </w:rPr>
            </w:pPr>
          </w:p>
        </w:tc>
        <w:tc>
          <w:tcPr>
            <w:tcW w:w="11476" w:type="dxa"/>
            <w:gridSpan w:val="7"/>
            <w:tcBorders>
              <w:top w:val="single" w:sz="4" w:space="0" w:color="auto"/>
              <w:left w:val="single" w:sz="4" w:space="0" w:color="auto"/>
              <w:bottom w:val="single" w:sz="4" w:space="0" w:color="auto"/>
            </w:tcBorders>
          </w:tcPr>
          <w:p w14:paraId="5FB44B5E"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RSD – Full</w:t>
            </w:r>
          </w:p>
        </w:tc>
      </w:tr>
      <w:tr w:rsidR="00B1078E" w:rsidRPr="00EA3E1D" w14:paraId="52650825" w14:textId="77777777" w:rsidTr="00B1078E">
        <w:trPr>
          <w:trHeight w:val="192"/>
        </w:trPr>
        <w:tc>
          <w:tcPr>
            <w:tcW w:w="2520" w:type="dxa"/>
            <w:tcBorders>
              <w:top w:val="single" w:sz="4" w:space="0" w:color="auto"/>
              <w:left w:val="nil"/>
              <w:right w:val="single" w:sz="4" w:space="0" w:color="auto"/>
            </w:tcBorders>
            <w:shd w:val="clear" w:color="auto" w:fill="auto"/>
            <w:noWrap/>
            <w:vAlign w:val="center"/>
          </w:tcPr>
          <w:p w14:paraId="2AB396F1"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Public park cover (15·9)</w:t>
            </w:r>
          </w:p>
        </w:tc>
        <w:tc>
          <w:tcPr>
            <w:tcW w:w="1642" w:type="dxa"/>
            <w:tcBorders>
              <w:top w:val="single" w:sz="4" w:space="0" w:color="auto"/>
              <w:left w:val="single" w:sz="4" w:space="0" w:color="auto"/>
              <w:bottom w:val="nil"/>
              <w:right w:val="nil"/>
            </w:tcBorders>
            <w:shd w:val="clear" w:color="auto" w:fill="auto"/>
            <w:noWrap/>
            <w:vAlign w:val="bottom"/>
          </w:tcPr>
          <w:p w14:paraId="46B26FF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467F585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1E6BC444"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1·01)</w:t>
            </w:r>
          </w:p>
        </w:tc>
        <w:tc>
          <w:tcPr>
            <w:tcW w:w="1642" w:type="dxa"/>
            <w:tcBorders>
              <w:top w:val="single" w:sz="4" w:space="0" w:color="auto"/>
              <w:left w:val="nil"/>
              <w:bottom w:val="nil"/>
              <w:right w:val="nil"/>
            </w:tcBorders>
            <w:shd w:val="clear" w:color="auto" w:fill="auto"/>
            <w:noWrap/>
            <w:vAlign w:val="bottom"/>
          </w:tcPr>
          <w:p w14:paraId="275517F5"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vAlign w:val="bottom"/>
          </w:tcPr>
          <w:p w14:paraId="0684CEC6"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2FFD4152"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3" w:type="dxa"/>
            <w:gridSpan w:val="2"/>
            <w:tcBorders>
              <w:top w:val="single" w:sz="4" w:space="0" w:color="auto"/>
              <w:left w:val="nil"/>
              <w:bottom w:val="nil"/>
              <w:right w:val="nil"/>
            </w:tcBorders>
            <w:vAlign w:val="bottom"/>
          </w:tcPr>
          <w:p w14:paraId="21BFB3E4"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r>
      <w:tr w:rsidR="00B1078E" w:rsidRPr="00EA3E1D" w14:paraId="6F0D0779" w14:textId="77777777" w:rsidTr="00B1078E">
        <w:trPr>
          <w:trHeight w:val="143"/>
        </w:trPr>
        <w:tc>
          <w:tcPr>
            <w:tcW w:w="2520" w:type="dxa"/>
            <w:tcBorders>
              <w:left w:val="nil"/>
              <w:right w:val="single" w:sz="4" w:space="0" w:color="auto"/>
            </w:tcBorders>
            <w:shd w:val="clear" w:color="auto" w:fill="auto"/>
            <w:noWrap/>
            <w:vAlign w:val="center"/>
          </w:tcPr>
          <w:p w14:paraId="08F656E0"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NDVI (0·27)</w:t>
            </w:r>
          </w:p>
        </w:tc>
        <w:tc>
          <w:tcPr>
            <w:tcW w:w="1642" w:type="dxa"/>
            <w:tcBorders>
              <w:top w:val="nil"/>
              <w:left w:val="single" w:sz="4" w:space="0" w:color="auto"/>
              <w:bottom w:val="nil"/>
              <w:right w:val="nil"/>
            </w:tcBorders>
            <w:shd w:val="clear" w:color="auto" w:fill="auto"/>
            <w:noWrap/>
            <w:vAlign w:val="bottom"/>
          </w:tcPr>
          <w:p w14:paraId="6D6F8446"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(0·98, 1·00)</w:t>
            </w:r>
          </w:p>
        </w:tc>
        <w:tc>
          <w:tcPr>
            <w:tcW w:w="1642" w:type="dxa"/>
            <w:tcBorders>
              <w:top w:val="nil"/>
              <w:left w:val="nil"/>
              <w:bottom w:val="nil"/>
              <w:right w:val="nil"/>
            </w:tcBorders>
            <w:shd w:val="clear" w:color="auto" w:fill="auto"/>
            <w:noWrap/>
            <w:vAlign w:val="bottom"/>
          </w:tcPr>
          <w:p w14:paraId="6A325468"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nil"/>
              <w:left w:val="nil"/>
              <w:bottom w:val="nil"/>
              <w:right w:val="nil"/>
            </w:tcBorders>
            <w:shd w:val="clear" w:color="auto" w:fill="auto"/>
            <w:noWrap/>
            <w:vAlign w:val="bottom"/>
          </w:tcPr>
          <w:p w14:paraId="27DD180A"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0·98 (0·98, 0·99)</w:t>
            </w:r>
          </w:p>
        </w:tc>
        <w:tc>
          <w:tcPr>
            <w:tcW w:w="1642" w:type="dxa"/>
            <w:tcBorders>
              <w:top w:val="nil"/>
              <w:left w:val="nil"/>
              <w:bottom w:val="nil"/>
              <w:right w:val="nil"/>
            </w:tcBorders>
            <w:shd w:val="clear" w:color="auto" w:fill="auto"/>
            <w:noWrap/>
            <w:vAlign w:val="bottom"/>
          </w:tcPr>
          <w:p w14:paraId="67EFED94"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1·02 (1·01, 1·03)</w:t>
            </w:r>
          </w:p>
        </w:tc>
        <w:tc>
          <w:tcPr>
            <w:tcW w:w="1642" w:type="dxa"/>
            <w:tcBorders>
              <w:top w:val="nil"/>
              <w:left w:val="nil"/>
              <w:bottom w:val="nil"/>
              <w:right w:val="nil"/>
            </w:tcBorders>
            <w:vAlign w:val="bottom"/>
          </w:tcPr>
          <w:p w14:paraId="7A7A3E93"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(0·98, 1·00)</w:t>
            </w:r>
          </w:p>
        </w:tc>
        <w:tc>
          <w:tcPr>
            <w:tcW w:w="1642" w:type="dxa"/>
            <w:tcBorders>
              <w:top w:val="nil"/>
              <w:left w:val="nil"/>
              <w:bottom w:val="nil"/>
              <w:right w:val="nil"/>
            </w:tcBorders>
            <w:shd w:val="clear" w:color="auto" w:fill="auto"/>
            <w:noWrap/>
            <w:vAlign w:val="bottom"/>
          </w:tcPr>
          <w:p w14:paraId="3EBF784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0·98 (0·97, 0·99)</w:t>
            </w:r>
          </w:p>
        </w:tc>
        <w:tc>
          <w:tcPr>
            <w:tcW w:w="1643" w:type="dxa"/>
            <w:gridSpan w:val="2"/>
            <w:tcBorders>
              <w:top w:val="nil"/>
              <w:left w:val="nil"/>
              <w:bottom w:val="nil"/>
              <w:right w:val="nil"/>
            </w:tcBorders>
            <w:vAlign w:val="bottom"/>
          </w:tcPr>
          <w:p w14:paraId="527509FD"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1·01)</w:t>
            </w:r>
          </w:p>
        </w:tc>
      </w:tr>
      <w:tr w:rsidR="00B1078E" w:rsidRPr="00EA3E1D" w14:paraId="44FD5F23" w14:textId="77777777" w:rsidTr="00B1078E">
        <w:trPr>
          <w:trHeight w:val="192"/>
        </w:trPr>
        <w:tc>
          <w:tcPr>
            <w:tcW w:w="2520" w:type="dxa"/>
            <w:tcBorders>
              <w:left w:val="nil"/>
              <w:bottom w:val="single" w:sz="4" w:space="0" w:color="auto"/>
              <w:right w:val="single" w:sz="4" w:space="0" w:color="auto"/>
            </w:tcBorders>
            <w:shd w:val="clear" w:color="auto" w:fill="auto"/>
            <w:noWrap/>
            <w:vAlign w:val="center"/>
          </w:tcPr>
          <w:p w14:paraId="61E4A19E"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Blue space cover (3·2)</w:t>
            </w:r>
          </w:p>
        </w:tc>
        <w:tc>
          <w:tcPr>
            <w:tcW w:w="1642" w:type="dxa"/>
            <w:tcBorders>
              <w:top w:val="nil"/>
              <w:left w:val="single" w:sz="4" w:space="0" w:color="auto"/>
              <w:bottom w:val="single" w:sz="4" w:space="0" w:color="auto"/>
              <w:right w:val="nil"/>
            </w:tcBorders>
            <w:shd w:val="clear" w:color="auto" w:fill="auto"/>
            <w:noWrap/>
            <w:vAlign w:val="bottom"/>
          </w:tcPr>
          <w:p w14:paraId="1B19238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2E75F3C6"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7E15D01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shd w:val="clear" w:color="auto" w:fill="auto"/>
            <w:noWrap/>
            <w:vAlign w:val="bottom"/>
          </w:tcPr>
          <w:p w14:paraId="25DBED8D"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single" w:sz="4" w:space="0" w:color="auto"/>
              <w:right w:val="nil"/>
            </w:tcBorders>
            <w:vAlign w:val="bottom"/>
          </w:tcPr>
          <w:p w14:paraId="0134F7E5"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nil"/>
              <w:left w:val="nil"/>
              <w:bottom w:val="single" w:sz="4" w:space="0" w:color="auto"/>
              <w:right w:val="nil"/>
            </w:tcBorders>
            <w:shd w:val="clear" w:color="auto" w:fill="auto"/>
            <w:noWrap/>
            <w:vAlign w:val="bottom"/>
          </w:tcPr>
          <w:p w14:paraId="6816AC1C"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3" w:type="dxa"/>
            <w:gridSpan w:val="2"/>
            <w:tcBorders>
              <w:top w:val="nil"/>
              <w:left w:val="nil"/>
              <w:bottom w:val="single" w:sz="4" w:space="0" w:color="auto"/>
              <w:right w:val="nil"/>
            </w:tcBorders>
            <w:vAlign w:val="bottom"/>
          </w:tcPr>
          <w:p w14:paraId="48D5968C"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r>
      <w:tr w:rsidR="00B1078E" w:rsidRPr="00EA3E1D" w14:paraId="48C0B2C1" w14:textId="77777777" w:rsidTr="00B1078E">
        <w:trPr>
          <w:trHeight w:val="192"/>
        </w:trPr>
        <w:tc>
          <w:tcPr>
            <w:tcW w:w="2520" w:type="dxa"/>
            <w:tcBorders>
              <w:top w:val="single" w:sz="4" w:space="0" w:color="auto"/>
              <w:left w:val="nil"/>
              <w:bottom w:val="single" w:sz="4" w:space="0" w:color="auto"/>
              <w:right w:val="single" w:sz="4" w:space="0" w:color="auto"/>
            </w:tcBorders>
            <w:shd w:val="clear" w:color="auto" w:fill="auto"/>
            <w:noWrap/>
            <w:vAlign w:val="center"/>
          </w:tcPr>
          <w:p w14:paraId="4737993B" w14:textId="77777777" w:rsidR="00B1078E" w:rsidRPr="00EA3E1D" w:rsidRDefault="00B1078E" w:rsidP="00B1078E">
            <w:pPr>
              <w:pStyle w:val="NoSpacing"/>
              <w:rPr>
                <w:rFonts w:ascii="Times New Roman" w:hAnsi="Times New Roman" w:cs="Times New Roman"/>
                <w:b/>
                <w:bCs/>
                <w:sz w:val="16"/>
                <w:szCs w:val="16"/>
              </w:rPr>
            </w:pPr>
          </w:p>
        </w:tc>
        <w:tc>
          <w:tcPr>
            <w:tcW w:w="11495" w:type="dxa"/>
            <w:gridSpan w:val="8"/>
            <w:tcBorders>
              <w:top w:val="single" w:sz="4" w:space="0" w:color="auto"/>
              <w:left w:val="single" w:sz="4" w:space="0" w:color="auto"/>
              <w:bottom w:val="single" w:sz="4" w:space="0" w:color="auto"/>
              <w:right w:val="nil"/>
            </w:tcBorders>
            <w:shd w:val="clear" w:color="auto" w:fill="auto"/>
            <w:noWrap/>
            <w:vAlign w:val="center"/>
          </w:tcPr>
          <w:p w14:paraId="3AFE4C44" w14:textId="77777777" w:rsidR="00B1078E" w:rsidRPr="00EA3E1D" w:rsidRDefault="00B1078E" w:rsidP="00B1078E">
            <w:pPr>
              <w:pStyle w:val="NoSpacing"/>
              <w:jc w:val="center"/>
              <w:rPr>
                <w:rFonts w:ascii="Times New Roman" w:hAnsi="Times New Roman" w:cs="Times New Roman"/>
                <w:b/>
                <w:bCs/>
                <w:sz w:val="16"/>
                <w:szCs w:val="16"/>
              </w:rPr>
            </w:pPr>
            <w:r w:rsidRPr="00EA3E1D">
              <w:rPr>
                <w:rFonts w:ascii="Times New Roman" w:hAnsi="Times New Roman" w:cs="Times New Roman"/>
                <w:b/>
                <w:bCs/>
                <w:sz w:val="16"/>
                <w:szCs w:val="16"/>
              </w:rPr>
              <w:t>RSD - Urban</w:t>
            </w:r>
          </w:p>
        </w:tc>
      </w:tr>
      <w:tr w:rsidR="00B1078E" w:rsidRPr="00EA3E1D" w14:paraId="6F413FE8" w14:textId="77777777" w:rsidTr="00B1078E">
        <w:trPr>
          <w:trHeight w:val="192"/>
        </w:trPr>
        <w:tc>
          <w:tcPr>
            <w:tcW w:w="2520" w:type="dxa"/>
            <w:tcBorders>
              <w:top w:val="single" w:sz="4" w:space="0" w:color="auto"/>
              <w:left w:val="nil"/>
              <w:right w:val="single" w:sz="4" w:space="0" w:color="auto"/>
            </w:tcBorders>
            <w:shd w:val="clear" w:color="auto" w:fill="auto"/>
            <w:noWrap/>
            <w:vAlign w:val="center"/>
          </w:tcPr>
          <w:p w14:paraId="23967F17"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Public park cover (15·9)</w:t>
            </w:r>
          </w:p>
        </w:tc>
        <w:tc>
          <w:tcPr>
            <w:tcW w:w="1642" w:type="dxa"/>
            <w:tcBorders>
              <w:top w:val="single" w:sz="4" w:space="0" w:color="auto"/>
              <w:left w:val="single" w:sz="4" w:space="0" w:color="auto"/>
              <w:bottom w:val="nil"/>
              <w:right w:val="nil"/>
            </w:tcBorders>
            <w:shd w:val="clear" w:color="auto" w:fill="auto"/>
            <w:noWrap/>
            <w:vAlign w:val="bottom"/>
          </w:tcPr>
          <w:p w14:paraId="5F965B3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single" w:sz="4" w:space="0" w:color="auto"/>
              <w:left w:val="nil"/>
              <w:bottom w:val="nil"/>
              <w:right w:val="nil"/>
            </w:tcBorders>
            <w:shd w:val="clear" w:color="auto" w:fill="auto"/>
            <w:noWrap/>
            <w:vAlign w:val="bottom"/>
          </w:tcPr>
          <w:p w14:paraId="2635255E"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single" w:sz="4" w:space="0" w:color="auto"/>
              <w:left w:val="nil"/>
              <w:bottom w:val="nil"/>
              <w:right w:val="nil"/>
            </w:tcBorders>
            <w:shd w:val="clear" w:color="auto" w:fill="auto"/>
            <w:noWrap/>
            <w:vAlign w:val="bottom"/>
          </w:tcPr>
          <w:p w14:paraId="5FE75453"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2" w:type="dxa"/>
            <w:tcBorders>
              <w:top w:val="single" w:sz="4" w:space="0" w:color="auto"/>
              <w:left w:val="nil"/>
              <w:bottom w:val="nil"/>
              <w:right w:val="nil"/>
            </w:tcBorders>
            <w:shd w:val="clear" w:color="auto" w:fill="auto"/>
            <w:noWrap/>
            <w:vAlign w:val="bottom"/>
          </w:tcPr>
          <w:p w14:paraId="489AD17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vAlign w:val="bottom"/>
          </w:tcPr>
          <w:p w14:paraId="766194FE"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0·99 (0·99, 1·00)</w:t>
            </w:r>
          </w:p>
        </w:tc>
        <w:tc>
          <w:tcPr>
            <w:tcW w:w="1642" w:type="dxa"/>
            <w:tcBorders>
              <w:top w:val="single" w:sz="4" w:space="0" w:color="auto"/>
              <w:left w:val="nil"/>
              <w:bottom w:val="nil"/>
              <w:right w:val="nil"/>
            </w:tcBorders>
            <w:shd w:val="clear" w:color="auto" w:fill="auto"/>
            <w:noWrap/>
            <w:vAlign w:val="bottom"/>
          </w:tcPr>
          <w:p w14:paraId="189DD647"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c>
          <w:tcPr>
            <w:tcW w:w="1643" w:type="dxa"/>
            <w:gridSpan w:val="2"/>
            <w:tcBorders>
              <w:top w:val="single" w:sz="4" w:space="0" w:color="auto"/>
              <w:left w:val="nil"/>
              <w:bottom w:val="nil"/>
              <w:right w:val="nil"/>
            </w:tcBorders>
            <w:vAlign w:val="bottom"/>
          </w:tcPr>
          <w:p w14:paraId="7A321AF6"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(0·99, 1·00)</w:t>
            </w:r>
          </w:p>
        </w:tc>
      </w:tr>
      <w:tr w:rsidR="00B1078E" w:rsidRPr="00EA3E1D" w14:paraId="06A4D204" w14:textId="77777777" w:rsidTr="00B1078E">
        <w:trPr>
          <w:trHeight w:val="192"/>
        </w:trPr>
        <w:tc>
          <w:tcPr>
            <w:tcW w:w="2520" w:type="dxa"/>
            <w:tcBorders>
              <w:left w:val="nil"/>
              <w:right w:val="single" w:sz="4" w:space="0" w:color="auto"/>
            </w:tcBorders>
            <w:shd w:val="clear" w:color="auto" w:fill="auto"/>
            <w:noWrap/>
            <w:vAlign w:val="center"/>
          </w:tcPr>
          <w:p w14:paraId="353DA0E4"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NDVI (0·27)</w:t>
            </w:r>
          </w:p>
        </w:tc>
        <w:tc>
          <w:tcPr>
            <w:tcW w:w="1642" w:type="dxa"/>
            <w:tcBorders>
              <w:top w:val="nil"/>
              <w:left w:val="single" w:sz="4" w:space="0" w:color="auto"/>
              <w:bottom w:val="nil"/>
              <w:right w:val="nil"/>
            </w:tcBorders>
            <w:shd w:val="clear" w:color="auto" w:fill="auto"/>
            <w:noWrap/>
            <w:vAlign w:val="bottom"/>
          </w:tcPr>
          <w:p w14:paraId="18521D2D"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1·02 (1·00, 1·03)</w:t>
            </w:r>
          </w:p>
        </w:tc>
        <w:tc>
          <w:tcPr>
            <w:tcW w:w="1642" w:type="dxa"/>
            <w:tcBorders>
              <w:top w:val="nil"/>
              <w:left w:val="nil"/>
              <w:bottom w:val="nil"/>
              <w:right w:val="nil"/>
            </w:tcBorders>
            <w:shd w:val="clear" w:color="auto" w:fill="auto"/>
            <w:noWrap/>
            <w:vAlign w:val="bottom"/>
          </w:tcPr>
          <w:p w14:paraId="213612BA"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1·02 (1·00, 1·03)</w:t>
            </w:r>
          </w:p>
        </w:tc>
        <w:tc>
          <w:tcPr>
            <w:tcW w:w="1642" w:type="dxa"/>
            <w:tcBorders>
              <w:top w:val="nil"/>
              <w:left w:val="nil"/>
              <w:bottom w:val="nil"/>
              <w:right w:val="nil"/>
            </w:tcBorders>
            <w:shd w:val="clear" w:color="auto" w:fill="auto"/>
            <w:noWrap/>
            <w:vAlign w:val="bottom"/>
          </w:tcPr>
          <w:p w14:paraId="32793912"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1·02 (1·00, 1·03)</w:t>
            </w:r>
          </w:p>
        </w:tc>
        <w:tc>
          <w:tcPr>
            <w:tcW w:w="1642" w:type="dxa"/>
            <w:tcBorders>
              <w:top w:val="nil"/>
              <w:left w:val="nil"/>
              <w:bottom w:val="nil"/>
              <w:right w:val="nil"/>
            </w:tcBorders>
            <w:shd w:val="clear" w:color="auto" w:fill="auto"/>
            <w:noWrap/>
            <w:vAlign w:val="bottom"/>
          </w:tcPr>
          <w:p w14:paraId="6F8F36A9"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1·03 (1·01, 1·04)</w:t>
            </w:r>
          </w:p>
        </w:tc>
        <w:tc>
          <w:tcPr>
            <w:tcW w:w="1642" w:type="dxa"/>
            <w:tcBorders>
              <w:top w:val="nil"/>
              <w:left w:val="nil"/>
              <w:bottom w:val="nil"/>
              <w:right w:val="nil"/>
            </w:tcBorders>
            <w:vAlign w:val="bottom"/>
          </w:tcPr>
          <w:p w14:paraId="6430EA67"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1·02 (1·01, 1·03)</w:t>
            </w:r>
          </w:p>
        </w:tc>
        <w:tc>
          <w:tcPr>
            <w:tcW w:w="1642" w:type="dxa"/>
            <w:tcBorders>
              <w:top w:val="nil"/>
              <w:left w:val="nil"/>
              <w:bottom w:val="nil"/>
              <w:right w:val="nil"/>
            </w:tcBorders>
            <w:shd w:val="clear" w:color="auto" w:fill="auto"/>
            <w:noWrap/>
            <w:vAlign w:val="bottom"/>
          </w:tcPr>
          <w:p w14:paraId="439D58B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1·01 (1·00, 1·03)</w:t>
            </w:r>
          </w:p>
        </w:tc>
        <w:tc>
          <w:tcPr>
            <w:tcW w:w="1643" w:type="dxa"/>
            <w:gridSpan w:val="2"/>
            <w:tcBorders>
              <w:top w:val="nil"/>
              <w:left w:val="nil"/>
              <w:bottom w:val="nil"/>
              <w:right w:val="nil"/>
            </w:tcBorders>
            <w:vAlign w:val="bottom"/>
          </w:tcPr>
          <w:p w14:paraId="06625D6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1·02 (1·01, 1·04)</w:t>
            </w:r>
          </w:p>
        </w:tc>
      </w:tr>
      <w:tr w:rsidR="00B1078E" w:rsidRPr="00EA3E1D" w14:paraId="4C41AA0F" w14:textId="77777777" w:rsidTr="00B1078E">
        <w:trPr>
          <w:trHeight w:val="192"/>
        </w:trPr>
        <w:tc>
          <w:tcPr>
            <w:tcW w:w="2520" w:type="dxa"/>
            <w:tcBorders>
              <w:left w:val="nil"/>
              <w:right w:val="single" w:sz="4" w:space="0" w:color="auto"/>
            </w:tcBorders>
            <w:shd w:val="clear" w:color="auto" w:fill="auto"/>
            <w:noWrap/>
            <w:vAlign w:val="center"/>
          </w:tcPr>
          <w:p w14:paraId="7C19A862" w14:textId="77777777" w:rsidR="00B1078E" w:rsidRPr="00EA3E1D" w:rsidRDefault="00B1078E" w:rsidP="00B1078E">
            <w:pPr>
              <w:pStyle w:val="NoSpacing"/>
              <w:rPr>
                <w:rFonts w:ascii="Times New Roman" w:hAnsi="Times New Roman" w:cs="Times New Roman"/>
                <w:b/>
                <w:bCs/>
                <w:sz w:val="16"/>
                <w:szCs w:val="16"/>
              </w:rPr>
            </w:pPr>
            <w:r w:rsidRPr="00EA3E1D">
              <w:rPr>
                <w:rFonts w:ascii="Times New Roman" w:hAnsi="Times New Roman" w:cs="Times New Roman"/>
                <w:b/>
                <w:bCs/>
                <w:sz w:val="16"/>
                <w:szCs w:val="16"/>
              </w:rPr>
              <w:t>% Blue space cover (3·2)</w:t>
            </w:r>
          </w:p>
        </w:tc>
        <w:tc>
          <w:tcPr>
            <w:tcW w:w="1642" w:type="dxa"/>
            <w:tcBorders>
              <w:top w:val="nil"/>
              <w:left w:val="single" w:sz="4" w:space="0" w:color="auto"/>
              <w:bottom w:val="nil"/>
              <w:right w:val="nil"/>
            </w:tcBorders>
            <w:shd w:val="clear" w:color="auto" w:fill="auto"/>
            <w:noWrap/>
            <w:vAlign w:val="bottom"/>
          </w:tcPr>
          <w:p w14:paraId="7F5DBBFF"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nil"/>
              <w:right w:val="nil"/>
            </w:tcBorders>
            <w:shd w:val="clear" w:color="auto" w:fill="auto"/>
            <w:noWrap/>
            <w:vAlign w:val="bottom"/>
          </w:tcPr>
          <w:p w14:paraId="4A022457"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nil"/>
              <w:right w:val="nil"/>
            </w:tcBorders>
            <w:shd w:val="clear" w:color="auto" w:fill="auto"/>
            <w:noWrap/>
            <w:vAlign w:val="bottom"/>
          </w:tcPr>
          <w:p w14:paraId="4F38FD70"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nil"/>
              <w:right w:val="nil"/>
            </w:tcBorders>
            <w:shd w:val="clear" w:color="auto" w:fill="auto"/>
            <w:noWrap/>
            <w:vAlign w:val="bottom"/>
          </w:tcPr>
          <w:p w14:paraId="585F97BD"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2" w:type="dxa"/>
            <w:tcBorders>
              <w:top w:val="nil"/>
              <w:left w:val="nil"/>
              <w:bottom w:val="nil"/>
              <w:right w:val="nil"/>
            </w:tcBorders>
            <w:vAlign w:val="bottom"/>
          </w:tcPr>
          <w:p w14:paraId="664D16A2"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1·01)</w:t>
            </w:r>
          </w:p>
        </w:tc>
        <w:tc>
          <w:tcPr>
            <w:tcW w:w="1642" w:type="dxa"/>
            <w:tcBorders>
              <w:top w:val="nil"/>
              <w:left w:val="nil"/>
              <w:bottom w:val="nil"/>
              <w:right w:val="nil"/>
            </w:tcBorders>
            <w:shd w:val="clear" w:color="auto" w:fill="auto"/>
            <w:noWrap/>
            <w:vAlign w:val="bottom"/>
          </w:tcPr>
          <w:p w14:paraId="366A310D"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c>
          <w:tcPr>
            <w:tcW w:w="1643" w:type="dxa"/>
            <w:gridSpan w:val="2"/>
            <w:tcBorders>
              <w:top w:val="nil"/>
              <w:left w:val="nil"/>
              <w:bottom w:val="nil"/>
              <w:right w:val="nil"/>
            </w:tcBorders>
            <w:vAlign w:val="bottom"/>
          </w:tcPr>
          <w:p w14:paraId="22E87E4A" w14:textId="77777777" w:rsidR="00B1078E" w:rsidRPr="00EA3E1D" w:rsidRDefault="00B1078E" w:rsidP="00B1078E">
            <w:pPr>
              <w:pStyle w:val="NoSpacing"/>
              <w:jc w:val="center"/>
              <w:rPr>
                <w:rFonts w:ascii="Times New Roman" w:hAnsi="Times New Roman" w:cs="Times New Roman"/>
                <w:bCs/>
                <w:sz w:val="16"/>
                <w:szCs w:val="16"/>
              </w:rPr>
            </w:pPr>
            <w:r w:rsidRPr="00EA3E1D">
              <w:rPr>
                <w:rFonts w:ascii="Times New Roman" w:hAnsi="Times New Roman" w:cs="Times New Roman"/>
                <w:bCs/>
                <w:sz w:val="16"/>
                <w:szCs w:val="16"/>
              </w:rPr>
              <w:t>1·00 (1·00, 1·00)</w:t>
            </w:r>
          </w:p>
        </w:tc>
      </w:tr>
    </w:tbl>
    <w:p w14:paraId="0E25DEBD" w14:textId="77777777" w:rsidR="00B1078E" w:rsidRPr="00EA3E1D" w:rsidRDefault="00B1078E" w:rsidP="00B1078E">
      <w:pPr>
        <w:jc w:val="both"/>
        <w:rPr>
          <w:rFonts w:ascii="Times New Roman" w:hAnsi="Times New Roman" w:cs="Times New Roman"/>
          <w:b/>
          <w:bCs/>
          <w:sz w:val="20"/>
          <w:szCs w:val="20"/>
          <w:lang w:val="en-GB"/>
        </w:rPr>
      </w:pPr>
    </w:p>
    <w:p w14:paraId="5DDEB19B" w14:textId="13A2CC4A" w:rsidR="00B1078E" w:rsidRPr="00EA3E1D" w:rsidRDefault="00B1078E" w:rsidP="00B1078E">
      <w:pPr>
        <w:jc w:val="both"/>
        <w:rPr>
          <w:rFonts w:ascii="Times New Roman" w:hAnsi="Times New Roman" w:cs="Times New Roman"/>
          <w:sz w:val="20"/>
          <w:szCs w:val="20"/>
        </w:rPr>
      </w:pPr>
      <w:proofErr w:type="spellStart"/>
      <w:proofErr w:type="gramStart"/>
      <w:r w:rsidRPr="00EA3E1D">
        <w:rPr>
          <w:rFonts w:ascii="Times New Roman" w:hAnsi="Times New Roman" w:cs="Times New Roman"/>
          <w:sz w:val="20"/>
          <w:szCs w:val="20"/>
          <w:vertAlign w:val="superscript"/>
          <w:lang w:val="en-GB"/>
        </w:rPr>
        <w:t>a</w:t>
      </w:r>
      <w:proofErr w:type="spellEnd"/>
      <w:proofErr w:type="gramEnd"/>
      <w:r w:rsidRPr="00EA3E1D">
        <w:rPr>
          <w:rFonts w:ascii="Times New Roman" w:hAnsi="Times New Roman" w:cs="Times New Roman"/>
          <w:sz w:val="20"/>
          <w:szCs w:val="20"/>
          <w:vertAlign w:val="superscript"/>
          <w:lang w:val="en-GB"/>
        </w:rPr>
        <w:t xml:space="preserve"> </w:t>
      </w:r>
      <w:r w:rsidRPr="00EA3E1D">
        <w:rPr>
          <w:rFonts w:ascii="Times New Roman" w:hAnsi="Times New Roman" w:cs="Times New Roman"/>
          <w:sz w:val="20"/>
          <w:szCs w:val="20"/>
          <w:lang w:val="en-GB"/>
        </w:rPr>
        <w:t xml:space="preserve">Associations are expressed per IQR increase of the </w:t>
      </w:r>
      <w:r w:rsidR="008230C0" w:rsidRPr="00EA3E1D">
        <w:rPr>
          <w:rFonts w:ascii="Times New Roman" w:hAnsi="Times New Roman" w:cs="Times New Roman"/>
          <w:sz w:val="20"/>
          <w:szCs w:val="20"/>
          <w:lang w:val="en-GB"/>
        </w:rPr>
        <w:t>CVD</w:t>
      </w:r>
      <w:r w:rsidRPr="00EA3E1D">
        <w:rPr>
          <w:rFonts w:ascii="Times New Roman" w:hAnsi="Times New Roman" w:cs="Times New Roman"/>
          <w:sz w:val="20"/>
          <w:szCs w:val="20"/>
          <w:lang w:val="en-GB"/>
        </w:rPr>
        <w:t xml:space="preserve"> hospitalization (full) cohort. Models included percent public park cover, NDVI, percent blue space cover and were adjusted for calendar year, region, US census covariates, % ever smoked, summer temperature, summer specific humidity, summer total precipitation, an offset for total person-time and strata for all possible combinations of sex, race, Medicaid Eligibility, age at study entry (2-year categories), and follow-up year.</w:t>
      </w:r>
      <w:r w:rsidRPr="00EA3E1D">
        <w:rPr>
          <w:rFonts w:ascii="Times New Roman" w:hAnsi="Times New Roman" w:cs="Times New Roman"/>
          <w:sz w:val="20"/>
          <w:szCs w:val="20"/>
        </w:rPr>
        <w:t xml:space="preserve"> Urban cohorts included all person years in zip codes with a population density of 1000+ persons/mile</w:t>
      </w:r>
      <w:r w:rsidRPr="00EA3E1D">
        <w:rPr>
          <w:rFonts w:ascii="Times New Roman" w:hAnsi="Times New Roman" w:cs="Times New Roman"/>
          <w:sz w:val="20"/>
          <w:szCs w:val="20"/>
          <w:vertAlign w:val="superscript"/>
        </w:rPr>
        <w:t>2</w:t>
      </w:r>
      <w:r w:rsidRPr="00EA3E1D">
        <w:rPr>
          <w:rFonts w:ascii="Times New Roman" w:hAnsi="Times New Roman" w:cs="Times New Roman"/>
          <w:sz w:val="20"/>
          <w:szCs w:val="20"/>
        </w:rPr>
        <w:t xml:space="preserve">. </w:t>
      </w:r>
    </w:p>
    <w:p w14:paraId="435062F2" w14:textId="71B4BF05" w:rsidR="00B1078E" w:rsidRPr="00EA3E1D" w:rsidRDefault="00B1078E" w:rsidP="00B1078E">
      <w:pPr>
        <w:jc w:val="both"/>
        <w:rPr>
          <w:rFonts w:ascii="Times New Roman" w:hAnsi="Times New Roman" w:cs="Times New Roman"/>
          <w:sz w:val="20"/>
          <w:szCs w:val="20"/>
        </w:rPr>
      </w:pPr>
      <w:proofErr w:type="gramStart"/>
      <w:r w:rsidRPr="00EA3E1D">
        <w:rPr>
          <w:rFonts w:ascii="Times New Roman" w:hAnsi="Times New Roman" w:cs="Times New Roman"/>
          <w:sz w:val="20"/>
          <w:szCs w:val="20"/>
          <w:vertAlign w:val="superscript"/>
        </w:rPr>
        <w:t>b</w:t>
      </w:r>
      <w:proofErr w:type="gramEnd"/>
      <w:r w:rsidRPr="00EA3E1D">
        <w:rPr>
          <w:rFonts w:ascii="Times New Roman" w:hAnsi="Times New Roman" w:cs="Times New Roman"/>
          <w:sz w:val="20"/>
          <w:szCs w:val="20"/>
        </w:rPr>
        <w:t xml:space="preserve"> Single-exposure = model including only a single exposure. Adj. for PM</w:t>
      </w:r>
      <w:r w:rsidRPr="00EA3E1D">
        <w:rPr>
          <w:rFonts w:ascii="Times New Roman" w:hAnsi="Times New Roman" w:cs="Times New Roman"/>
          <w:sz w:val="20"/>
          <w:szCs w:val="20"/>
          <w:vertAlign w:val="subscript"/>
        </w:rPr>
        <w:t>2·</w:t>
      </w:r>
      <w:proofErr w:type="gramStart"/>
      <w:r w:rsidRPr="00EA3E1D">
        <w:rPr>
          <w:rFonts w:ascii="Times New Roman" w:hAnsi="Times New Roman" w:cs="Times New Roman"/>
          <w:sz w:val="20"/>
          <w:szCs w:val="20"/>
          <w:vertAlign w:val="subscript"/>
        </w:rPr>
        <w:t>5</w:t>
      </w:r>
      <w:proofErr w:type="gramEnd"/>
      <w:r w:rsidRPr="00EA3E1D">
        <w:rPr>
          <w:rFonts w:ascii="Times New Roman" w:hAnsi="Times New Roman" w:cs="Times New Roman"/>
          <w:sz w:val="20"/>
          <w:szCs w:val="20"/>
        </w:rPr>
        <w:t xml:space="preserve"> = main model additionally adjusted for PM</w:t>
      </w:r>
      <w:r w:rsidRPr="00EA3E1D">
        <w:rPr>
          <w:rFonts w:ascii="Times New Roman" w:hAnsi="Times New Roman" w:cs="Times New Roman"/>
          <w:sz w:val="20"/>
          <w:szCs w:val="20"/>
          <w:vertAlign w:val="subscript"/>
        </w:rPr>
        <w:t>2·5</w:t>
      </w:r>
      <w:r w:rsidRPr="00EA3E1D">
        <w:rPr>
          <w:rFonts w:ascii="Times New Roman" w:hAnsi="Times New Roman" w:cs="Times New Roman"/>
          <w:sz w:val="20"/>
          <w:szCs w:val="20"/>
        </w:rPr>
        <w:t>. Adj. for NO</w:t>
      </w:r>
      <w:r w:rsidRPr="00EA3E1D">
        <w:rPr>
          <w:rFonts w:ascii="Times New Roman" w:hAnsi="Times New Roman" w:cs="Times New Roman"/>
          <w:sz w:val="20"/>
          <w:szCs w:val="20"/>
          <w:vertAlign w:val="subscript"/>
        </w:rPr>
        <w:t>2</w:t>
      </w:r>
      <w:r w:rsidRPr="00EA3E1D">
        <w:rPr>
          <w:rFonts w:ascii="Times New Roman" w:hAnsi="Times New Roman" w:cs="Times New Roman"/>
          <w:sz w:val="20"/>
          <w:szCs w:val="20"/>
        </w:rPr>
        <w:t xml:space="preserve"> = main model additionally adjusted for NO</w:t>
      </w:r>
      <w:r w:rsidRPr="00EA3E1D">
        <w:rPr>
          <w:rFonts w:ascii="Times New Roman" w:hAnsi="Times New Roman" w:cs="Times New Roman"/>
          <w:sz w:val="20"/>
          <w:szCs w:val="20"/>
          <w:vertAlign w:val="subscript"/>
        </w:rPr>
        <w:t>2</w:t>
      </w:r>
      <w:r w:rsidRPr="00EA3E1D">
        <w:rPr>
          <w:rFonts w:ascii="Times New Roman" w:hAnsi="Times New Roman" w:cs="Times New Roman"/>
          <w:sz w:val="20"/>
          <w:szCs w:val="20"/>
        </w:rPr>
        <w:t xml:space="preserve">. </w:t>
      </w:r>
      <w:proofErr w:type="gramStart"/>
      <w:r w:rsidRPr="00EA3E1D">
        <w:rPr>
          <w:rFonts w:ascii="Times New Roman" w:hAnsi="Times New Roman" w:cs="Times New Roman"/>
          <w:sz w:val="20"/>
          <w:szCs w:val="20"/>
        </w:rPr>
        <w:t>%</w:t>
      </w:r>
      <w:proofErr w:type="gramEnd"/>
      <w:r w:rsidRPr="00EA3E1D">
        <w:rPr>
          <w:rFonts w:ascii="Times New Roman" w:hAnsi="Times New Roman" w:cs="Times New Roman"/>
          <w:sz w:val="20"/>
          <w:szCs w:val="20"/>
        </w:rPr>
        <w:t xml:space="preserve"> Blue space cover (no buffer) = model including blue space without a buffer. Excl. potentially prevalent cases = exclusion of individuals who had their first hospital admission within the first year of their follow-up and all records in the year 2000, Death as competing risk = inverse probability weights for dying were included as weights in the model. Inverse probability weights for dying </w:t>
      </w:r>
      <w:proofErr w:type="gramStart"/>
      <w:r w:rsidRPr="00EA3E1D">
        <w:rPr>
          <w:rFonts w:ascii="Times New Roman" w:hAnsi="Times New Roman" w:cs="Times New Roman"/>
          <w:sz w:val="20"/>
          <w:szCs w:val="20"/>
        </w:rPr>
        <w:t>were assessed</w:t>
      </w:r>
      <w:proofErr w:type="gramEnd"/>
      <w:r w:rsidRPr="00EA3E1D">
        <w:rPr>
          <w:rFonts w:ascii="Times New Roman" w:hAnsi="Times New Roman" w:cs="Times New Roman"/>
          <w:sz w:val="20"/>
          <w:szCs w:val="20"/>
        </w:rPr>
        <w:t xml:space="preserve"> by linking mortality data to our cohort. We fitted a model with death as outcome and included the same exposures and covariates as in our main model. </w:t>
      </w:r>
      <w:proofErr w:type="gramStart"/>
      <w:r w:rsidRPr="00EA3E1D">
        <w:rPr>
          <w:rFonts w:ascii="Times New Roman" w:hAnsi="Times New Roman" w:cs="Times New Roman"/>
          <w:sz w:val="20"/>
          <w:szCs w:val="20"/>
        </w:rPr>
        <w:t xml:space="preserve">Next, we </w:t>
      </w:r>
      <w:r w:rsidR="00A25870" w:rsidRPr="00EA3E1D">
        <w:rPr>
          <w:rFonts w:ascii="Times New Roman" w:hAnsi="Times New Roman" w:cs="Times New Roman"/>
          <w:sz w:val="20"/>
          <w:szCs w:val="20"/>
        </w:rPr>
        <w:t>calculated</w:t>
      </w:r>
      <w:r w:rsidRPr="00EA3E1D">
        <w:rPr>
          <w:rFonts w:ascii="Times New Roman" w:hAnsi="Times New Roman" w:cs="Times New Roman"/>
          <w:sz w:val="20"/>
          <w:szCs w:val="20"/>
        </w:rPr>
        <w:t xml:space="preserve"> the inverse probability </w:t>
      </w:r>
      <w:r w:rsidR="00A25870" w:rsidRPr="00EA3E1D">
        <w:rPr>
          <w:rFonts w:ascii="Times New Roman" w:hAnsi="Times New Roman" w:cs="Times New Roman"/>
          <w:sz w:val="20"/>
          <w:szCs w:val="20"/>
        </w:rPr>
        <w:t xml:space="preserve">weight </w:t>
      </w:r>
      <w:r w:rsidRPr="00EA3E1D">
        <w:rPr>
          <w:rFonts w:ascii="Times New Roman" w:hAnsi="Times New Roman" w:cs="Times New Roman"/>
          <w:sz w:val="20"/>
          <w:szCs w:val="20"/>
        </w:rPr>
        <w:t xml:space="preserve">of dying </w:t>
      </w:r>
      <w:r w:rsidR="00A25870" w:rsidRPr="00EA3E1D">
        <w:rPr>
          <w:rFonts w:ascii="Times New Roman" w:hAnsi="Times New Roman" w:cs="Times New Roman"/>
          <w:sz w:val="20"/>
          <w:szCs w:val="20"/>
        </w:rPr>
        <w:t>for each strata and include the</w:t>
      </w:r>
      <w:r w:rsidRPr="00EA3E1D">
        <w:rPr>
          <w:rFonts w:ascii="Times New Roman" w:hAnsi="Times New Roman" w:cs="Times New Roman"/>
          <w:sz w:val="20"/>
          <w:szCs w:val="20"/>
        </w:rPr>
        <w:t xml:space="preserve"> weights in our </w:t>
      </w:r>
      <w:r w:rsidR="00A25870" w:rsidRPr="00EA3E1D">
        <w:rPr>
          <w:rFonts w:ascii="Times New Roman" w:hAnsi="Times New Roman" w:cs="Times New Roman"/>
          <w:sz w:val="20"/>
          <w:szCs w:val="20"/>
        </w:rPr>
        <w:t xml:space="preserve">main </w:t>
      </w:r>
      <w:r w:rsidRPr="00EA3E1D">
        <w:rPr>
          <w:rFonts w:ascii="Times New Roman" w:hAnsi="Times New Roman" w:cs="Times New Roman"/>
          <w:sz w:val="20"/>
          <w:szCs w:val="20"/>
        </w:rPr>
        <w:t>model.</w:t>
      </w:r>
      <w:proofErr w:type="gramEnd"/>
      <w:r w:rsidRPr="00EA3E1D">
        <w:rPr>
          <w:rFonts w:ascii="Times New Roman" w:hAnsi="Times New Roman" w:cs="Times New Roman"/>
          <w:sz w:val="20"/>
          <w:szCs w:val="20"/>
        </w:rPr>
        <w:t xml:space="preserve"> </w:t>
      </w:r>
      <w:r w:rsidR="00A25870" w:rsidRPr="00EA3E1D">
        <w:rPr>
          <w:rFonts w:ascii="Times New Roman" w:hAnsi="Times New Roman" w:cs="Times New Roman"/>
          <w:sz w:val="20"/>
          <w:szCs w:val="20"/>
        </w:rPr>
        <w:t>Inverse p</w:t>
      </w:r>
      <w:r w:rsidRPr="00EA3E1D">
        <w:rPr>
          <w:rFonts w:ascii="Times New Roman" w:hAnsi="Times New Roman" w:cs="Times New Roman"/>
          <w:sz w:val="20"/>
          <w:szCs w:val="20"/>
        </w:rPr>
        <w:t>robabilit</w:t>
      </w:r>
      <w:r w:rsidR="00A25870" w:rsidRPr="00EA3E1D">
        <w:rPr>
          <w:rFonts w:ascii="Times New Roman" w:hAnsi="Times New Roman" w:cs="Times New Roman"/>
          <w:sz w:val="20"/>
          <w:szCs w:val="20"/>
        </w:rPr>
        <w:t>y weights</w:t>
      </w:r>
      <w:r w:rsidRPr="00EA3E1D">
        <w:rPr>
          <w:rFonts w:ascii="Times New Roman" w:hAnsi="Times New Roman" w:cs="Times New Roman"/>
          <w:sz w:val="20"/>
          <w:szCs w:val="20"/>
        </w:rPr>
        <w:t xml:space="preserve"> lower than the </w:t>
      </w:r>
      <w:proofErr w:type="gramStart"/>
      <w:r w:rsidRPr="00EA3E1D">
        <w:rPr>
          <w:rFonts w:ascii="Times New Roman" w:hAnsi="Times New Roman" w:cs="Times New Roman"/>
          <w:sz w:val="20"/>
          <w:szCs w:val="20"/>
        </w:rPr>
        <w:t>1st</w:t>
      </w:r>
      <w:proofErr w:type="gramEnd"/>
      <w:r w:rsidRPr="00EA3E1D">
        <w:rPr>
          <w:rFonts w:ascii="Times New Roman" w:hAnsi="Times New Roman" w:cs="Times New Roman"/>
          <w:sz w:val="20"/>
          <w:szCs w:val="20"/>
        </w:rPr>
        <w:t xml:space="preserve"> percentile were set to the 1st percentile and probabilities higher than the 99th percentile were set to the 99th percentile. </w:t>
      </w:r>
    </w:p>
    <w:p w14:paraId="7DF0BD5F" w14:textId="77777777" w:rsidR="00B1078E" w:rsidRPr="00EA3E1D" w:rsidRDefault="00B1078E" w:rsidP="00B1078E">
      <w:pPr>
        <w:jc w:val="both"/>
        <w:rPr>
          <w:rFonts w:ascii="Times New Roman" w:hAnsi="Times New Roman" w:cs="Times New Roman"/>
          <w:b/>
          <w:bCs/>
          <w:sz w:val="20"/>
          <w:szCs w:val="20"/>
          <w:lang w:val="en-GB"/>
        </w:rPr>
      </w:pPr>
    </w:p>
    <w:p w14:paraId="179DCF17" w14:textId="77777777" w:rsidR="00B1078E" w:rsidRPr="00EA3E1D" w:rsidRDefault="00B1078E" w:rsidP="00B1078E">
      <w:pPr>
        <w:jc w:val="both"/>
        <w:rPr>
          <w:rFonts w:ascii="Times New Roman" w:hAnsi="Times New Roman" w:cs="Times New Roman"/>
          <w:b/>
          <w:bCs/>
          <w:sz w:val="20"/>
          <w:szCs w:val="20"/>
          <w:lang w:val="en-GB"/>
        </w:rPr>
        <w:sectPr w:rsidR="00B1078E" w:rsidRPr="00EA3E1D" w:rsidSect="00B1078E">
          <w:pgSz w:w="15840" w:h="12240" w:orient="landscape"/>
          <w:pgMar w:top="1080" w:right="1440" w:bottom="1080" w:left="1440" w:header="720" w:footer="720" w:gutter="0"/>
          <w:cols w:space="720"/>
          <w:docGrid w:linePitch="360"/>
        </w:sectPr>
      </w:pPr>
    </w:p>
    <w:p w14:paraId="1C1E5649" w14:textId="28CF7694" w:rsidR="00B1078E" w:rsidRPr="00EA3E1D" w:rsidRDefault="00FD07F1" w:rsidP="00B1078E">
      <w:pPr>
        <w:jc w:val="both"/>
        <w:rPr>
          <w:rFonts w:ascii="Times New Roman" w:hAnsi="Times New Roman" w:cs="Times New Roman"/>
          <w:b/>
          <w:bCs/>
          <w:sz w:val="20"/>
          <w:szCs w:val="20"/>
          <w:lang w:val="en-GB"/>
        </w:rPr>
      </w:pPr>
      <w:r w:rsidRPr="00EA3E1D">
        <w:rPr>
          <w:rFonts w:ascii="Times New Roman" w:hAnsi="Times New Roman" w:cs="Times New Roman"/>
          <w:noProof/>
          <w:sz w:val="20"/>
          <w:szCs w:val="20"/>
        </w:rPr>
        <w:lastRenderedPageBreak/>
        <w:drawing>
          <wp:anchor distT="0" distB="0" distL="114300" distR="114300" simplePos="0" relativeHeight="251666432" behindDoc="0" locked="0" layoutInCell="1" allowOverlap="1" wp14:anchorId="731A0012" wp14:editId="59346AF3">
            <wp:simplePos x="0" y="0"/>
            <wp:positionH relativeFrom="margin">
              <wp:posOffset>-461010</wp:posOffset>
            </wp:positionH>
            <wp:positionV relativeFrom="paragraph">
              <wp:posOffset>1581785</wp:posOffset>
            </wp:positionV>
            <wp:extent cx="7359650" cy="4201160"/>
            <wp:effectExtent l="0" t="1905"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359650" cy="4201160"/>
                    </a:xfrm>
                    <a:prstGeom prst="rect">
                      <a:avLst/>
                    </a:prstGeom>
                  </pic:spPr>
                </pic:pic>
              </a:graphicData>
            </a:graphic>
            <wp14:sizeRelH relativeFrom="margin">
              <wp14:pctWidth>0</wp14:pctWidth>
            </wp14:sizeRelH>
            <wp14:sizeRelV relativeFrom="margin">
              <wp14:pctHeight>0</wp14:pctHeight>
            </wp14:sizeRelV>
          </wp:anchor>
        </w:drawing>
      </w:r>
      <w:r w:rsidR="00B1078E" w:rsidRPr="00EA3E1D">
        <w:rPr>
          <w:rFonts w:ascii="Times New Roman" w:hAnsi="Times New Roman" w:cs="Times New Roman"/>
          <w:b/>
          <w:bCs/>
          <w:sz w:val="20"/>
          <w:szCs w:val="20"/>
          <w:lang w:val="en-GB"/>
        </w:rPr>
        <w:t xml:space="preserve">Figure S1. </w:t>
      </w:r>
      <w:bookmarkStart w:id="1" w:name="_Hlk63419678"/>
      <w:r w:rsidR="00B1078E" w:rsidRPr="00EA3E1D">
        <w:rPr>
          <w:rFonts w:ascii="Times New Roman" w:hAnsi="Times New Roman" w:cs="Times New Roman"/>
          <w:b/>
          <w:bCs/>
          <w:sz w:val="20"/>
          <w:szCs w:val="20"/>
          <w:lang w:val="en-GB"/>
        </w:rPr>
        <w:t>Spearman correlations between percent public park cover, NDVI, percent blue space cover, SES covariates, smoking status, temperature, specific humidity, precipitation, PM</w:t>
      </w:r>
      <w:r w:rsidR="00B1078E" w:rsidRPr="00EA3E1D">
        <w:rPr>
          <w:rFonts w:ascii="Times New Roman" w:hAnsi="Times New Roman" w:cs="Times New Roman"/>
          <w:b/>
          <w:bCs/>
          <w:sz w:val="20"/>
          <w:szCs w:val="20"/>
          <w:vertAlign w:val="subscript"/>
          <w:lang w:val="en-GB"/>
        </w:rPr>
        <w:t>2</w:t>
      </w:r>
      <w:r w:rsidR="004C5928" w:rsidRPr="00EA3E1D">
        <w:rPr>
          <w:rFonts w:ascii="Times New Roman" w:hAnsi="Times New Roman" w:cs="Times New Roman"/>
          <w:b/>
          <w:bCs/>
          <w:sz w:val="20"/>
          <w:szCs w:val="20"/>
          <w:vertAlign w:val="subscript"/>
          <w:lang w:val="en-GB"/>
        </w:rPr>
        <w:t>.</w:t>
      </w:r>
      <w:r w:rsidR="00B1078E" w:rsidRPr="00EA3E1D">
        <w:rPr>
          <w:rFonts w:ascii="Times New Roman" w:hAnsi="Times New Roman" w:cs="Times New Roman"/>
          <w:b/>
          <w:bCs/>
          <w:sz w:val="20"/>
          <w:szCs w:val="20"/>
          <w:vertAlign w:val="subscript"/>
          <w:lang w:val="en-GB"/>
        </w:rPr>
        <w:t>5</w:t>
      </w:r>
      <w:r w:rsidR="00B1078E" w:rsidRPr="00EA3E1D">
        <w:rPr>
          <w:rFonts w:ascii="Times New Roman" w:hAnsi="Times New Roman" w:cs="Times New Roman"/>
          <w:b/>
          <w:bCs/>
          <w:sz w:val="20"/>
          <w:szCs w:val="20"/>
          <w:lang w:val="en-GB"/>
        </w:rPr>
        <w:t xml:space="preserve"> and NO</w:t>
      </w:r>
      <w:r w:rsidR="00B1078E" w:rsidRPr="00EA3E1D">
        <w:rPr>
          <w:rFonts w:ascii="Times New Roman" w:hAnsi="Times New Roman" w:cs="Times New Roman"/>
          <w:b/>
          <w:bCs/>
          <w:sz w:val="20"/>
          <w:szCs w:val="20"/>
          <w:vertAlign w:val="subscript"/>
          <w:lang w:val="en-GB"/>
        </w:rPr>
        <w:t>2</w:t>
      </w:r>
      <w:r w:rsidR="00EA3E1D">
        <w:rPr>
          <w:rFonts w:ascii="Times New Roman" w:hAnsi="Times New Roman" w:cs="Times New Roman"/>
          <w:b/>
          <w:bCs/>
          <w:sz w:val="20"/>
          <w:szCs w:val="20"/>
          <w:lang w:val="en-GB"/>
        </w:rPr>
        <w:t>.</w:t>
      </w:r>
      <w:r w:rsidR="00B1078E" w:rsidRPr="00EA3E1D">
        <w:rPr>
          <w:rFonts w:ascii="Times New Roman" w:hAnsi="Times New Roman" w:cs="Times New Roman"/>
          <w:b/>
          <w:bCs/>
          <w:sz w:val="20"/>
          <w:szCs w:val="20"/>
          <w:vertAlign w:val="superscript"/>
          <w:lang w:val="en-GB"/>
        </w:rPr>
        <w:t>a</w:t>
      </w:r>
    </w:p>
    <w:p w14:paraId="52E0F972" w14:textId="77777777" w:rsidR="00B1078E" w:rsidRPr="00EA3E1D" w:rsidRDefault="00B1078E" w:rsidP="00B1078E">
      <w:pPr>
        <w:jc w:val="both"/>
        <w:rPr>
          <w:rFonts w:ascii="Times New Roman" w:hAnsi="Times New Roman" w:cs="Times New Roman"/>
          <w:bCs/>
          <w:sz w:val="20"/>
          <w:szCs w:val="20"/>
          <w:lang w:val="en-GB"/>
        </w:rPr>
      </w:pPr>
      <w:proofErr w:type="gramStart"/>
      <w:r w:rsidRPr="00EA3E1D">
        <w:rPr>
          <w:rFonts w:ascii="Times New Roman" w:hAnsi="Times New Roman" w:cs="Times New Roman"/>
          <w:bCs/>
          <w:sz w:val="20"/>
          <w:szCs w:val="20"/>
          <w:vertAlign w:val="superscript"/>
          <w:lang w:val="en-GB"/>
        </w:rPr>
        <w:t>a</w:t>
      </w:r>
      <w:proofErr w:type="gramEnd"/>
      <w:r w:rsidRPr="00EA3E1D">
        <w:rPr>
          <w:rFonts w:ascii="Times New Roman" w:hAnsi="Times New Roman" w:cs="Times New Roman"/>
          <w:bCs/>
          <w:sz w:val="20"/>
          <w:szCs w:val="20"/>
          <w:lang w:val="en-GB"/>
        </w:rPr>
        <w:t xml:space="preserve"> Correlations above the diagonal are for the full population, correlations below the diagonal are for the urban population</w:t>
      </w:r>
    </w:p>
    <w:bookmarkEnd w:id="1"/>
    <w:p w14:paraId="1BCE7CD5" w14:textId="74295235" w:rsidR="00B1078E" w:rsidRPr="00EA3E1D" w:rsidRDefault="00FD07F1" w:rsidP="00B1078E">
      <w:pPr>
        <w:jc w:val="both"/>
        <w:rPr>
          <w:rFonts w:ascii="Times New Roman" w:hAnsi="Times New Roman" w:cs="Times New Roman"/>
          <w:b/>
          <w:bCs/>
          <w:sz w:val="20"/>
          <w:szCs w:val="20"/>
          <w:lang w:val="en-GB"/>
        </w:rPr>
      </w:pPr>
      <w:r w:rsidRPr="00EA3E1D">
        <w:rPr>
          <w:rFonts w:ascii="Times New Roman" w:hAnsi="Times New Roman" w:cs="Times New Roman"/>
          <w:noProof/>
          <w:sz w:val="20"/>
          <w:szCs w:val="20"/>
        </w:rPr>
        <w:lastRenderedPageBreak/>
        <w:drawing>
          <wp:anchor distT="0" distB="0" distL="114300" distR="114300" simplePos="0" relativeHeight="251665408" behindDoc="0" locked="0" layoutInCell="1" allowOverlap="1" wp14:anchorId="7C68C318" wp14:editId="7FEFE798">
            <wp:simplePos x="0" y="0"/>
            <wp:positionH relativeFrom="margin">
              <wp:align>center</wp:align>
            </wp:positionH>
            <wp:positionV relativeFrom="paragraph">
              <wp:posOffset>933450</wp:posOffset>
            </wp:positionV>
            <wp:extent cx="6775450" cy="4926965"/>
            <wp:effectExtent l="0" t="9208"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6775450" cy="4926965"/>
                    </a:xfrm>
                    <a:prstGeom prst="rect">
                      <a:avLst/>
                    </a:prstGeom>
                  </pic:spPr>
                </pic:pic>
              </a:graphicData>
            </a:graphic>
            <wp14:sizeRelH relativeFrom="margin">
              <wp14:pctWidth>0</wp14:pctWidth>
            </wp14:sizeRelH>
            <wp14:sizeRelV relativeFrom="margin">
              <wp14:pctHeight>0</wp14:pctHeight>
            </wp14:sizeRelV>
          </wp:anchor>
        </w:drawing>
      </w:r>
      <w:r w:rsidR="00B1078E" w:rsidRPr="00EA3E1D">
        <w:rPr>
          <w:rFonts w:ascii="Times New Roman" w:hAnsi="Times New Roman" w:cs="Times New Roman"/>
          <w:b/>
          <w:bCs/>
          <w:sz w:val="20"/>
          <w:szCs w:val="20"/>
          <w:lang w:val="en-GB"/>
        </w:rPr>
        <w:t>Figure S2. Associations of percent public park cover, NDVI and percent blue space cover with CVD and RSD hospitalization in spline models with 1, 2 or 3 degrees of freedom in the full and urban cohort of US Medicare fee-for-service beneficiaries aged ≥65 living in the conti</w:t>
      </w:r>
      <w:r w:rsidR="00EA3E1D">
        <w:rPr>
          <w:rFonts w:ascii="Times New Roman" w:hAnsi="Times New Roman" w:cs="Times New Roman"/>
          <w:b/>
          <w:bCs/>
          <w:sz w:val="20"/>
          <w:szCs w:val="20"/>
          <w:lang w:val="en-GB"/>
        </w:rPr>
        <w:t>guous US from 2000 through 2016.</w:t>
      </w:r>
      <w:r w:rsidR="00B1078E" w:rsidRPr="00EA3E1D">
        <w:rPr>
          <w:rFonts w:ascii="Times New Roman" w:hAnsi="Times New Roman" w:cs="Times New Roman"/>
          <w:b/>
          <w:bCs/>
          <w:sz w:val="20"/>
          <w:szCs w:val="20"/>
          <w:vertAlign w:val="superscript"/>
          <w:lang w:val="en-GB"/>
        </w:rPr>
        <w:t>a</w:t>
      </w:r>
      <w:r w:rsidR="00B1078E" w:rsidRPr="00EA3E1D">
        <w:rPr>
          <w:rFonts w:ascii="Times New Roman" w:hAnsi="Times New Roman" w:cs="Times New Roman"/>
          <w:b/>
          <w:bCs/>
          <w:sz w:val="20"/>
          <w:szCs w:val="20"/>
          <w:lang w:val="en-GB"/>
        </w:rPr>
        <w:t xml:space="preserve"> </w:t>
      </w:r>
    </w:p>
    <w:p w14:paraId="5B97B8DD"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lang w:val="en-GB"/>
        </w:rPr>
      </w:pPr>
      <w:r w:rsidRPr="00EA3E1D">
        <w:rPr>
          <w:rFonts w:ascii="Times New Roman" w:hAnsi="Times New Roman" w:cs="Times New Roman"/>
          <w:sz w:val="20"/>
          <w:szCs w:val="20"/>
          <w:vertAlign w:val="superscript"/>
          <w:lang w:val="en-GB"/>
        </w:rPr>
        <w:t>a</w:t>
      </w:r>
      <w:r w:rsidRPr="00EA3E1D">
        <w:rPr>
          <w:rFonts w:ascii="Times New Roman" w:hAnsi="Times New Roman" w:cs="Times New Roman"/>
          <w:sz w:val="20"/>
          <w:szCs w:val="20"/>
          <w:lang w:val="en-GB"/>
        </w:rPr>
        <w:t xml:space="preserve"> Models included percent public park cover, NDVI, percent blue space cover and were adjusted for calendar year, region, US census covariates, % ever smoked, </w:t>
      </w:r>
      <w:r w:rsidRPr="00EA3E1D">
        <w:rPr>
          <w:rFonts w:ascii="Times New Roman" w:hAnsi="Times New Roman" w:cs="Times New Roman"/>
          <w:bCs/>
          <w:sz w:val="20"/>
          <w:szCs w:val="20"/>
          <w:lang w:val="en-GB"/>
        </w:rPr>
        <w:t xml:space="preserve">summer temperature, summer specific humidity and summer </w:t>
      </w:r>
      <w:r w:rsidRPr="00EA3E1D">
        <w:rPr>
          <w:rFonts w:ascii="Times New Roman" w:hAnsi="Times New Roman" w:cs="Times New Roman"/>
          <w:sz w:val="20"/>
          <w:szCs w:val="20"/>
          <w:lang w:val="en-GB"/>
        </w:rPr>
        <w:t>total</w:t>
      </w:r>
      <w:r w:rsidRPr="00EA3E1D">
        <w:rPr>
          <w:rFonts w:ascii="Times New Roman" w:hAnsi="Times New Roman" w:cs="Times New Roman"/>
          <w:bCs/>
          <w:sz w:val="20"/>
          <w:szCs w:val="20"/>
          <w:lang w:val="en-GB"/>
        </w:rPr>
        <w:t xml:space="preserve"> precipitation, </w:t>
      </w:r>
      <w:r w:rsidRPr="00EA3E1D">
        <w:rPr>
          <w:rFonts w:ascii="Times New Roman" w:hAnsi="Times New Roman" w:cs="Times New Roman"/>
          <w:sz w:val="20"/>
          <w:szCs w:val="20"/>
          <w:lang w:val="en-GB"/>
        </w:rPr>
        <w:t>an offset for total person-time and strata for all possible combinations of sex, race, Medicaid Eligibility, age at study entry (2-year categories), and follow-up year.</w:t>
      </w:r>
      <w:r w:rsidRPr="00EA3E1D">
        <w:rPr>
          <w:rFonts w:ascii="Times New Roman" w:hAnsi="Times New Roman" w:cs="Times New Roman"/>
          <w:sz w:val="20"/>
          <w:szCs w:val="20"/>
        </w:rPr>
        <w:t xml:space="preserve"> Urban cohorts included all person years in zip codes with a population density of 1000+ persons/mile</w:t>
      </w:r>
      <w:r w:rsidRPr="00EA3E1D">
        <w:rPr>
          <w:rFonts w:ascii="Times New Roman" w:hAnsi="Times New Roman" w:cs="Times New Roman"/>
          <w:sz w:val="20"/>
          <w:szCs w:val="20"/>
          <w:vertAlign w:val="superscript"/>
        </w:rPr>
        <w:t>2</w:t>
      </w:r>
      <w:r w:rsidRPr="00EA3E1D">
        <w:rPr>
          <w:rFonts w:ascii="Times New Roman" w:hAnsi="Times New Roman" w:cs="Times New Roman"/>
          <w:sz w:val="20"/>
          <w:szCs w:val="20"/>
        </w:rPr>
        <w:t>.</w:t>
      </w:r>
    </w:p>
    <w:p w14:paraId="669BED0B" w14:textId="654958F7" w:rsidR="00B1078E" w:rsidRPr="00EA3E1D" w:rsidRDefault="00FD07F1" w:rsidP="00B1078E">
      <w:pPr>
        <w:autoSpaceDE w:val="0"/>
        <w:autoSpaceDN w:val="0"/>
        <w:adjustRightInd w:val="0"/>
        <w:spacing w:after="0" w:line="240" w:lineRule="auto"/>
        <w:rPr>
          <w:rFonts w:ascii="Times New Roman" w:hAnsi="Times New Roman" w:cs="Times New Roman"/>
          <w:noProof/>
          <w:sz w:val="20"/>
          <w:szCs w:val="20"/>
        </w:rPr>
      </w:pPr>
      <w:r w:rsidRPr="00EA3E1D">
        <w:rPr>
          <w:rFonts w:ascii="Times New Roman" w:hAnsi="Times New Roman" w:cs="Times New Roman"/>
          <w:noProof/>
          <w:sz w:val="20"/>
          <w:szCs w:val="20"/>
        </w:rPr>
        <w:lastRenderedPageBreak/>
        <w:drawing>
          <wp:anchor distT="0" distB="0" distL="114300" distR="114300" simplePos="0" relativeHeight="251667456" behindDoc="0" locked="0" layoutInCell="1" allowOverlap="1" wp14:anchorId="34174DD3" wp14:editId="399A0502">
            <wp:simplePos x="0" y="0"/>
            <wp:positionH relativeFrom="margin">
              <wp:align>center</wp:align>
            </wp:positionH>
            <wp:positionV relativeFrom="paragraph">
              <wp:posOffset>914400</wp:posOffset>
            </wp:positionV>
            <wp:extent cx="6428740" cy="4603115"/>
            <wp:effectExtent l="0" t="1588" r="8573" b="8572"/>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6200000">
                      <a:off x="0" y="0"/>
                      <a:ext cx="6428740" cy="4603115"/>
                    </a:xfrm>
                    <a:prstGeom prst="rect">
                      <a:avLst/>
                    </a:prstGeom>
                  </pic:spPr>
                </pic:pic>
              </a:graphicData>
            </a:graphic>
            <wp14:sizeRelH relativeFrom="margin">
              <wp14:pctWidth>0</wp14:pctWidth>
            </wp14:sizeRelH>
            <wp14:sizeRelV relativeFrom="margin">
              <wp14:pctHeight>0</wp14:pctHeight>
            </wp14:sizeRelV>
          </wp:anchor>
        </w:drawing>
      </w:r>
    </w:p>
    <w:p w14:paraId="06E1BB62" w14:textId="037A219A"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lang w:val="en-GB"/>
        </w:rPr>
      </w:pPr>
      <w:r w:rsidRPr="00EA3E1D">
        <w:rPr>
          <w:rFonts w:ascii="Times New Roman" w:hAnsi="Times New Roman" w:cs="Times New Roman"/>
          <w:b/>
          <w:bCs/>
          <w:sz w:val="20"/>
          <w:szCs w:val="20"/>
          <w:lang w:val="en-GB"/>
        </w:rPr>
        <w:t>Figure S3. Associations of percent public park cover, NDVI and percent blue space cover with CVD and RSD hospitalization in models with increasing adjustment for potential confounder in the full and urban cohort of US Medicare fee-for-service beneficiaries aged ≥65 living in the contiguous US from 2000 through 2016</w:t>
      </w:r>
      <w:r w:rsidR="00EA3E1D">
        <w:rPr>
          <w:rFonts w:ascii="Times New Roman" w:hAnsi="Times New Roman" w:cs="Times New Roman"/>
          <w:b/>
          <w:bCs/>
          <w:sz w:val="20"/>
          <w:szCs w:val="20"/>
          <w:lang w:val="en-GB"/>
        </w:rPr>
        <w:t>.</w:t>
      </w:r>
      <w:r w:rsidRPr="00EA3E1D">
        <w:rPr>
          <w:rFonts w:ascii="Times New Roman" w:hAnsi="Times New Roman" w:cs="Times New Roman"/>
          <w:b/>
          <w:bCs/>
          <w:sz w:val="20"/>
          <w:szCs w:val="20"/>
          <w:vertAlign w:val="superscript"/>
          <w:lang w:val="en-GB"/>
        </w:rPr>
        <w:t>a</w:t>
      </w:r>
    </w:p>
    <w:p w14:paraId="7BF80868" w14:textId="77777777" w:rsidR="006A03F5" w:rsidRPr="00EA3E1D" w:rsidRDefault="006A03F5"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1CDE3FCC" w14:textId="3997C3F3"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roofErr w:type="spellStart"/>
      <w:proofErr w:type="gramStart"/>
      <w:r w:rsidRPr="00EA3E1D">
        <w:rPr>
          <w:rFonts w:ascii="Times New Roman" w:hAnsi="Times New Roman" w:cs="Times New Roman"/>
          <w:bCs/>
          <w:sz w:val="20"/>
          <w:szCs w:val="20"/>
          <w:vertAlign w:val="superscript"/>
          <w:lang w:val="en-GB"/>
        </w:rPr>
        <w:t>a</w:t>
      </w:r>
      <w:proofErr w:type="spellEnd"/>
      <w:proofErr w:type="gramEnd"/>
      <w:r w:rsidRPr="00EA3E1D">
        <w:rPr>
          <w:rFonts w:ascii="Times New Roman" w:hAnsi="Times New Roman" w:cs="Times New Roman"/>
          <w:bCs/>
          <w:sz w:val="20"/>
          <w:szCs w:val="20"/>
          <w:lang w:val="en-GB"/>
        </w:rPr>
        <w:t xml:space="preserve"> </w:t>
      </w:r>
      <w:r w:rsidR="008230C0" w:rsidRPr="00EA3E1D">
        <w:rPr>
          <w:rFonts w:ascii="Times New Roman" w:hAnsi="Times New Roman" w:cs="Times New Roman"/>
          <w:sz w:val="20"/>
          <w:szCs w:val="20"/>
          <w:lang w:val="en-GB"/>
        </w:rPr>
        <w:t>Associations are expressed per IQR increase of the CVD hospitalization (full) cohort (IQR Percent public park cover: 15·9, NDVI: 0·27, Percent blue space cover: 3·2).</w:t>
      </w:r>
      <w:r w:rsidRPr="00EA3E1D">
        <w:rPr>
          <w:rFonts w:ascii="Times New Roman" w:hAnsi="Times New Roman" w:cs="Times New Roman"/>
          <w:bCs/>
          <w:sz w:val="20"/>
          <w:szCs w:val="20"/>
          <w:lang w:val="en-GB"/>
        </w:rPr>
        <w:t xml:space="preserve"> Model 1 included percent public park cover, NDVI, percent blue space cover, calendar year, </w:t>
      </w:r>
      <w:r w:rsidRPr="00EA3E1D">
        <w:rPr>
          <w:rFonts w:ascii="Times New Roman" w:hAnsi="Times New Roman" w:cs="Times New Roman"/>
          <w:sz w:val="20"/>
          <w:szCs w:val="20"/>
          <w:lang w:val="en-GB"/>
        </w:rPr>
        <w:t xml:space="preserve">region </w:t>
      </w:r>
      <w:r w:rsidRPr="00EA3E1D">
        <w:rPr>
          <w:rFonts w:ascii="Times New Roman" w:hAnsi="Times New Roman" w:cs="Times New Roman"/>
          <w:bCs/>
          <w:sz w:val="20"/>
          <w:szCs w:val="20"/>
          <w:lang w:val="en-GB"/>
        </w:rPr>
        <w:t xml:space="preserve">and strata for all possible combinations of sex, race, dual, age at study entry (2-year categories) and follow-up year. In Model </w:t>
      </w:r>
      <w:proofErr w:type="gramStart"/>
      <w:r w:rsidRPr="00EA3E1D">
        <w:rPr>
          <w:rFonts w:ascii="Times New Roman" w:hAnsi="Times New Roman" w:cs="Times New Roman"/>
          <w:bCs/>
          <w:sz w:val="20"/>
          <w:szCs w:val="20"/>
          <w:lang w:val="en-GB"/>
        </w:rPr>
        <w:t>2</w:t>
      </w:r>
      <w:proofErr w:type="gramEnd"/>
      <w:r w:rsidRPr="00EA3E1D">
        <w:rPr>
          <w:rFonts w:ascii="Times New Roman" w:hAnsi="Times New Roman" w:cs="Times New Roman"/>
          <w:bCs/>
          <w:sz w:val="20"/>
          <w:szCs w:val="20"/>
          <w:lang w:val="en-GB"/>
        </w:rPr>
        <w:t xml:space="preserve"> all US census covariates (except population density) were added. In Model </w:t>
      </w:r>
      <w:proofErr w:type="gramStart"/>
      <w:r w:rsidRPr="00EA3E1D">
        <w:rPr>
          <w:rFonts w:ascii="Times New Roman" w:hAnsi="Times New Roman" w:cs="Times New Roman"/>
          <w:bCs/>
          <w:sz w:val="20"/>
          <w:szCs w:val="20"/>
          <w:lang w:val="en-GB"/>
        </w:rPr>
        <w:t>3</w:t>
      </w:r>
      <w:proofErr w:type="gramEnd"/>
      <w:r w:rsidRPr="00EA3E1D">
        <w:rPr>
          <w:rFonts w:ascii="Times New Roman" w:hAnsi="Times New Roman" w:cs="Times New Roman"/>
          <w:bCs/>
          <w:sz w:val="20"/>
          <w:szCs w:val="20"/>
          <w:lang w:val="en-GB"/>
        </w:rPr>
        <w:t xml:space="preserve"> population density was added. In Model 4 % ever smoked </w:t>
      </w:r>
      <w:proofErr w:type="gramStart"/>
      <w:r w:rsidRPr="00EA3E1D">
        <w:rPr>
          <w:rFonts w:ascii="Times New Roman" w:hAnsi="Times New Roman" w:cs="Times New Roman"/>
          <w:bCs/>
          <w:sz w:val="20"/>
          <w:szCs w:val="20"/>
          <w:lang w:val="en-GB"/>
        </w:rPr>
        <w:t>was added</w:t>
      </w:r>
      <w:proofErr w:type="gramEnd"/>
      <w:r w:rsidRPr="00EA3E1D">
        <w:rPr>
          <w:rFonts w:ascii="Times New Roman" w:hAnsi="Times New Roman" w:cs="Times New Roman"/>
          <w:bCs/>
          <w:sz w:val="20"/>
          <w:szCs w:val="20"/>
          <w:lang w:val="en-GB"/>
        </w:rPr>
        <w:t xml:space="preserve">. In Model 5 summer temperature, specific humidity and </w:t>
      </w:r>
      <w:r w:rsidRPr="00EA3E1D">
        <w:rPr>
          <w:rFonts w:ascii="Times New Roman" w:hAnsi="Times New Roman" w:cs="Times New Roman"/>
          <w:sz w:val="20"/>
          <w:szCs w:val="20"/>
          <w:lang w:val="en-GB"/>
        </w:rPr>
        <w:t>total</w:t>
      </w:r>
      <w:r w:rsidRPr="00EA3E1D">
        <w:rPr>
          <w:rFonts w:ascii="Times New Roman" w:hAnsi="Times New Roman" w:cs="Times New Roman"/>
          <w:bCs/>
          <w:sz w:val="20"/>
          <w:szCs w:val="20"/>
          <w:lang w:val="en-GB"/>
        </w:rPr>
        <w:t xml:space="preserve"> precipitation </w:t>
      </w:r>
      <w:proofErr w:type="gramStart"/>
      <w:r w:rsidRPr="00EA3E1D">
        <w:rPr>
          <w:rFonts w:ascii="Times New Roman" w:hAnsi="Times New Roman" w:cs="Times New Roman"/>
          <w:bCs/>
          <w:sz w:val="20"/>
          <w:szCs w:val="20"/>
          <w:lang w:val="en-GB"/>
        </w:rPr>
        <w:t>were added</w:t>
      </w:r>
      <w:proofErr w:type="gramEnd"/>
      <w:r w:rsidRPr="00EA3E1D">
        <w:rPr>
          <w:rFonts w:ascii="Times New Roman" w:hAnsi="Times New Roman" w:cs="Times New Roman"/>
          <w:bCs/>
          <w:sz w:val="20"/>
          <w:szCs w:val="20"/>
          <w:lang w:val="en-GB"/>
        </w:rPr>
        <w:t>.</w:t>
      </w:r>
    </w:p>
    <w:p w14:paraId="15423A7F" w14:textId="0239D244" w:rsidR="00B1078E" w:rsidRPr="00EA3E1D" w:rsidRDefault="00FD07F1" w:rsidP="00B1078E">
      <w:pPr>
        <w:autoSpaceDE w:val="0"/>
        <w:autoSpaceDN w:val="0"/>
        <w:adjustRightInd w:val="0"/>
        <w:spacing w:after="0" w:line="240" w:lineRule="auto"/>
        <w:jc w:val="both"/>
        <w:rPr>
          <w:rFonts w:ascii="Times New Roman" w:hAnsi="Times New Roman" w:cs="Times New Roman"/>
          <w:bCs/>
          <w:sz w:val="20"/>
          <w:szCs w:val="20"/>
          <w:lang w:val="en-GB"/>
        </w:rPr>
      </w:pPr>
      <w:r w:rsidRPr="00EA3E1D">
        <w:rPr>
          <w:rFonts w:ascii="Times New Roman" w:hAnsi="Times New Roman" w:cs="Times New Roman"/>
          <w:noProof/>
          <w:sz w:val="20"/>
          <w:szCs w:val="20"/>
        </w:rPr>
        <w:lastRenderedPageBreak/>
        <w:drawing>
          <wp:anchor distT="0" distB="0" distL="114300" distR="114300" simplePos="0" relativeHeight="251669504" behindDoc="0" locked="0" layoutInCell="1" allowOverlap="1" wp14:anchorId="00B18895" wp14:editId="67B81A3E">
            <wp:simplePos x="0" y="0"/>
            <wp:positionH relativeFrom="column">
              <wp:posOffset>1829</wp:posOffset>
            </wp:positionH>
            <wp:positionV relativeFrom="paragraph">
              <wp:posOffset>0</wp:posOffset>
            </wp:positionV>
            <wp:extent cx="6400800" cy="468503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0" cy="4685030"/>
                    </a:xfrm>
                    <a:prstGeom prst="rect">
                      <a:avLst/>
                    </a:prstGeom>
                  </pic:spPr>
                </pic:pic>
              </a:graphicData>
            </a:graphic>
          </wp:anchor>
        </w:drawing>
      </w:r>
    </w:p>
    <w:p w14:paraId="000E16FF" w14:textId="651EE81E"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lang w:val="en-GB"/>
        </w:rPr>
      </w:pPr>
      <w:r w:rsidRPr="00EA3E1D">
        <w:rPr>
          <w:rFonts w:ascii="Times New Roman" w:hAnsi="Times New Roman" w:cs="Times New Roman"/>
          <w:b/>
          <w:bCs/>
          <w:sz w:val="20"/>
          <w:szCs w:val="20"/>
          <w:lang w:val="en-GB"/>
        </w:rPr>
        <w:t>Figure S4. Associations of percent public park cover, NDVI and percent blue space cover with CVD and RSD hospitalization in the urban population in stratified analyses by sex (male, female), age (65-74, 75-84, 85+ years), Medicaid eligibility (not eligible, eligible), race (White, Black, unknown/other) and region (West, South, Northeast, Midwest)</w:t>
      </w:r>
      <w:r w:rsidR="00EA3E1D">
        <w:rPr>
          <w:rFonts w:ascii="Times New Roman" w:hAnsi="Times New Roman" w:cs="Times New Roman"/>
          <w:b/>
          <w:bCs/>
          <w:sz w:val="20"/>
          <w:szCs w:val="20"/>
          <w:lang w:val="en-GB"/>
        </w:rPr>
        <w:t>.</w:t>
      </w:r>
      <w:r w:rsidRPr="00EA3E1D">
        <w:rPr>
          <w:rFonts w:ascii="Times New Roman" w:hAnsi="Times New Roman" w:cs="Times New Roman"/>
          <w:b/>
          <w:bCs/>
          <w:sz w:val="20"/>
          <w:szCs w:val="20"/>
          <w:vertAlign w:val="superscript"/>
          <w:lang w:val="en-GB"/>
        </w:rPr>
        <w:t>a</w:t>
      </w:r>
    </w:p>
    <w:p w14:paraId="3794DC59"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
    <w:p w14:paraId="64D62683" w14:textId="0E45011F"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roofErr w:type="spellStart"/>
      <w:proofErr w:type="gramStart"/>
      <w:r w:rsidRPr="00EA3E1D">
        <w:rPr>
          <w:rFonts w:ascii="Times New Roman" w:hAnsi="Times New Roman" w:cs="Times New Roman"/>
          <w:sz w:val="20"/>
          <w:szCs w:val="20"/>
          <w:vertAlign w:val="superscript"/>
          <w:lang w:val="en-GB"/>
        </w:rPr>
        <w:t>a</w:t>
      </w:r>
      <w:proofErr w:type="spellEnd"/>
      <w:proofErr w:type="gramEnd"/>
      <w:r w:rsidRPr="00EA3E1D">
        <w:rPr>
          <w:rFonts w:ascii="Times New Roman" w:hAnsi="Times New Roman" w:cs="Times New Roman"/>
          <w:sz w:val="20"/>
          <w:szCs w:val="20"/>
          <w:lang w:val="en-GB"/>
        </w:rPr>
        <w:t xml:space="preserve"> </w:t>
      </w:r>
      <w:r w:rsidR="008230C0" w:rsidRPr="00EA3E1D">
        <w:rPr>
          <w:rFonts w:ascii="Times New Roman" w:hAnsi="Times New Roman" w:cs="Times New Roman"/>
          <w:sz w:val="20"/>
          <w:szCs w:val="20"/>
          <w:lang w:val="en-GB"/>
        </w:rPr>
        <w:t xml:space="preserve">Associations are expressed per IQR increase of the CVD hospitalization (full) cohort (IQR Percent public park cover: 15·9, NDVI: 0·27, Percent blue space cover: 3·2). </w:t>
      </w:r>
      <w:r w:rsidRPr="00EA3E1D">
        <w:rPr>
          <w:rFonts w:ascii="Times New Roman" w:hAnsi="Times New Roman" w:cs="Times New Roman"/>
          <w:sz w:val="20"/>
          <w:szCs w:val="20"/>
          <w:lang w:val="en-GB"/>
        </w:rPr>
        <w:t xml:space="preserve">Models included percent public park cover, NDVI, percent blue space cover and were adjusted for calendar year, region, US census covariates, % ever smoked, </w:t>
      </w:r>
      <w:r w:rsidRPr="00EA3E1D">
        <w:rPr>
          <w:rFonts w:ascii="Times New Roman" w:hAnsi="Times New Roman" w:cs="Times New Roman"/>
          <w:bCs/>
          <w:sz w:val="20"/>
          <w:szCs w:val="20"/>
          <w:lang w:val="en-GB"/>
        </w:rPr>
        <w:t xml:space="preserve">summer temperature, summer specific humidity and summer </w:t>
      </w:r>
      <w:r w:rsidRPr="00EA3E1D">
        <w:rPr>
          <w:rFonts w:ascii="Times New Roman" w:hAnsi="Times New Roman" w:cs="Times New Roman"/>
          <w:sz w:val="20"/>
          <w:szCs w:val="20"/>
          <w:lang w:val="en-GB"/>
        </w:rPr>
        <w:t>total</w:t>
      </w:r>
      <w:r w:rsidRPr="00EA3E1D">
        <w:rPr>
          <w:rFonts w:ascii="Times New Roman" w:hAnsi="Times New Roman" w:cs="Times New Roman"/>
          <w:bCs/>
          <w:sz w:val="20"/>
          <w:szCs w:val="20"/>
          <w:lang w:val="en-GB"/>
        </w:rPr>
        <w:t xml:space="preserve"> precipitation, </w:t>
      </w:r>
      <w:r w:rsidRPr="00EA3E1D">
        <w:rPr>
          <w:rFonts w:ascii="Times New Roman" w:hAnsi="Times New Roman" w:cs="Times New Roman"/>
          <w:sz w:val="20"/>
          <w:szCs w:val="20"/>
          <w:lang w:val="en-GB"/>
        </w:rPr>
        <w:t>an offset for total person-time and strata for all possible combinations of sex, race, Medicaid Eligibility, age at study entry (2-year categories), and follow-up year.</w:t>
      </w:r>
    </w:p>
    <w:p w14:paraId="06905173"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
    <w:p w14:paraId="699164CB"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09D4AC8C"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
    <w:p w14:paraId="3EEC2072"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
    <w:p w14:paraId="03A587FD"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
    <w:p w14:paraId="005EAED5"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
    <w:p w14:paraId="4B65E484"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Cs/>
          <w:sz w:val="20"/>
          <w:szCs w:val="20"/>
          <w:lang w:val="en-GB"/>
        </w:rPr>
      </w:pPr>
    </w:p>
    <w:p w14:paraId="1EFC6C35"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54CFDD5B"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456BDD6D" w14:textId="77777777"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0DADD77A" w14:textId="77777777" w:rsidR="00EA3E1D" w:rsidRDefault="00EA3E1D"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0B3DF4ED" w14:textId="77777777" w:rsidR="00EA3E1D" w:rsidRDefault="00EA3E1D"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3FF2AF93" w14:textId="77777777" w:rsidR="00EA3E1D" w:rsidRDefault="00EA3E1D"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172831B7" w14:textId="11AACD27" w:rsidR="00EA3E1D" w:rsidRDefault="00EA3E1D" w:rsidP="00B1078E">
      <w:pPr>
        <w:autoSpaceDE w:val="0"/>
        <w:autoSpaceDN w:val="0"/>
        <w:adjustRightInd w:val="0"/>
        <w:spacing w:after="0" w:line="240" w:lineRule="auto"/>
        <w:jc w:val="both"/>
        <w:rPr>
          <w:rFonts w:ascii="Times New Roman" w:hAnsi="Times New Roman" w:cs="Times New Roman"/>
          <w:b/>
          <w:bCs/>
          <w:sz w:val="20"/>
          <w:szCs w:val="20"/>
          <w:lang w:val="en-GB"/>
        </w:rPr>
      </w:pPr>
      <w:r w:rsidRPr="00EA3E1D">
        <w:rPr>
          <w:rFonts w:ascii="Times New Roman" w:hAnsi="Times New Roman" w:cs="Times New Roman"/>
          <w:noProof/>
          <w:sz w:val="20"/>
          <w:szCs w:val="20"/>
        </w:rPr>
        <w:lastRenderedPageBreak/>
        <w:drawing>
          <wp:anchor distT="0" distB="0" distL="114300" distR="114300" simplePos="0" relativeHeight="251668480" behindDoc="0" locked="0" layoutInCell="1" allowOverlap="1" wp14:anchorId="5AD9AB91" wp14:editId="608D1952">
            <wp:simplePos x="0" y="0"/>
            <wp:positionH relativeFrom="margin">
              <wp:align>right</wp:align>
            </wp:positionH>
            <wp:positionV relativeFrom="paragraph">
              <wp:posOffset>0</wp:posOffset>
            </wp:positionV>
            <wp:extent cx="6400800" cy="45961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00800" cy="4596130"/>
                    </a:xfrm>
                    <a:prstGeom prst="rect">
                      <a:avLst/>
                    </a:prstGeom>
                  </pic:spPr>
                </pic:pic>
              </a:graphicData>
            </a:graphic>
          </wp:anchor>
        </w:drawing>
      </w:r>
    </w:p>
    <w:p w14:paraId="74D45FEC" w14:textId="77777777" w:rsidR="00EA3E1D" w:rsidRDefault="00EA3E1D" w:rsidP="00B1078E">
      <w:pPr>
        <w:autoSpaceDE w:val="0"/>
        <w:autoSpaceDN w:val="0"/>
        <w:adjustRightInd w:val="0"/>
        <w:spacing w:after="0" w:line="240" w:lineRule="auto"/>
        <w:jc w:val="both"/>
        <w:rPr>
          <w:rFonts w:ascii="Times New Roman" w:hAnsi="Times New Roman" w:cs="Times New Roman"/>
          <w:b/>
          <w:bCs/>
          <w:sz w:val="20"/>
          <w:szCs w:val="20"/>
          <w:lang w:val="en-GB"/>
        </w:rPr>
      </w:pPr>
    </w:p>
    <w:p w14:paraId="4F859E21" w14:textId="3188B46C" w:rsidR="00B1078E" w:rsidRPr="00EA3E1D" w:rsidRDefault="00B1078E" w:rsidP="00B1078E">
      <w:pPr>
        <w:autoSpaceDE w:val="0"/>
        <w:autoSpaceDN w:val="0"/>
        <w:adjustRightInd w:val="0"/>
        <w:spacing w:after="0" w:line="240" w:lineRule="auto"/>
        <w:jc w:val="both"/>
        <w:rPr>
          <w:rFonts w:ascii="Times New Roman" w:hAnsi="Times New Roman" w:cs="Times New Roman"/>
          <w:b/>
          <w:bCs/>
          <w:sz w:val="20"/>
          <w:szCs w:val="20"/>
        </w:rPr>
      </w:pPr>
      <w:r w:rsidRPr="00EA3E1D">
        <w:rPr>
          <w:rFonts w:ascii="Times New Roman" w:hAnsi="Times New Roman" w:cs="Times New Roman"/>
          <w:b/>
          <w:bCs/>
          <w:sz w:val="20"/>
          <w:szCs w:val="20"/>
          <w:lang w:val="en-GB"/>
        </w:rPr>
        <w:t>Figure S5.</w:t>
      </w:r>
      <w:r w:rsidRPr="00EA3E1D">
        <w:rPr>
          <w:rFonts w:ascii="Times New Roman" w:eastAsia="Calibri" w:hAnsi="Times New Roman" w:cs="Times New Roman"/>
          <w:b/>
          <w:bCs/>
          <w:color w:val="000000" w:themeColor="text1"/>
          <w:kern w:val="24"/>
          <w:sz w:val="20"/>
          <w:szCs w:val="20"/>
          <w:lang w:val="en-GB"/>
        </w:rPr>
        <w:t xml:space="preserve"> A</w:t>
      </w:r>
      <w:r w:rsidRPr="00EA3E1D">
        <w:rPr>
          <w:rFonts w:ascii="Times New Roman" w:hAnsi="Times New Roman" w:cs="Times New Roman"/>
          <w:b/>
          <w:bCs/>
          <w:sz w:val="20"/>
          <w:szCs w:val="20"/>
          <w:lang w:val="en-GB"/>
        </w:rPr>
        <w:t xml:space="preserve">ssociations of percent public park cover, NDVI and percent blue space cover with CVD and RSD hospitalization in the urban population in stratified analyses by median household income, median home value and </w:t>
      </w:r>
      <w:r w:rsidRPr="00EA3E1D">
        <w:rPr>
          <w:rFonts w:ascii="Times New Roman" w:hAnsi="Times New Roman" w:cs="Times New Roman"/>
          <w:b/>
          <w:bCs/>
          <w:sz w:val="20"/>
          <w:szCs w:val="20"/>
        </w:rPr>
        <w:t>percent below the poverty level</w:t>
      </w:r>
      <w:r w:rsidR="00EA3E1D">
        <w:rPr>
          <w:rFonts w:ascii="Times New Roman" w:hAnsi="Times New Roman" w:cs="Times New Roman"/>
          <w:b/>
          <w:bCs/>
          <w:sz w:val="20"/>
          <w:szCs w:val="20"/>
        </w:rPr>
        <w:t>.</w:t>
      </w:r>
      <w:r w:rsidRPr="00EA3E1D">
        <w:rPr>
          <w:rFonts w:ascii="Times New Roman" w:hAnsi="Times New Roman" w:cs="Times New Roman"/>
          <w:b/>
          <w:bCs/>
          <w:sz w:val="20"/>
          <w:szCs w:val="20"/>
          <w:vertAlign w:val="superscript"/>
          <w:lang w:val="en-GB"/>
        </w:rPr>
        <w:t>a</w:t>
      </w:r>
      <w:r w:rsidR="00463744" w:rsidRPr="00EA3E1D">
        <w:rPr>
          <w:rFonts w:ascii="Times New Roman" w:hAnsi="Times New Roman" w:cs="Times New Roman"/>
          <w:b/>
          <w:bCs/>
          <w:sz w:val="20"/>
          <w:szCs w:val="20"/>
          <w:vertAlign w:val="superscript"/>
          <w:lang w:val="en-GB"/>
        </w:rPr>
        <w:t>, b</w:t>
      </w:r>
    </w:p>
    <w:p w14:paraId="1BD51B44" w14:textId="77777777" w:rsidR="006A03F5" w:rsidRPr="00EA3E1D" w:rsidRDefault="006A03F5" w:rsidP="00B1078E">
      <w:pPr>
        <w:autoSpaceDE w:val="0"/>
        <w:autoSpaceDN w:val="0"/>
        <w:adjustRightInd w:val="0"/>
        <w:spacing w:after="0" w:line="240" w:lineRule="auto"/>
        <w:jc w:val="both"/>
        <w:rPr>
          <w:rFonts w:ascii="Times New Roman" w:hAnsi="Times New Roman" w:cs="Times New Roman"/>
          <w:b/>
          <w:bCs/>
          <w:sz w:val="20"/>
          <w:szCs w:val="20"/>
        </w:rPr>
      </w:pPr>
    </w:p>
    <w:p w14:paraId="541028C3" w14:textId="0848AC73" w:rsidR="00B1078E" w:rsidRPr="00EA3E1D" w:rsidRDefault="00B1078E" w:rsidP="00B1078E">
      <w:pPr>
        <w:jc w:val="both"/>
        <w:rPr>
          <w:rFonts w:ascii="Times New Roman" w:hAnsi="Times New Roman" w:cs="Times New Roman"/>
          <w:b/>
          <w:bCs/>
          <w:sz w:val="20"/>
          <w:szCs w:val="20"/>
          <w:lang w:val="en-GB"/>
        </w:rPr>
      </w:pPr>
      <w:proofErr w:type="spellStart"/>
      <w:proofErr w:type="gramStart"/>
      <w:r w:rsidRPr="00EA3E1D">
        <w:rPr>
          <w:rFonts w:ascii="Times New Roman" w:hAnsi="Times New Roman" w:cs="Times New Roman"/>
          <w:sz w:val="20"/>
          <w:szCs w:val="20"/>
          <w:vertAlign w:val="superscript"/>
          <w:lang w:val="en-GB"/>
        </w:rPr>
        <w:t>a</w:t>
      </w:r>
      <w:proofErr w:type="spellEnd"/>
      <w:proofErr w:type="gramEnd"/>
      <w:r w:rsidRPr="00EA3E1D">
        <w:rPr>
          <w:rFonts w:ascii="Times New Roman" w:hAnsi="Times New Roman" w:cs="Times New Roman"/>
          <w:sz w:val="20"/>
          <w:szCs w:val="20"/>
          <w:lang w:val="en-GB"/>
        </w:rPr>
        <w:t xml:space="preserve"> </w:t>
      </w:r>
      <w:r w:rsidR="008230C0" w:rsidRPr="00EA3E1D">
        <w:rPr>
          <w:rFonts w:ascii="Times New Roman" w:hAnsi="Times New Roman" w:cs="Times New Roman"/>
          <w:sz w:val="20"/>
          <w:szCs w:val="20"/>
          <w:lang w:val="en-GB"/>
        </w:rPr>
        <w:t xml:space="preserve">Associations are expressed per IQR increase of the CVD hospitalization (full) cohort (IQR Percent public park cover: 15·9, NDVI: 0·27, Percent blue space cover: 3·2). </w:t>
      </w:r>
      <w:r w:rsidRPr="00EA3E1D">
        <w:rPr>
          <w:rFonts w:ascii="Times New Roman" w:hAnsi="Times New Roman" w:cs="Times New Roman"/>
          <w:sz w:val="20"/>
          <w:szCs w:val="20"/>
          <w:lang w:val="en-GB"/>
        </w:rPr>
        <w:t xml:space="preserve">Models included public park cover, NDVI, percent blue space cover and were adjusted for calendar year, region, US census covariates, % ever smoked, </w:t>
      </w:r>
      <w:r w:rsidRPr="00EA3E1D">
        <w:rPr>
          <w:rFonts w:ascii="Times New Roman" w:hAnsi="Times New Roman" w:cs="Times New Roman"/>
          <w:bCs/>
          <w:sz w:val="20"/>
          <w:szCs w:val="20"/>
          <w:lang w:val="en-GB"/>
        </w:rPr>
        <w:t xml:space="preserve">summer temperature, summer specific humidity and summer </w:t>
      </w:r>
      <w:r w:rsidRPr="00EA3E1D">
        <w:rPr>
          <w:rFonts w:ascii="Times New Roman" w:hAnsi="Times New Roman" w:cs="Times New Roman"/>
          <w:sz w:val="20"/>
          <w:szCs w:val="20"/>
          <w:lang w:val="en-GB"/>
        </w:rPr>
        <w:t>total</w:t>
      </w:r>
      <w:r w:rsidRPr="00EA3E1D">
        <w:rPr>
          <w:rFonts w:ascii="Times New Roman" w:hAnsi="Times New Roman" w:cs="Times New Roman"/>
          <w:bCs/>
          <w:sz w:val="20"/>
          <w:szCs w:val="20"/>
          <w:lang w:val="en-GB"/>
        </w:rPr>
        <w:t xml:space="preserve"> precipitation, </w:t>
      </w:r>
      <w:r w:rsidRPr="00EA3E1D">
        <w:rPr>
          <w:rFonts w:ascii="Times New Roman" w:hAnsi="Times New Roman" w:cs="Times New Roman"/>
          <w:sz w:val="20"/>
          <w:szCs w:val="20"/>
          <w:lang w:val="en-GB"/>
        </w:rPr>
        <w:t>an offset for total person-time and strata for all possible combinations of sex, race, Medicaid Eligibility, age at study entry (2-year categories), and follow-up year.</w:t>
      </w:r>
    </w:p>
    <w:p w14:paraId="3FAA7A6D" w14:textId="3E93C2ED" w:rsidR="00463744" w:rsidRPr="00EA3E1D" w:rsidRDefault="00463744" w:rsidP="00463744">
      <w:pPr>
        <w:autoSpaceDE w:val="0"/>
        <w:autoSpaceDN w:val="0"/>
        <w:adjustRightInd w:val="0"/>
        <w:spacing w:after="0" w:line="240" w:lineRule="auto"/>
        <w:jc w:val="both"/>
        <w:rPr>
          <w:rFonts w:ascii="Times New Roman" w:hAnsi="Times New Roman" w:cs="Times New Roman"/>
          <w:sz w:val="20"/>
          <w:szCs w:val="20"/>
          <w:lang w:val="en-GB"/>
        </w:rPr>
      </w:pPr>
      <w:r w:rsidRPr="00EA3E1D">
        <w:rPr>
          <w:rFonts w:ascii="Times New Roman" w:hAnsi="Times New Roman" w:cs="Times New Roman"/>
          <w:sz w:val="20"/>
          <w:szCs w:val="20"/>
          <w:vertAlign w:val="superscript"/>
          <w:lang w:val="en-GB"/>
        </w:rPr>
        <w:t>b</w:t>
      </w:r>
      <w:r w:rsidRPr="00EA3E1D">
        <w:rPr>
          <w:rFonts w:ascii="Times New Roman" w:hAnsi="Times New Roman" w:cs="Times New Roman"/>
          <w:sz w:val="20"/>
          <w:szCs w:val="20"/>
          <w:lang w:val="en-GB"/>
        </w:rPr>
        <w:t xml:space="preserve"> To define strata, we used the following quantiles (q33.3, q66.7) for the CVD cohort: median household income ($1,000): 42.5, 62.4; median home value ($1,000): 146.8, 276.8; percent below the poverty level (%): 6.5, 11.7; for the RSD cohort: median household income ($1,000): </w:t>
      </w:r>
      <w:r w:rsidR="004B6945" w:rsidRPr="00EA3E1D">
        <w:rPr>
          <w:rFonts w:ascii="Times New Roman" w:hAnsi="Times New Roman" w:cs="Times New Roman"/>
          <w:sz w:val="20"/>
          <w:szCs w:val="20"/>
          <w:lang w:val="en-GB"/>
        </w:rPr>
        <w:t>42.6</w:t>
      </w:r>
      <w:r w:rsidRPr="00EA3E1D">
        <w:rPr>
          <w:rFonts w:ascii="Times New Roman" w:hAnsi="Times New Roman" w:cs="Times New Roman"/>
          <w:sz w:val="20"/>
          <w:szCs w:val="20"/>
          <w:lang w:val="en-GB"/>
        </w:rPr>
        <w:t xml:space="preserve">, </w:t>
      </w:r>
      <w:r w:rsidR="004B6945" w:rsidRPr="00EA3E1D">
        <w:rPr>
          <w:rFonts w:ascii="Times New Roman" w:hAnsi="Times New Roman" w:cs="Times New Roman"/>
          <w:sz w:val="20"/>
          <w:szCs w:val="20"/>
          <w:lang w:val="en-GB"/>
        </w:rPr>
        <w:t>62.5</w:t>
      </w:r>
      <w:r w:rsidRPr="00EA3E1D">
        <w:rPr>
          <w:rFonts w:ascii="Times New Roman" w:hAnsi="Times New Roman" w:cs="Times New Roman"/>
          <w:sz w:val="20"/>
          <w:szCs w:val="20"/>
          <w:lang w:val="en-GB"/>
        </w:rPr>
        <w:t xml:space="preserve">; median home value ($1,000): </w:t>
      </w:r>
      <w:r w:rsidR="004B6945" w:rsidRPr="00EA3E1D">
        <w:rPr>
          <w:rFonts w:ascii="Times New Roman" w:hAnsi="Times New Roman" w:cs="Times New Roman"/>
          <w:sz w:val="20"/>
          <w:szCs w:val="20"/>
          <w:lang w:val="en-GB"/>
        </w:rPr>
        <w:t>147</w:t>
      </w:r>
      <w:r w:rsidRPr="00EA3E1D">
        <w:rPr>
          <w:rFonts w:ascii="Times New Roman" w:hAnsi="Times New Roman" w:cs="Times New Roman"/>
          <w:sz w:val="20"/>
          <w:szCs w:val="20"/>
          <w:lang w:val="en-GB"/>
        </w:rPr>
        <w:t>.</w:t>
      </w:r>
      <w:r w:rsidR="004B6945" w:rsidRPr="00EA3E1D">
        <w:rPr>
          <w:rFonts w:ascii="Times New Roman" w:hAnsi="Times New Roman" w:cs="Times New Roman"/>
          <w:sz w:val="20"/>
          <w:szCs w:val="20"/>
          <w:lang w:val="en-GB"/>
        </w:rPr>
        <w:t>0</w:t>
      </w:r>
      <w:r w:rsidRPr="00EA3E1D">
        <w:rPr>
          <w:rFonts w:ascii="Times New Roman" w:hAnsi="Times New Roman" w:cs="Times New Roman"/>
          <w:sz w:val="20"/>
          <w:szCs w:val="20"/>
          <w:lang w:val="en-GB"/>
        </w:rPr>
        <w:t xml:space="preserve">, </w:t>
      </w:r>
      <w:r w:rsidR="004B6945" w:rsidRPr="00EA3E1D">
        <w:rPr>
          <w:rFonts w:ascii="Times New Roman" w:hAnsi="Times New Roman" w:cs="Times New Roman"/>
          <w:sz w:val="20"/>
          <w:szCs w:val="20"/>
          <w:lang w:val="en-GB"/>
        </w:rPr>
        <w:t>276.7</w:t>
      </w:r>
      <w:r w:rsidRPr="00EA3E1D">
        <w:rPr>
          <w:rFonts w:ascii="Times New Roman" w:hAnsi="Times New Roman" w:cs="Times New Roman"/>
          <w:sz w:val="20"/>
          <w:szCs w:val="20"/>
          <w:lang w:val="en-GB"/>
        </w:rPr>
        <w:t>; percent below the poverty level (%): 6.5, 11.6.</w:t>
      </w:r>
    </w:p>
    <w:p w14:paraId="0AF89357" w14:textId="77777777" w:rsidR="00B1078E" w:rsidRPr="00EA3E1D" w:rsidRDefault="00B1078E" w:rsidP="00B1078E">
      <w:pPr>
        <w:rPr>
          <w:rFonts w:ascii="Times New Roman" w:hAnsi="Times New Roman" w:cs="Times New Roman"/>
          <w:sz w:val="20"/>
          <w:szCs w:val="20"/>
          <w:lang w:val="en-GB"/>
        </w:rPr>
      </w:pPr>
    </w:p>
    <w:p w14:paraId="612CE431" w14:textId="77777777" w:rsidR="00B1078E" w:rsidRPr="00EA3E1D" w:rsidRDefault="00B1078E" w:rsidP="00FC71A1">
      <w:pPr>
        <w:jc w:val="both"/>
        <w:rPr>
          <w:rFonts w:ascii="Times New Roman" w:hAnsi="Times New Roman" w:cs="Times New Roman"/>
          <w:b/>
          <w:bCs/>
          <w:sz w:val="20"/>
          <w:szCs w:val="20"/>
        </w:rPr>
      </w:pPr>
    </w:p>
    <w:sectPr w:rsidR="00B1078E" w:rsidRPr="00EA3E1D" w:rsidSect="00B1078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8A7"/>
    <w:multiLevelType w:val="hybridMultilevel"/>
    <w:tmpl w:val="FBEC2D94"/>
    <w:lvl w:ilvl="0" w:tplc="F2C86E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495A"/>
    <w:multiLevelType w:val="hybridMultilevel"/>
    <w:tmpl w:val="50C03EB2"/>
    <w:lvl w:ilvl="0" w:tplc="A87043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A3569"/>
    <w:multiLevelType w:val="hybridMultilevel"/>
    <w:tmpl w:val="6D90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7A7E"/>
    <w:multiLevelType w:val="hybridMultilevel"/>
    <w:tmpl w:val="D01E8B7C"/>
    <w:lvl w:ilvl="0" w:tplc="E53A61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E3966"/>
    <w:multiLevelType w:val="hybridMultilevel"/>
    <w:tmpl w:val="6550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A1"/>
    <w:rsid w:val="001900E3"/>
    <w:rsid w:val="00463744"/>
    <w:rsid w:val="004B589C"/>
    <w:rsid w:val="004B6945"/>
    <w:rsid w:val="004C5928"/>
    <w:rsid w:val="0051173C"/>
    <w:rsid w:val="005E6CEF"/>
    <w:rsid w:val="005F0169"/>
    <w:rsid w:val="006A03F5"/>
    <w:rsid w:val="006C0C91"/>
    <w:rsid w:val="008230C0"/>
    <w:rsid w:val="00A24BE3"/>
    <w:rsid w:val="00A25870"/>
    <w:rsid w:val="00B1078E"/>
    <w:rsid w:val="00BE0942"/>
    <w:rsid w:val="00E2120A"/>
    <w:rsid w:val="00EA3E1D"/>
    <w:rsid w:val="00FC71A1"/>
    <w:rsid w:val="00FD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A2A7"/>
  <w15:chartTrackingRefBased/>
  <w15:docId w15:val="{0BA1DFB2-38D1-4246-884C-14DC1488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1A1"/>
    <w:rPr>
      <w:color w:val="0000FF"/>
      <w:u w:val="single"/>
    </w:rPr>
  </w:style>
  <w:style w:type="table" w:styleId="TableGrid">
    <w:name w:val="Table Grid"/>
    <w:basedOn w:val="TableNormal"/>
    <w:uiPriority w:val="39"/>
    <w:rsid w:val="00FC7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C71A1"/>
    <w:rPr>
      <w:color w:val="605E5C"/>
      <w:shd w:val="clear" w:color="auto" w:fill="E1DFDD"/>
    </w:rPr>
  </w:style>
  <w:style w:type="character" w:styleId="FootnoteReference">
    <w:name w:val="footnote reference"/>
    <w:basedOn w:val="DefaultParagraphFont"/>
    <w:uiPriority w:val="99"/>
    <w:semiHidden/>
    <w:unhideWhenUsed/>
    <w:rsid w:val="00FC71A1"/>
    <w:rPr>
      <w:vertAlign w:val="superscript"/>
    </w:rPr>
  </w:style>
  <w:style w:type="paragraph" w:styleId="ListParagraph">
    <w:name w:val="List Paragraph"/>
    <w:basedOn w:val="Normal"/>
    <w:uiPriority w:val="34"/>
    <w:qFormat/>
    <w:rsid w:val="00FC71A1"/>
    <w:pPr>
      <w:ind w:left="720"/>
      <w:contextualSpacing/>
    </w:pPr>
  </w:style>
  <w:style w:type="paragraph" w:styleId="NoSpacing">
    <w:name w:val="No Spacing"/>
    <w:uiPriority w:val="1"/>
    <w:qFormat/>
    <w:rsid w:val="00FC71A1"/>
    <w:pPr>
      <w:spacing w:after="0" w:line="240" w:lineRule="auto"/>
    </w:pPr>
  </w:style>
  <w:style w:type="paragraph" w:styleId="BalloonText">
    <w:name w:val="Balloon Text"/>
    <w:basedOn w:val="Normal"/>
    <w:link w:val="BalloonTextChar"/>
    <w:uiPriority w:val="99"/>
    <w:semiHidden/>
    <w:unhideWhenUsed/>
    <w:rsid w:val="00FC7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1A1"/>
    <w:rPr>
      <w:rFonts w:ascii="Segoe UI" w:hAnsi="Segoe UI" w:cs="Segoe UI"/>
      <w:sz w:val="18"/>
      <w:szCs w:val="18"/>
    </w:rPr>
  </w:style>
  <w:style w:type="character" w:customStyle="1" w:styleId="html-italic">
    <w:name w:val="html-italic"/>
    <w:basedOn w:val="DefaultParagraphFont"/>
    <w:rsid w:val="00FC71A1"/>
  </w:style>
  <w:style w:type="character" w:styleId="CommentReference">
    <w:name w:val="annotation reference"/>
    <w:basedOn w:val="DefaultParagraphFont"/>
    <w:uiPriority w:val="99"/>
    <w:semiHidden/>
    <w:unhideWhenUsed/>
    <w:rsid w:val="00FC71A1"/>
    <w:rPr>
      <w:sz w:val="16"/>
      <w:szCs w:val="16"/>
    </w:rPr>
  </w:style>
  <w:style w:type="paragraph" w:styleId="CommentText">
    <w:name w:val="annotation text"/>
    <w:basedOn w:val="Normal"/>
    <w:link w:val="CommentTextChar"/>
    <w:uiPriority w:val="99"/>
    <w:semiHidden/>
    <w:unhideWhenUsed/>
    <w:rsid w:val="00FC71A1"/>
    <w:pPr>
      <w:spacing w:line="240" w:lineRule="auto"/>
    </w:pPr>
    <w:rPr>
      <w:sz w:val="20"/>
      <w:szCs w:val="20"/>
    </w:rPr>
  </w:style>
  <w:style w:type="character" w:customStyle="1" w:styleId="CommentTextChar">
    <w:name w:val="Comment Text Char"/>
    <w:basedOn w:val="DefaultParagraphFont"/>
    <w:link w:val="CommentText"/>
    <w:uiPriority w:val="99"/>
    <w:semiHidden/>
    <w:rsid w:val="00FC71A1"/>
    <w:rPr>
      <w:sz w:val="20"/>
      <w:szCs w:val="20"/>
    </w:rPr>
  </w:style>
  <w:style w:type="paragraph" w:styleId="CommentSubject">
    <w:name w:val="annotation subject"/>
    <w:basedOn w:val="CommentText"/>
    <w:next w:val="CommentText"/>
    <w:link w:val="CommentSubjectChar"/>
    <w:uiPriority w:val="99"/>
    <w:semiHidden/>
    <w:unhideWhenUsed/>
    <w:rsid w:val="00FC71A1"/>
    <w:rPr>
      <w:b/>
      <w:bCs/>
    </w:rPr>
  </w:style>
  <w:style w:type="character" w:customStyle="1" w:styleId="CommentSubjectChar">
    <w:name w:val="Comment Subject Char"/>
    <w:basedOn w:val="CommentTextChar"/>
    <w:link w:val="CommentSubject"/>
    <w:uiPriority w:val="99"/>
    <w:semiHidden/>
    <w:rsid w:val="00FC71A1"/>
    <w:rPr>
      <w:b/>
      <w:bCs/>
      <w:sz w:val="20"/>
      <w:szCs w:val="20"/>
    </w:rPr>
  </w:style>
  <w:style w:type="paragraph" w:styleId="Revision">
    <w:name w:val="Revision"/>
    <w:hidden/>
    <w:uiPriority w:val="99"/>
    <w:semiHidden/>
    <w:rsid w:val="00FC71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CE8C-89E6-436B-82CA-CE3C2E781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8591</Words>
  <Characters>48975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BWH - CDNM</Company>
  <LinksUpToDate>false</LinksUpToDate>
  <CharactersWithSpaces>57452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O. Klompmaker</dc:creator>
  <cp:keywords/>
  <dc:description/>
  <cp:lastModifiedBy>Jochem O. Klompmaker</cp:lastModifiedBy>
  <cp:revision>12</cp:revision>
  <dcterms:created xsi:type="dcterms:W3CDTF">2022-01-17T20:53:00Z</dcterms:created>
  <dcterms:modified xsi:type="dcterms:W3CDTF">2022-03-30T18:17:00Z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http://www.zotero.org/styles/environmental-health-perspectives</vt:lpwstr>
  </property>
  <property fmtid="{D5CDD505-2E9C-101B-9397-08002B2CF9AE}" pid="11" name="Mendeley Recent Style Name 4_1">
    <vt:lpwstr>Environmental Health Perspectives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e8e32c52-ae03-3947-9647-5aaec0a7d29d</vt:lpwstr>
  </property>
  <property fmtid="{D5CDD505-2E9C-101B-9397-08002B2CF9AE}" pid="24" name="Mendeley Citation Style_1">
    <vt:lpwstr>http://www.zotero.org/styles/the-lancet</vt:lpwstr>
  </property>
</Properties>
</file>