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F639F" w14:textId="408A9062" w:rsidR="00797EE0" w:rsidRPr="003E3BB9" w:rsidRDefault="004933E5" w:rsidP="00AF709B">
      <w:pPr>
        <w:jc w:val="both"/>
        <w:rPr>
          <w:b/>
        </w:rPr>
      </w:pPr>
      <w:r w:rsidRPr="003E3BB9">
        <w:rPr>
          <w:b/>
        </w:rPr>
        <w:t>A</w:t>
      </w:r>
      <w:r w:rsidR="00797EE0" w:rsidRPr="003E3BB9">
        <w:rPr>
          <w:b/>
        </w:rPr>
        <w:t xml:space="preserve">ssociations </w:t>
      </w:r>
      <w:r w:rsidRPr="003E3BB9">
        <w:rPr>
          <w:b/>
        </w:rPr>
        <w:t>of</w:t>
      </w:r>
      <w:r w:rsidR="00797EE0" w:rsidRPr="003E3BB9">
        <w:rPr>
          <w:b/>
        </w:rPr>
        <w:t xml:space="preserve"> </w:t>
      </w:r>
      <w:r w:rsidR="00BB6B67" w:rsidRPr="003E3BB9">
        <w:rPr>
          <w:b/>
        </w:rPr>
        <w:t>public parks</w:t>
      </w:r>
      <w:r w:rsidR="00BB6B67">
        <w:rPr>
          <w:b/>
        </w:rPr>
        <w:t>,</w:t>
      </w:r>
      <w:r w:rsidR="00BB6B67" w:rsidRPr="003E3BB9">
        <w:rPr>
          <w:b/>
        </w:rPr>
        <w:t xml:space="preserve"> </w:t>
      </w:r>
      <w:r w:rsidR="00024F4D" w:rsidRPr="003E3BB9">
        <w:rPr>
          <w:b/>
        </w:rPr>
        <w:t>greenness</w:t>
      </w:r>
      <w:r w:rsidR="00024F4D">
        <w:rPr>
          <w:b/>
        </w:rPr>
        <w:t xml:space="preserve">, </w:t>
      </w:r>
      <w:r w:rsidRPr="003E3BB9">
        <w:rPr>
          <w:b/>
        </w:rPr>
        <w:t xml:space="preserve">and blue space with </w:t>
      </w:r>
      <w:r w:rsidR="00797EE0" w:rsidRPr="003E3BB9">
        <w:rPr>
          <w:b/>
        </w:rPr>
        <w:t>cardiovascular</w:t>
      </w:r>
      <w:r w:rsidRPr="003E3BB9">
        <w:rPr>
          <w:b/>
        </w:rPr>
        <w:t xml:space="preserve"> and</w:t>
      </w:r>
      <w:r w:rsidR="00797EE0" w:rsidRPr="003E3BB9">
        <w:rPr>
          <w:b/>
        </w:rPr>
        <w:t xml:space="preserve"> respiratory disease hospitalization in the US Medicare cohort</w:t>
      </w:r>
    </w:p>
    <w:p w14:paraId="27EC7443" w14:textId="24686479" w:rsidR="003E3BB9" w:rsidRPr="00266036" w:rsidRDefault="003E3BB9" w:rsidP="003E3BB9">
      <w:pPr>
        <w:jc w:val="both"/>
        <w:rPr>
          <w:b/>
          <w:bCs/>
          <w:lang w:val="en-GB"/>
        </w:rPr>
      </w:pPr>
      <w:r w:rsidRPr="00266036">
        <w:rPr>
          <w:b/>
          <w:bCs/>
          <w:lang w:val="en-GB"/>
        </w:rPr>
        <w:t>Authors</w:t>
      </w:r>
      <w:r w:rsidR="00A32EAD">
        <w:rPr>
          <w:b/>
          <w:bCs/>
          <w:lang w:val="en-GB"/>
        </w:rPr>
        <w:t xml:space="preserve"> and affiliations</w:t>
      </w:r>
      <w:r w:rsidRPr="00266036">
        <w:rPr>
          <w:b/>
          <w:bCs/>
          <w:lang w:val="en-GB"/>
        </w:rPr>
        <w:t>:</w:t>
      </w:r>
    </w:p>
    <w:p w14:paraId="3534E484" w14:textId="05283E02" w:rsidR="003E3BB9" w:rsidRDefault="003E3BB9" w:rsidP="003E3BB9">
      <w:pPr>
        <w:jc w:val="both"/>
        <w:rPr>
          <w:vertAlign w:val="superscript"/>
          <w:lang w:val="en-GB"/>
        </w:rPr>
      </w:pPr>
      <w:bookmarkStart w:id="0" w:name="_Hlk79485760"/>
      <w:r w:rsidRPr="000978DC">
        <w:rPr>
          <w:lang w:val="en-GB"/>
        </w:rPr>
        <w:t xml:space="preserve">Jochem O Klompmaker </w:t>
      </w:r>
      <w:r w:rsidRPr="000978DC">
        <w:rPr>
          <w:vertAlign w:val="superscript"/>
          <w:lang w:val="en-GB"/>
        </w:rPr>
        <w:t>a, b</w:t>
      </w:r>
      <w:r w:rsidRPr="000978DC">
        <w:rPr>
          <w:lang w:val="en-GB"/>
        </w:rPr>
        <w:t xml:space="preserve">, Francine Laden </w:t>
      </w:r>
      <w:r w:rsidRPr="000978DC">
        <w:rPr>
          <w:vertAlign w:val="superscript"/>
          <w:lang w:val="en-GB"/>
        </w:rPr>
        <w:t>a, b, c</w:t>
      </w:r>
      <w:r w:rsidRPr="000978DC">
        <w:rPr>
          <w:lang w:val="en-GB"/>
        </w:rPr>
        <w:t xml:space="preserve">, </w:t>
      </w:r>
      <w:r w:rsidR="00A32EAD" w:rsidRPr="00A32EAD">
        <w:rPr>
          <w:lang w:val="en-GB"/>
        </w:rPr>
        <w:t xml:space="preserve">Matthew H E M Browning </w:t>
      </w:r>
      <w:r w:rsidR="00A32EAD" w:rsidRPr="00A32EAD">
        <w:rPr>
          <w:vertAlign w:val="superscript"/>
          <w:lang w:val="en-GB"/>
        </w:rPr>
        <w:t>d</w:t>
      </w:r>
      <w:r w:rsidR="00A32EAD" w:rsidRPr="00A32EAD">
        <w:rPr>
          <w:lang w:val="en-GB"/>
        </w:rPr>
        <w:t xml:space="preserve">, </w:t>
      </w:r>
      <w:r w:rsidRPr="000978DC">
        <w:rPr>
          <w:lang w:val="en-GB"/>
        </w:rPr>
        <w:t xml:space="preserve">Francesca Dominici </w:t>
      </w:r>
      <w:r w:rsidR="00A32EAD">
        <w:rPr>
          <w:vertAlign w:val="superscript"/>
          <w:lang w:val="en-GB"/>
        </w:rPr>
        <w:t>e</w:t>
      </w:r>
      <w:r w:rsidRPr="000978DC">
        <w:rPr>
          <w:lang w:val="en-GB"/>
        </w:rPr>
        <w:t>,</w:t>
      </w:r>
      <w:r w:rsidR="00A32EAD" w:rsidRPr="00A32EAD">
        <w:t xml:space="preserve"> </w:t>
      </w:r>
      <w:r w:rsidR="00A32EAD">
        <w:rPr>
          <w:lang w:val="en-GB"/>
        </w:rPr>
        <w:t xml:space="preserve">S Scott </w:t>
      </w:r>
      <w:proofErr w:type="spellStart"/>
      <w:r w:rsidR="00A32EAD">
        <w:rPr>
          <w:lang w:val="en-GB"/>
        </w:rPr>
        <w:t>Ogletree</w:t>
      </w:r>
      <w:proofErr w:type="spellEnd"/>
      <w:r w:rsidR="00A32EAD">
        <w:rPr>
          <w:lang w:val="en-GB"/>
        </w:rPr>
        <w:t xml:space="preserve"> </w:t>
      </w:r>
      <w:r w:rsidR="00A32EAD" w:rsidRPr="00A32EAD">
        <w:rPr>
          <w:vertAlign w:val="superscript"/>
          <w:lang w:val="en-GB"/>
        </w:rPr>
        <w:t>f</w:t>
      </w:r>
      <w:r w:rsidR="00A32EAD">
        <w:rPr>
          <w:lang w:val="en-GB"/>
        </w:rPr>
        <w:t xml:space="preserve">, Alessandro </w:t>
      </w:r>
      <w:proofErr w:type="spellStart"/>
      <w:r w:rsidR="00A32EAD">
        <w:rPr>
          <w:lang w:val="en-GB"/>
        </w:rPr>
        <w:t>Rigolon</w:t>
      </w:r>
      <w:proofErr w:type="spellEnd"/>
      <w:r w:rsidR="00A32EAD">
        <w:rPr>
          <w:lang w:val="en-GB"/>
        </w:rPr>
        <w:t xml:space="preserve"> </w:t>
      </w:r>
      <w:r w:rsidR="00A32EAD" w:rsidRPr="00A32EAD">
        <w:rPr>
          <w:vertAlign w:val="superscript"/>
          <w:lang w:val="en-GB"/>
        </w:rPr>
        <w:t>g</w:t>
      </w:r>
      <w:r w:rsidR="00A32EAD" w:rsidRPr="00A32EAD">
        <w:rPr>
          <w:lang w:val="en-GB"/>
        </w:rPr>
        <w:t>,</w:t>
      </w:r>
      <w:r w:rsidRPr="000978DC">
        <w:rPr>
          <w:lang w:val="en-GB"/>
        </w:rPr>
        <w:t xml:space="preserve"> Jaime E Hart </w:t>
      </w:r>
      <w:r>
        <w:rPr>
          <w:vertAlign w:val="superscript"/>
          <w:lang w:val="en-GB"/>
        </w:rPr>
        <w:t>a, b</w:t>
      </w:r>
      <w:r w:rsidR="00944BA3">
        <w:rPr>
          <w:vertAlign w:val="superscript"/>
          <w:lang w:val="en-GB"/>
        </w:rPr>
        <w:t>*</w:t>
      </w:r>
      <w:r w:rsidRPr="000978DC">
        <w:rPr>
          <w:lang w:val="en-GB"/>
        </w:rPr>
        <w:t xml:space="preserve">, Peter James </w:t>
      </w:r>
      <w:r w:rsidRPr="000978DC">
        <w:rPr>
          <w:vertAlign w:val="superscript"/>
          <w:lang w:val="en-GB"/>
        </w:rPr>
        <w:t xml:space="preserve">a, </w:t>
      </w:r>
      <w:r w:rsidR="00A32EAD">
        <w:rPr>
          <w:vertAlign w:val="superscript"/>
          <w:lang w:val="en-GB"/>
        </w:rPr>
        <w:t>h</w:t>
      </w:r>
      <w:r w:rsidR="00944BA3">
        <w:rPr>
          <w:vertAlign w:val="superscript"/>
          <w:lang w:val="en-GB"/>
        </w:rPr>
        <w:t>*</w:t>
      </w:r>
    </w:p>
    <w:p w14:paraId="492F5BF1" w14:textId="51BB5F51" w:rsidR="003E3BB9" w:rsidRPr="00266036" w:rsidRDefault="003E3BB9" w:rsidP="003E3BB9">
      <w:pPr>
        <w:jc w:val="both"/>
        <w:rPr>
          <w:i/>
          <w:iCs/>
          <w:lang w:val="en-GB"/>
        </w:rPr>
      </w:pPr>
      <w:proofErr w:type="gramStart"/>
      <w:r w:rsidRPr="00266036">
        <w:rPr>
          <w:i/>
          <w:iCs/>
          <w:vertAlign w:val="superscript"/>
          <w:lang w:val="en-GB"/>
        </w:rPr>
        <w:t>a</w:t>
      </w:r>
      <w:proofErr w:type="gramEnd"/>
      <w:r w:rsidRPr="00266036">
        <w:rPr>
          <w:i/>
          <w:iCs/>
          <w:vertAlign w:val="superscript"/>
          <w:lang w:val="en-GB"/>
        </w:rPr>
        <w:t xml:space="preserve"> </w:t>
      </w:r>
      <w:r w:rsidRPr="00266036">
        <w:rPr>
          <w:i/>
          <w:iCs/>
          <w:lang w:val="en-GB"/>
        </w:rPr>
        <w:t>Department of Environmental Health, Harvard T. H. Chan School of Public Health, Boston, Massachusetts 02115</w:t>
      </w:r>
      <w:r w:rsidR="00A32EAD" w:rsidRPr="004215E0">
        <w:rPr>
          <w:i/>
          <w:iCs/>
        </w:rPr>
        <w:t>, USA</w:t>
      </w:r>
      <w:r w:rsidRPr="00266036">
        <w:rPr>
          <w:i/>
          <w:iCs/>
          <w:lang w:val="en-GB"/>
        </w:rPr>
        <w:t xml:space="preserve"> </w:t>
      </w:r>
    </w:p>
    <w:p w14:paraId="38E70B09" w14:textId="577E08F9" w:rsidR="003E3BB9" w:rsidRPr="00266036" w:rsidRDefault="003E3BB9" w:rsidP="003E3BB9">
      <w:pPr>
        <w:jc w:val="both"/>
        <w:rPr>
          <w:i/>
          <w:iCs/>
          <w:lang w:val="en-GB"/>
        </w:rPr>
      </w:pPr>
      <w:proofErr w:type="gramStart"/>
      <w:r w:rsidRPr="00266036">
        <w:rPr>
          <w:i/>
          <w:iCs/>
          <w:vertAlign w:val="superscript"/>
          <w:lang w:val="en-GB"/>
        </w:rPr>
        <w:t>b</w:t>
      </w:r>
      <w:proofErr w:type="gramEnd"/>
      <w:r w:rsidRPr="00266036">
        <w:rPr>
          <w:i/>
          <w:iCs/>
          <w:vertAlign w:val="superscript"/>
          <w:lang w:val="en-GB"/>
        </w:rPr>
        <w:t xml:space="preserve"> </w:t>
      </w:r>
      <w:r w:rsidRPr="00266036">
        <w:rPr>
          <w:i/>
          <w:iCs/>
          <w:lang w:val="en-GB"/>
        </w:rPr>
        <w:t>Channing Division of Network Medicine, Department of Medicine, Brigham and Women’s Hospital, Boston, Massachusetts 0</w:t>
      </w:r>
      <w:r w:rsidR="00A32EAD">
        <w:rPr>
          <w:i/>
          <w:iCs/>
          <w:lang w:val="en-GB"/>
        </w:rPr>
        <w:t>2115</w:t>
      </w:r>
      <w:r w:rsidR="00A32EAD" w:rsidRPr="004215E0">
        <w:rPr>
          <w:i/>
          <w:iCs/>
        </w:rPr>
        <w:t>, USA</w:t>
      </w:r>
    </w:p>
    <w:p w14:paraId="129F33FC" w14:textId="192B1838" w:rsidR="003E3BB9" w:rsidRDefault="003E3BB9" w:rsidP="003E3BB9">
      <w:pPr>
        <w:jc w:val="both"/>
        <w:rPr>
          <w:i/>
          <w:iCs/>
          <w:lang w:val="en-GB"/>
        </w:rPr>
      </w:pPr>
      <w:proofErr w:type="gramStart"/>
      <w:r w:rsidRPr="00266036">
        <w:rPr>
          <w:i/>
          <w:iCs/>
          <w:vertAlign w:val="superscript"/>
          <w:lang w:val="en-GB"/>
        </w:rPr>
        <w:t>c</w:t>
      </w:r>
      <w:proofErr w:type="gramEnd"/>
      <w:r w:rsidRPr="00266036">
        <w:rPr>
          <w:i/>
          <w:iCs/>
          <w:vertAlign w:val="superscript"/>
          <w:lang w:val="en-GB"/>
        </w:rPr>
        <w:t xml:space="preserve"> </w:t>
      </w:r>
      <w:r w:rsidRPr="00266036">
        <w:rPr>
          <w:i/>
          <w:iCs/>
          <w:lang w:val="en-GB"/>
        </w:rPr>
        <w:t>Department of Epidemiology, Harvard T. H. Chan School of Public Health, Boston, Massachusetts 02115</w:t>
      </w:r>
      <w:r w:rsidR="00A32EAD" w:rsidRPr="004215E0">
        <w:rPr>
          <w:i/>
          <w:iCs/>
        </w:rPr>
        <w:t>, USA</w:t>
      </w:r>
    </w:p>
    <w:p w14:paraId="3CD8152E" w14:textId="55E82A33" w:rsidR="00A32EAD" w:rsidRDefault="00A32EAD" w:rsidP="00A32EAD">
      <w:pPr>
        <w:spacing w:line="360" w:lineRule="auto"/>
        <w:jc w:val="both"/>
        <w:rPr>
          <w:i/>
          <w:iCs/>
        </w:rPr>
      </w:pPr>
      <w:proofErr w:type="gramStart"/>
      <w:r>
        <w:rPr>
          <w:i/>
          <w:iCs/>
          <w:vertAlign w:val="superscript"/>
        </w:rPr>
        <w:t>d</w:t>
      </w:r>
      <w:proofErr w:type="gramEnd"/>
      <w:r>
        <w:rPr>
          <w:i/>
          <w:iCs/>
        </w:rPr>
        <w:t xml:space="preserve"> </w:t>
      </w:r>
      <w:r w:rsidRPr="004215E0">
        <w:rPr>
          <w:i/>
          <w:iCs/>
        </w:rPr>
        <w:t>Department of Parks, Recreation and Tourism Management, Clemson University, Clemson, S</w:t>
      </w:r>
      <w:r>
        <w:rPr>
          <w:i/>
          <w:iCs/>
        </w:rPr>
        <w:t xml:space="preserve">outh </w:t>
      </w:r>
      <w:r w:rsidRPr="004215E0">
        <w:rPr>
          <w:i/>
          <w:iCs/>
        </w:rPr>
        <w:t>C</w:t>
      </w:r>
      <w:r>
        <w:rPr>
          <w:i/>
          <w:iCs/>
        </w:rPr>
        <w:t>arolina</w:t>
      </w:r>
      <w:r w:rsidRPr="004215E0">
        <w:rPr>
          <w:i/>
          <w:iCs/>
        </w:rPr>
        <w:t xml:space="preserve"> 29634, USA</w:t>
      </w:r>
    </w:p>
    <w:p w14:paraId="009A0A9D" w14:textId="254CD511" w:rsidR="003E3BB9" w:rsidRDefault="00A32EAD" w:rsidP="003E3BB9">
      <w:pPr>
        <w:jc w:val="both"/>
        <w:rPr>
          <w:i/>
          <w:iCs/>
          <w:lang w:val="en-GB"/>
        </w:rPr>
      </w:pPr>
      <w:r>
        <w:rPr>
          <w:i/>
          <w:iCs/>
          <w:vertAlign w:val="superscript"/>
          <w:lang w:val="en-GB"/>
        </w:rPr>
        <w:t>e</w:t>
      </w:r>
      <w:r w:rsidR="003E3BB9" w:rsidRPr="00266036">
        <w:rPr>
          <w:i/>
          <w:iCs/>
          <w:vertAlign w:val="superscript"/>
          <w:lang w:val="en-GB"/>
        </w:rPr>
        <w:t xml:space="preserve"> </w:t>
      </w:r>
      <w:r w:rsidR="003E3BB9" w:rsidRPr="00266036">
        <w:rPr>
          <w:i/>
          <w:iCs/>
          <w:lang w:val="en-GB"/>
        </w:rPr>
        <w:t>Department of Biostatistics, Harvard T.H. Chan School of Public Health, Boston, Massachusetts 02115</w:t>
      </w:r>
      <w:r w:rsidRPr="004215E0">
        <w:rPr>
          <w:i/>
          <w:iCs/>
        </w:rPr>
        <w:t>, USA</w:t>
      </w:r>
    </w:p>
    <w:p w14:paraId="15777535" w14:textId="0E1B6056" w:rsidR="00A32EAD" w:rsidRPr="004215E0" w:rsidRDefault="00A32EAD" w:rsidP="00A32EAD">
      <w:pPr>
        <w:spacing w:line="360" w:lineRule="auto"/>
        <w:jc w:val="both"/>
        <w:rPr>
          <w:i/>
          <w:iCs/>
        </w:rPr>
      </w:pPr>
      <w:proofErr w:type="gramStart"/>
      <w:r>
        <w:rPr>
          <w:i/>
          <w:iCs/>
          <w:vertAlign w:val="superscript"/>
          <w:lang w:val="en-GB"/>
        </w:rPr>
        <w:t>f</w:t>
      </w:r>
      <w:proofErr w:type="gramEnd"/>
      <w:r>
        <w:rPr>
          <w:i/>
          <w:iCs/>
          <w:vertAlign w:val="superscript"/>
        </w:rPr>
        <w:t xml:space="preserve"> </w:t>
      </w:r>
      <w:proofErr w:type="spellStart"/>
      <w:r w:rsidRPr="00CB2D65">
        <w:rPr>
          <w:i/>
          <w:iCs/>
        </w:rPr>
        <w:t>OPENspace</w:t>
      </w:r>
      <w:proofErr w:type="spellEnd"/>
      <w:r w:rsidRPr="00CB2D65">
        <w:rPr>
          <w:i/>
          <w:iCs/>
        </w:rPr>
        <w:t xml:space="preserve"> Research Centre, School of Architecture and Landscape Architecture, University of Edinburgh, Edinburgh, UK</w:t>
      </w:r>
    </w:p>
    <w:p w14:paraId="22D83E16" w14:textId="276715EB" w:rsidR="00A32EAD" w:rsidRDefault="00A32EAD" w:rsidP="00A32EAD">
      <w:pPr>
        <w:spacing w:line="360" w:lineRule="auto"/>
        <w:jc w:val="both"/>
        <w:rPr>
          <w:i/>
          <w:iCs/>
        </w:rPr>
      </w:pPr>
      <w:proofErr w:type="gramStart"/>
      <w:r w:rsidRPr="00A32EAD">
        <w:rPr>
          <w:i/>
          <w:iCs/>
          <w:vertAlign w:val="superscript"/>
        </w:rPr>
        <w:t>g</w:t>
      </w:r>
      <w:proofErr w:type="gramEnd"/>
      <w:r>
        <w:rPr>
          <w:i/>
          <w:iCs/>
        </w:rPr>
        <w:t xml:space="preserve"> </w:t>
      </w:r>
      <w:r w:rsidRPr="00167F0D">
        <w:rPr>
          <w:i/>
          <w:iCs/>
        </w:rPr>
        <w:t xml:space="preserve">Department of City and Metropolitan Planning, </w:t>
      </w:r>
      <w:r>
        <w:rPr>
          <w:i/>
          <w:iCs/>
        </w:rPr>
        <w:t xml:space="preserve">The </w:t>
      </w:r>
      <w:r w:rsidRPr="00167F0D">
        <w:rPr>
          <w:i/>
          <w:iCs/>
        </w:rPr>
        <w:t>University of Utah, 375 South 1530 East, Salt Lake City, U</w:t>
      </w:r>
      <w:r>
        <w:rPr>
          <w:i/>
          <w:iCs/>
        </w:rPr>
        <w:t>tah</w:t>
      </w:r>
      <w:r w:rsidRPr="00167F0D">
        <w:rPr>
          <w:i/>
          <w:iCs/>
        </w:rPr>
        <w:t xml:space="preserve"> 84112</w:t>
      </w:r>
      <w:r>
        <w:rPr>
          <w:i/>
          <w:iCs/>
        </w:rPr>
        <w:t>, USA</w:t>
      </w:r>
    </w:p>
    <w:p w14:paraId="3095E820" w14:textId="0F96B3E9" w:rsidR="003E3BB9" w:rsidRPr="00266036" w:rsidRDefault="00A32EAD" w:rsidP="003E3BB9">
      <w:pPr>
        <w:jc w:val="both"/>
        <w:rPr>
          <w:i/>
          <w:iCs/>
          <w:lang w:val="en-GB"/>
        </w:rPr>
      </w:pPr>
      <w:r>
        <w:rPr>
          <w:i/>
          <w:iCs/>
          <w:vertAlign w:val="superscript"/>
          <w:lang w:val="en-GB"/>
        </w:rPr>
        <w:t>h</w:t>
      </w:r>
      <w:r w:rsidR="003E3BB9" w:rsidRPr="00266036">
        <w:rPr>
          <w:i/>
          <w:iCs/>
          <w:vertAlign w:val="superscript"/>
          <w:lang w:val="en-GB"/>
        </w:rPr>
        <w:t xml:space="preserve"> </w:t>
      </w:r>
      <w:r w:rsidR="003E3BB9" w:rsidRPr="00266036">
        <w:rPr>
          <w:i/>
          <w:iCs/>
          <w:lang w:val="en-GB"/>
        </w:rPr>
        <w:t>Department of Population Medicine, Harvard Medical School and Harvard Pilgrim Health Care Institute, Boston, Massachusetts 02215</w:t>
      </w:r>
      <w:r w:rsidRPr="004215E0">
        <w:rPr>
          <w:i/>
          <w:iCs/>
        </w:rPr>
        <w:t>, USA</w:t>
      </w:r>
    </w:p>
    <w:p w14:paraId="01F6EB39" w14:textId="77777777" w:rsidR="003E3BB9" w:rsidRPr="00925D7F" w:rsidRDefault="003E3BB9" w:rsidP="003E3BB9">
      <w:pPr>
        <w:jc w:val="both"/>
        <w:rPr>
          <w:i/>
          <w:iCs/>
          <w:lang w:val="en-GB"/>
        </w:rPr>
      </w:pPr>
      <w:r w:rsidRPr="00925D7F">
        <w:rPr>
          <w:i/>
          <w:iCs/>
          <w:vertAlign w:val="superscript"/>
          <w:lang w:val="en-GB"/>
        </w:rPr>
        <w:t>*</w:t>
      </w:r>
      <w:r>
        <w:rPr>
          <w:i/>
          <w:iCs/>
          <w:lang w:val="en-GB"/>
        </w:rPr>
        <w:t xml:space="preserve"> Contributed equally as last author</w:t>
      </w:r>
    </w:p>
    <w:p w14:paraId="78AA8F48" w14:textId="77777777" w:rsidR="003E3BB9" w:rsidRPr="00E73F71" w:rsidRDefault="003E3BB9" w:rsidP="003E3BB9">
      <w:pPr>
        <w:jc w:val="both"/>
        <w:rPr>
          <w:b/>
          <w:bCs/>
        </w:rPr>
      </w:pPr>
      <w:r w:rsidRPr="00E73F71">
        <w:rPr>
          <w:b/>
          <w:bCs/>
        </w:rPr>
        <w:t>Corresponding author:</w:t>
      </w:r>
    </w:p>
    <w:p w14:paraId="4247ADBD" w14:textId="77777777" w:rsidR="003E3BB9" w:rsidRPr="00D87306" w:rsidRDefault="003E3BB9" w:rsidP="003E3BB9">
      <w:pPr>
        <w:jc w:val="both"/>
        <w:rPr>
          <w:lang w:val="nl-NL"/>
        </w:rPr>
      </w:pPr>
      <w:r w:rsidRPr="00D87306">
        <w:rPr>
          <w:lang w:val="nl-NL"/>
        </w:rPr>
        <w:t>Jochem O Klompmaker, PhD</w:t>
      </w:r>
    </w:p>
    <w:p w14:paraId="52E10619" w14:textId="77777777" w:rsidR="003E3BB9" w:rsidRPr="00D87306" w:rsidRDefault="003E3BB9" w:rsidP="003E3BB9">
      <w:pPr>
        <w:jc w:val="both"/>
        <w:rPr>
          <w:lang w:val="nl-NL"/>
        </w:rPr>
      </w:pPr>
      <w:r w:rsidRPr="00D87306">
        <w:rPr>
          <w:lang w:val="nl-NL"/>
        </w:rPr>
        <w:t>jklompmaker@hsph.harvard.edu</w:t>
      </w:r>
    </w:p>
    <w:p w14:paraId="1DB3D024" w14:textId="77777777" w:rsidR="003E3BB9" w:rsidRDefault="003E3BB9" w:rsidP="003E3BB9">
      <w:pPr>
        <w:jc w:val="both"/>
      </w:pPr>
      <w:r w:rsidRPr="00E73F71">
        <w:t>Department of Environmental Health</w:t>
      </w:r>
      <w:r>
        <w:t xml:space="preserve">, </w:t>
      </w:r>
      <w:r w:rsidRPr="00E73F71">
        <w:t>Harvard T. H. Chan School of Public Health</w:t>
      </w:r>
      <w:r>
        <w:t xml:space="preserve">, </w:t>
      </w:r>
      <w:r w:rsidRPr="00E73F71">
        <w:t xml:space="preserve">Landmark Center, 401 Park Drive, </w:t>
      </w:r>
      <w:bookmarkStart w:id="1" w:name="_Hlk47347305"/>
      <w:r w:rsidRPr="00E73F71">
        <w:t xml:space="preserve">Boston </w:t>
      </w:r>
      <w:r w:rsidRPr="000978DC">
        <w:t>Massachusetts</w:t>
      </w:r>
      <w:r w:rsidRPr="00E73F71">
        <w:t xml:space="preserve"> 02215</w:t>
      </w:r>
      <w:bookmarkEnd w:id="1"/>
      <w:r>
        <w:t>, USA</w:t>
      </w:r>
    </w:p>
    <w:p w14:paraId="1644AD81" w14:textId="77777777" w:rsidR="003E3BB9" w:rsidRPr="00E73F71" w:rsidRDefault="003E3BB9" w:rsidP="003E3BB9">
      <w:pPr>
        <w:jc w:val="both"/>
      </w:pPr>
      <w:r w:rsidRPr="000978DC">
        <w:t>Channing Division of Network Medicine, Department of Medicine, Brigham and Women’s Hospital, 181 Longwood Avenue, Boston, Massachusetts 02115</w:t>
      </w:r>
      <w:r>
        <w:t>, USA</w:t>
      </w:r>
    </w:p>
    <w:bookmarkEnd w:id="0"/>
    <w:p w14:paraId="74271FFF" w14:textId="296C3817" w:rsidR="003E3BB9" w:rsidRDefault="003E3BB9" w:rsidP="00AF709B">
      <w:pPr>
        <w:jc w:val="both"/>
        <w:rPr>
          <w:b/>
          <w:bCs/>
        </w:rPr>
      </w:pPr>
    </w:p>
    <w:p w14:paraId="37B09D74" w14:textId="0D952F7B" w:rsidR="00A35E7F" w:rsidRDefault="00A35E7F" w:rsidP="00AF709B">
      <w:pPr>
        <w:jc w:val="both"/>
        <w:rPr>
          <w:b/>
          <w:bCs/>
        </w:rPr>
      </w:pPr>
    </w:p>
    <w:p w14:paraId="7A161260" w14:textId="31089B57" w:rsidR="00A462E7" w:rsidRDefault="00A462E7" w:rsidP="00AF709B">
      <w:pPr>
        <w:jc w:val="both"/>
        <w:rPr>
          <w:b/>
          <w:bCs/>
        </w:rPr>
      </w:pPr>
      <w:r>
        <w:rPr>
          <w:b/>
          <w:bCs/>
        </w:rPr>
        <w:lastRenderedPageBreak/>
        <w:t>Abstract</w:t>
      </w:r>
    </w:p>
    <w:p w14:paraId="7C8B5D01" w14:textId="7BFFBB18" w:rsidR="00616570" w:rsidRDefault="00CB37C9" w:rsidP="00616570">
      <w:pPr>
        <w:jc w:val="both"/>
      </w:pPr>
      <w:r>
        <w:rPr>
          <w:b/>
        </w:rPr>
        <w:t>Background</w:t>
      </w:r>
      <w:r w:rsidR="00616570" w:rsidRPr="00F90BCC">
        <w:rPr>
          <w:b/>
        </w:rPr>
        <w:t>:</w:t>
      </w:r>
      <w:r w:rsidR="00616570">
        <w:t xml:space="preserve"> </w:t>
      </w:r>
      <w:r w:rsidR="00727327">
        <w:t xml:space="preserve">Natural environments </w:t>
      </w:r>
      <w:proofErr w:type="gramStart"/>
      <w:r w:rsidR="00727327">
        <w:t>have been linked</w:t>
      </w:r>
      <w:proofErr w:type="gramEnd"/>
      <w:r w:rsidR="00727327">
        <w:t xml:space="preserve"> to decreased risk of cardiovascular </w:t>
      </w:r>
      <w:r w:rsidR="00BF70EF">
        <w:t>dis</w:t>
      </w:r>
      <w:r w:rsidR="00E82836">
        <w:t xml:space="preserve">ease </w:t>
      </w:r>
      <w:r w:rsidR="00727327">
        <w:t xml:space="preserve">(CVD) and respiratory disease (RSD) mortality. However, </w:t>
      </w:r>
      <w:r w:rsidR="00944BA3">
        <w:t>few</w:t>
      </w:r>
      <w:r w:rsidR="00616570">
        <w:t xml:space="preserve"> cohort studies have looked at associations of natural environment</w:t>
      </w:r>
      <w:r w:rsidR="00633CCB">
        <w:t>s</w:t>
      </w:r>
      <w:r w:rsidR="00CF3920">
        <w:t xml:space="preserve"> </w:t>
      </w:r>
      <w:r w:rsidR="00616570">
        <w:t xml:space="preserve">with CVD or RSD </w:t>
      </w:r>
      <w:r w:rsidR="009748B1">
        <w:t>hospitalization</w:t>
      </w:r>
      <w:r w:rsidR="00616570">
        <w:t xml:space="preserve">. Our aim was to evaluate </w:t>
      </w:r>
      <w:r w:rsidR="00F4061E">
        <w:t xml:space="preserve">these </w:t>
      </w:r>
      <w:r w:rsidR="00616570">
        <w:t xml:space="preserve">associations </w:t>
      </w:r>
      <w:r w:rsidR="00616570" w:rsidRPr="00E73F71">
        <w:t xml:space="preserve">in </w:t>
      </w:r>
      <w:r w:rsidR="00616570">
        <w:t xml:space="preserve">a cohort of </w:t>
      </w:r>
      <w:r w:rsidR="00616570" w:rsidRPr="00E73F71">
        <w:t>Medicare beneficiaries (~63 million individuals).</w:t>
      </w:r>
      <w:r w:rsidR="00616570">
        <w:t xml:space="preserve"> </w:t>
      </w:r>
    </w:p>
    <w:p w14:paraId="097BF710" w14:textId="65292E88" w:rsidR="00616570" w:rsidRDefault="00616570" w:rsidP="00616570">
      <w:pPr>
        <w:jc w:val="both"/>
      </w:pPr>
      <w:r w:rsidRPr="00F90BCC">
        <w:rPr>
          <w:b/>
        </w:rPr>
        <w:t>Methods:</w:t>
      </w:r>
      <w:r>
        <w:t xml:space="preserve"> </w:t>
      </w:r>
      <w:r w:rsidR="00CB37C9">
        <w:t>Our</w:t>
      </w:r>
      <w:r w:rsidRPr="00862875">
        <w:t xml:space="preserve"> open cohort </w:t>
      </w:r>
      <w:r w:rsidR="00CB37C9">
        <w:t>included</w:t>
      </w:r>
      <w:r w:rsidRPr="00862875">
        <w:t xml:space="preserve"> all fee-for-service Medicare beneficiaries</w:t>
      </w:r>
      <w:r w:rsidR="001E6EC1">
        <w:t xml:space="preserve"> (2000-2016)</w:t>
      </w:r>
      <w:r w:rsidRPr="00862875">
        <w:t xml:space="preserve">, aged </w:t>
      </w:r>
      <w:r w:rsidRPr="00862875">
        <w:rPr>
          <w:rFonts w:cstheme="minorHAnsi"/>
        </w:rPr>
        <w:t>≥</w:t>
      </w:r>
      <w:r w:rsidRPr="00862875">
        <w:t>65, living in the contiguous</w:t>
      </w:r>
      <w:r w:rsidR="00EC34A3">
        <w:t xml:space="preserve"> U.S</w:t>
      </w:r>
      <w:r w:rsidRPr="00862875">
        <w:t>.</w:t>
      </w:r>
      <w:r>
        <w:t xml:space="preserve"> We assessed zip code</w:t>
      </w:r>
      <w:r w:rsidR="00EF0134">
        <w:t>-</w:t>
      </w:r>
      <w:r>
        <w:t xml:space="preserve">level </w:t>
      </w:r>
      <w:r w:rsidR="00EF0134">
        <w:t xml:space="preserve">average </w:t>
      </w:r>
      <w:r>
        <w:t>percent public park cover</w:t>
      </w:r>
      <w:r w:rsidR="00EF0134">
        <w:t>,</w:t>
      </w:r>
      <w:r w:rsidR="00024F4D">
        <w:t xml:space="preserve"> greenness,</w:t>
      </w:r>
      <w:r>
        <w:t xml:space="preserve"> and percent blue space cover. </w:t>
      </w:r>
      <w:r w:rsidR="00531220" w:rsidRPr="00862875">
        <w:t>Cox-equivalent Poisson models</w:t>
      </w:r>
      <w:r w:rsidR="00531220">
        <w:t xml:space="preserve"> </w:t>
      </w:r>
      <w:r w:rsidR="00633CCB">
        <w:t xml:space="preserve">were used </w:t>
      </w:r>
      <w:r w:rsidR="00531220">
        <w:t>t</w:t>
      </w:r>
      <w:r w:rsidRPr="00862875">
        <w:t xml:space="preserve">o estimate associations </w:t>
      </w:r>
      <w:r>
        <w:t xml:space="preserve">of </w:t>
      </w:r>
      <w:r w:rsidR="00CB37C9">
        <w:t>the</w:t>
      </w:r>
      <w:r w:rsidR="00944BA3">
        <w:t xml:space="preserve"> exposures </w:t>
      </w:r>
      <w:r w:rsidRPr="00862875">
        <w:t>with first</w:t>
      </w:r>
      <w:r>
        <w:t xml:space="preserve"> CVD and RSD hospitalization </w:t>
      </w:r>
      <w:r w:rsidR="00944BA3">
        <w:t>in the full cohort and among those living in urban areas</w:t>
      </w:r>
      <w:r w:rsidRPr="00862875">
        <w:t>.</w:t>
      </w:r>
      <w:r>
        <w:t xml:space="preserve"> </w:t>
      </w:r>
    </w:p>
    <w:p w14:paraId="73C1D27D" w14:textId="7533215C" w:rsidR="00616570" w:rsidRDefault="00CB37C9" w:rsidP="00616570">
      <w:pPr>
        <w:jc w:val="both"/>
        <w:rPr>
          <w:lang w:val="en-GB"/>
        </w:rPr>
      </w:pPr>
      <w:r>
        <w:rPr>
          <w:b/>
        </w:rPr>
        <w:t>Findings</w:t>
      </w:r>
      <w:r w:rsidR="00616570" w:rsidRPr="00F90BCC">
        <w:rPr>
          <w:b/>
        </w:rPr>
        <w:t>:</w:t>
      </w:r>
      <w:r w:rsidR="00616570">
        <w:t xml:space="preserve"> </w:t>
      </w:r>
      <w:r w:rsidR="00501D71" w:rsidRPr="00832218">
        <w:t xml:space="preserve">Greenness was weakly negatively correlated with percent public park cover (Spearman rho = </w:t>
      </w:r>
      <w:r w:rsidR="00340FCC">
        <w:br/>
      </w:r>
      <w:r w:rsidR="00501D71" w:rsidRPr="00832218">
        <w:t>-</w:t>
      </w:r>
      <w:proofErr w:type="gramStart"/>
      <w:r w:rsidR="00501D71" w:rsidRPr="00832218">
        <w:t>0·</w:t>
      </w:r>
      <w:proofErr w:type="gramEnd"/>
      <w:r w:rsidR="00501D71" w:rsidRPr="00832218">
        <w:t xml:space="preserve">23). </w:t>
      </w:r>
      <w:r w:rsidR="00616570">
        <w:t>After adjustment for potential confounders,</w:t>
      </w:r>
      <w:r w:rsidR="00501D71">
        <w:t xml:space="preserve"> </w:t>
      </w:r>
      <w:r w:rsidR="00675F50">
        <w:t>a</w:t>
      </w:r>
      <w:r w:rsidR="00BB6B67">
        <w:t xml:space="preserve">n IQR increase in </w:t>
      </w:r>
      <w:r>
        <w:t>g</w:t>
      </w:r>
      <w:r w:rsidR="000324FA">
        <w:t xml:space="preserve">reenness was negatively associated with CVD </w:t>
      </w:r>
      <w:r w:rsidR="000324FA">
        <w:rPr>
          <w:lang w:val="en-GB"/>
        </w:rPr>
        <w:t xml:space="preserve">(HR: </w:t>
      </w:r>
      <w:proofErr w:type="gramStart"/>
      <w:r w:rsidR="000324FA">
        <w:rPr>
          <w:rFonts w:cstheme="minorHAnsi"/>
          <w:bCs/>
          <w:szCs w:val="18"/>
        </w:rPr>
        <w:t>0</w:t>
      </w:r>
      <w:r w:rsidR="007377BC">
        <w:rPr>
          <w:rFonts w:cstheme="minorHAnsi"/>
          <w:bCs/>
          <w:szCs w:val="18"/>
        </w:rPr>
        <w:t>·</w:t>
      </w:r>
      <w:proofErr w:type="gramEnd"/>
      <w:r w:rsidR="000324FA">
        <w:rPr>
          <w:rFonts w:cstheme="minorHAnsi"/>
          <w:bCs/>
          <w:szCs w:val="18"/>
        </w:rPr>
        <w:t>97, 95%CI: 0</w:t>
      </w:r>
      <w:r w:rsidR="007377BC">
        <w:rPr>
          <w:rFonts w:cstheme="minorHAnsi"/>
          <w:bCs/>
          <w:szCs w:val="18"/>
        </w:rPr>
        <w:t>·</w:t>
      </w:r>
      <w:r w:rsidR="000324FA">
        <w:rPr>
          <w:rFonts w:cstheme="minorHAnsi"/>
          <w:bCs/>
          <w:szCs w:val="18"/>
        </w:rPr>
        <w:t>96</w:t>
      </w:r>
      <w:r w:rsidR="000324FA" w:rsidRPr="00A848A4">
        <w:rPr>
          <w:rFonts w:cstheme="minorHAnsi"/>
          <w:bCs/>
          <w:szCs w:val="18"/>
        </w:rPr>
        <w:t xml:space="preserve">, </w:t>
      </w:r>
      <w:r w:rsidR="000324FA">
        <w:rPr>
          <w:rFonts w:cstheme="minorHAnsi"/>
          <w:bCs/>
          <w:szCs w:val="18"/>
        </w:rPr>
        <w:t>0</w:t>
      </w:r>
      <w:r w:rsidR="007377BC">
        <w:rPr>
          <w:rFonts w:cstheme="minorHAnsi"/>
          <w:bCs/>
          <w:szCs w:val="18"/>
        </w:rPr>
        <w:t>·</w:t>
      </w:r>
      <w:r w:rsidR="000324FA">
        <w:rPr>
          <w:rFonts w:cstheme="minorHAnsi"/>
          <w:bCs/>
          <w:szCs w:val="18"/>
        </w:rPr>
        <w:t>97</w:t>
      </w:r>
      <w:r w:rsidR="000324FA" w:rsidRPr="00A848A4">
        <w:rPr>
          <w:rFonts w:cstheme="minorHAnsi"/>
          <w:bCs/>
          <w:szCs w:val="18"/>
        </w:rPr>
        <w:t>)</w:t>
      </w:r>
      <w:r>
        <w:rPr>
          <w:rFonts w:cstheme="minorHAnsi"/>
          <w:bCs/>
          <w:szCs w:val="18"/>
        </w:rPr>
        <w:t>,</w:t>
      </w:r>
      <w:r w:rsidR="000324FA">
        <w:t xml:space="preserve"> but not with RSD hospitalization. </w:t>
      </w:r>
      <w:r w:rsidR="00616570">
        <w:rPr>
          <w:lang w:val="en-GB"/>
        </w:rPr>
        <w:t xml:space="preserve">In urban </w:t>
      </w:r>
      <w:r w:rsidR="00BB6B67">
        <w:rPr>
          <w:lang w:val="en-GB"/>
        </w:rPr>
        <w:t>zip codes (</w:t>
      </w:r>
      <w:r w:rsidR="00BB6B67" w:rsidRPr="00832218">
        <w:rPr>
          <w:rFonts w:cstheme="minorHAnsi"/>
        </w:rPr>
        <w:t>≥</w:t>
      </w:r>
      <w:r w:rsidR="00BB6B67" w:rsidRPr="00832218">
        <w:t>1000 persons/mile</w:t>
      </w:r>
      <w:r w:rsidR="00BB6B67" w:rsidRPr="00832218">
        <w:rPr>
          <w:vertAlign w:val="superscript"/>
        </w:rPr>
        <w:t>2</w:t>
      </w:r>
      <w:r w:rsidR="00BB6B67" w:rsidRPr="00024F4D">
        <w:t>)</w:t>
      </w:r>
      <w:proofErr w:type="gramStart"/>
      <w:r w:rsidR="00616570">
        <w:rPr>
          <w:lang w:val="en-GB"/>
        </w:rPr>
        <w:t>,</w:t>
      </w:r>
      <w:proofErr w:type="gramEnd"/>
      <w:r w:rsidR="00616570">
        <w:rPr>
          <w:lang w:val="en-GB"/>
        </w:rPr>
        <w:t xml:space="preserve"> greenness was positively associated with RSD hospitalization.</w:t>
      </w:r>
      <w:r>
        <w:rPr>
          <w:bCs/>
        </w:rPr>
        <w:t xml:space="preserve"> </w:t>
      </w:r>
      <w:r w:rsidR="00675F50">
        <w:rPr>
          <w:bCs/>
        </w:rPr>
        <w:t>Percent</w:t>
      </w:r>
      <w:r w:rsidR="00675F50">
        <w:rPr>
          <w:bCs/>
        </w:rPr>
        <w:t xml:space="preserve"> public park cover was negatively associated with CVD and RSD hospitalization only for Medicaid eligible individuals and individuals living in low </w:t>
      </w:r>
      <w:r w:rsidR="00675F50" w:rsidRPr="00832218">
        <w:rPr>
          <w:lang w:val="en-GB"/>
        </w:rPr>
        <w:t>socioeconomic status</w:t>
      </w:r>
      <w:r w:rsidR="00675F50">
        <w:rPr>
          <w:bCs/>
        </w:rPr>
        <w:t xml:space="preserve"> neighborhoods in the urban population</w:t>
      </w:r>
      <w:r w:rsidR="00675F50">
        <w:rPr>
          <w:bCs/>
        </w:rPr>
        <w:t xml:space="preserve">. </w:t>
      </w:r>
      <w:r>
        <w:rPr>
          <w:bCs/>
        </w:rPr>
        <w:t>P</w:t>
      </w:r>
      <w:r>
        <w:t>ercent blue space cover was not associated with CVD or RSD hospitalization.</w:t>
      </w:r>
    </w:p>
    <w:p w14:paraId="010721C8" w14:textId="42128EB9" w:rsidR="00C72472" w:rsidRPr="00616570" w:rsidRDefault="00CB37C9" w:rsidP="00C72472">
      <w:pPr>
        <w:jc w:val="both"/>
      </w:pPr>
      <w:r>
        <w:rPr>
          <w:b/>
          <w:bCs/>
        </w:rPr>
        <w:t>Interpretation</w:t>
      </w:r>
      <w:r w:rsidR="00616570" w:rsidRPr="00F90BCC">
        <w:rPr>
          <w:b/>
          <w:bCs/>
        </w:rPr>
        <w:t>:</w:t>
      </w:r>
      <w:r w:rsidR="00340FCC">
        <w:rPr>
          <w:b/>
          <w:bCs/>
        </w:rPr>
        <w:t xml:space="preserve"> </w:t>
      </w:r>
      <w:r w:rsidR="00340FCC" w:rsidRPr="00340FCC">
        <w:t>These results suggest that natural environments may benefit health; however, benefits may be limited to certain contexts and certain health outcomes.</w:t>
      </w:r>
    </w:p>
    <w:p w14:paraId="107E0ABA" w14:textId="77777777" w:rsidR="00CB37C9" w:rsidRPr="00E868F3" w:rsidRDefault="00CB37C9" w:rsidP="00CB37C9">
      <w:pPr>
        <w:jc w:val="both"/>
        <w:rPr>
          <w:lang w:val="en-GB"/>
        </w:rPr>
      </w:pPr>
      <w:r w:rsidRPr="00EA6BF5">
        <w:rPr>
          <w:b/>
          <w:bCs/>
          <w:lang w:val="en-GB"/>
        </w:rPr>
        <w:t>Funding:</w:t>
      </w:r>
      <w:r>
        <w:rPr>
          <w:lang w:val="en-GB"/>
        </w:rPr>
        <w:t xml:space="preserve"> </w:t>
      </w:r>
      <w:proofErr w:type="gramStart"/>
      <w:r w:rsidRPr="00E73F71">
        <w:t xml:space="preserve">This study was </w:t>
      </w:r>
      <w:r>
        <w:t xml:space="preserve">funded by </w:t>
      </w:r>
      <w:r w:rsidRPr="00E73F71">
        <w:t>R01</w:t>
      </w:r>
      <w:r>
        <w:t xml:space="preserve"> </w:t>
      </w:r>
      <w:r w:rsidRPr="00E73F71">
        <w:t>ES028033</w:t>
      </w:r>
      <w:r>
        <w:t xml:space="preserve">, </w:t>
      </w:r>
      <w:r w:rsidRPr="00E73F71">
        <w:t>R01 ES024332</w:t>
      </w:r>
      <w:r>
        <w:t xml:space="preserve">, </w:t>
      </w:r>
      <w:r w:rsidRPr="00E73F71">
        <w:t>P30</w:t>
      </w:r>
      <w:r>
        <w:t xml:space="preserve"> </w:t>
      </w:r>
      <w:r w:rsidRPr="00E73F71">
        <w:t>ES000002</w:t>
      </w:r>
      <w:r>
        <w:t xml:space="preserve">, </w:t>
      </w:r>
      <w:r w:rsidRPr="00E73F71">
        <w:t>R01 AG066793-01</w:t>
      </w:r>
      <w:r>
        <w:t>,</w:t>
      </w:r>
      <w:r w:rsidRPr="007B2801">
        <w:t xml:space="preserve"> and </w:t>
      </w:r>
      <w:r w:rsidRPr="00E73F71">
        <w:t>R01</w:t>
      </w:r>
      <w:r>
        <w:t xml:space="preserve"> </w:t>
      </w:r>
      <w:r w:rsidRPr="00E73F71">
        <w:t>HL150119</w:t>
      </w:r>
      <w:proofErr w:type="gramEnd"/>
      <w:r w:rsidRPr="00E73F71">
        <w:t>.</w:t>
      </w:r>
    </w:p>
    <w:p w14:paraId="1CE9DBBB" w14:textId="6ADA56A2" w:rsidR="00C72472" w:rsidRPr="00CB37C9" w:rsidRDefault="00C72472" w:rsidP="00AF709B">
      <w:pPr>
        <w:jc w:val="both"/>
        <w:rPr>
          <w:bCs/>
          <w:lang w:val="en-GB"/>
        </w:rPr>
      </w:pPr>
    </w:p>
    <w:p w14:paraId="1223C4F8" w14:textId="77777777" w:rsidR="00A462E7" w:rsidRDefault="00A462E7" w:rsidP="00AF709B">
      <w:pPr>
        <w:jc w:val="both"/>
        <w:rPr>
          <w:b/>
          <w:bCs/>
        </w:rPr>
      </w:pPr>
    </w:p>
    <w:p w14:paraId="2B5DB0CC" w14:textId="77777777" w:rsidR="007C4EE7" w:rsidRDefault="007C4EE7" w:rsidP="00AF709B">
      <w:pPr>
        <w:jc w:val="both"/>
        <w:rPr>
          <w:b/>
          <w:bCs/>
        </w:rPr>
      </w:pPr>
    </w:p>
    <w:p w14:paraId="6F955645" w14:textId="77777777" w:rsidR="007C4EE7" w:rsidRDefault="007C4EE7" w:rsidP="00AF709B">
      <w:pPr>
        <w:jc w:val="both"/>
        <w:rPr>
          <w:b/>
          <w:bCs/>
        </w:rPr>
      </w:pPr>
    </w:p>
    <w:p w14:paraId="7014EB91" w14:textId="77777777" w:rsidR="007C4EE7" w:rsidRDefault="007C4EE7" w:rsidP="00AF709B">
      <w:pPr>
        <w:jc w:val="both"/>
        <w:rPr>
          <w:b/>
          <w:bCs/>
        </w:rPr>
      </w:pPr>
    </w:p>
    <w:p w14:paraId="63E0CF3E" w14:textId="77777777" w:rsidR="007C4EE7" w:rsidRDefault="007C4EE7" w:rsidP="00AF709B">
      <w:pPr>
        <w:jc w:val="both"/>
        <w:rPr>
          <w:b/>
          <w:bCs/>
        </w:rPr>
      </w:pPr>
    </w:p>
    <w:p w14:paraId="1209CE7E" w14:textId="77777777" w:rsidR="007C4EE7" w:rsidRDefault="007C4EE7" w:rsidP="00AF709B">
      <w:pPr>
        <w:jc w:val="both"/>
        <w:rPr>
          <w:b/>
          <w:bCs/>
        </w:rPr>
      </w:pPr>
    </w:p>
    <w:p w14:paraId="40AF6E51" w14:textId="77777777" w:rsidR="007C4EE7" w:rsidRDefault="007C4EE7" w:rsidP="00AF709B">
      <w:pPr>
        <w:jc w:val="both"/>
        <w:rPr>
          <w:b/>
          <w:bCs/>
        </w:rPr>
      </w:pPr>
    </w:p>
    <w:p w14:paraId="070E5C00" w14:textId="77777777" w:rsidR="007C4EE7" w:rsidRDefault="007C4EE7" w:rsidP="00AF709B">
      <w:pPr>
        <w:jc w:val="both"/>
        <w:rPr>
          <w:b/>
          <w:bCs/>
        </w:rPr>
      </w:pPr>
    </w:p>
    <w:p w14:paraId="1C20FEBB" w14:textId="77777777" w:rsidR="007C4EE7" w:rsidRDefault="007C4EE7" w:rsidP="00AF709B">
      <w:pPr>
        <w:jc w:val="both"/>
        <w:rPr>
          <w:b/>
          <w:bCs/>
        </w:rPr>
      </w:pPr>
    </w:p>
    <w:p w14:paraId="7CB0786D" w14:textId="77777777" w:rsidR="007C4EE7" w:rsidRDefault="007C4EE7" w:rsidP="00AF709B">
      <w:pPr>
        <w:jc w:val="both"/>
        <w:rPr>
          <w:b/>
          <w:bCs/>
        </w:rPr>
      </w:pPr>
    </w:p>
    <w:p w14:paraId="0777D923" w14:textId="77777777" w:rsidR="007C4EE7" w:rsidRDefault="007C4EE7" w:rsidP="00AF709B">
      <w:pPr>
        <w:jc w:val="both"/>
        <w:rPr>
          <w:b/>
          <w:bCs/>
        </w:rPr>
      </w:pPr>
    </w:p>
    <w:p w14:paraId="17133143" w14:textId="77777777" w:rsidR="000511D1" w:rsidRDefault="000511D1" w:rsidP="00A94EE8">
      <w:pPr>
        <w:jc w:val="both"/>
        <w:rPr>
          <w:b/>
        </w:rPr>
      </w:pPr>
    </w:p>
    <w:p w14:paraId="376DA796" w14:textId="77777777" w:rsidR="00DF7623" w:rsidRDefault="00DF7623" w:rsidP="00A94EE8">
      <w:pPr>
        <w:jc w:val="both"/>
        <w:rPr>
          <w:b/>
        </w:rPr>
      </w:pPr>
    </w:p>
    <w:p w14:paraId="262B7AD6" w14:textId="65B6F8A4" w:rsidR="00A94EE8" w:rsidRPr="003055D0" w:rsidRDefault="00A94EE8" w:rsidP="00A94EE8">
      <w:pPr>
        <w:jc w:val="both"/>
        <w:rPr>
          <w:b/>
        </w:rPr>
      </w:pPr>
      <w:r w:rsidRPr="003055D0">
        <w:rPr>
          <w:b/>
        </w:rPr>
        <w:lastRenderedPageBreak/>
        <w:t xml:space="preserve">Research in context </w:t>
      </w:r>
    </w:p>
    <w:p w14:paraId="6D141C03" w14:textId="77777777" w:rsidR="00A94EE8" w:rsidRPr="003055D0" w:rsidRDefault="00A94EE8" w:rsidP="00A94EE8">
      <w:pPr>
        <w:jc w:val="both"/>
        <w:rPr>
          <w:b/>
        </w:rPr>
      </w:pPr>
      <w:r w:rsidRPr="003055D0">
        <w:rPr>
          <w:b/>
        </w:rPr>
        <w:t xml:space="preserve">Evidence before this study </w:t>
      </w:r>
    </w:p>
    <w:p w14:paraId="6ECC8DE4" w14:textId="6DE5C11E" w:rsidR="00973DD7" w:rsidRDefault="000511D1" w:rsidP="00A94EE8">
      <w:pPr>
        <w:jc w:val="both"/>
      </w:pPr>
      <w:r>
        <w:t>G</w:t>
      </w:r>
      <w:r w:rsidR="00A94EE8" w:rsidRPr="005C4B66">
        <w:t>reen</w:t>
      </w:r>
      <w:r>
        <w:t>ness</w:t>
      </w:r>
      <w:r w:rsidR="00A94EE8" w:rsidRPr="005C4B66">
        <w:t xml:space="preserve"> </w:t>
      </w:r>
      <w:r>
        <w:t xml:space="preserve">exposure </w:t>
      </w:r>
      <w:proofErr w:type="gramStart"/>
      <w:r w:rsidR="00A94EE8" w:rsidRPr="005C4B66">
        <w:t>has been linked</w:t>
      </w:r>
      <w:proofErr w:type="gramEnd"/>
      <w:r w:rsidR="00A94EE8" w:rsidRPr="005C4B66">
        <w:t xml:space="preserve"> to decreased risk of cardiovascular </w:t>
      </w:r>
      <w:r w:rsidR="00A80F2C">
        <w:t xml:space="preserve">disease (CVD) </w:t>
      </w:r>
      <w:r w:rsidR="00A94EE8" w:rsidRPr="005C4B66">
        <w:t xml:space="preserve">and respiratory disease </w:t>
      </w:r>
      <w:r w:rsidR="00A80F2C">
        <w:t xml:space="preserve">(RSD) </w:t>
      </w:r>
      <w:r w:rsidR="00A94EE8" w:rsidRPr="005C4B66">
        <w:t xml:space="preserve">mortality in several large cohort studies. </w:t>
      </w:r>
      <w:r w:rsidR="00A94EE8">
        <w:t xml:space="preserve">However, few cohort studies have </w:t>
      </w:r>
      <w:r w:rsidR="002F0C98">
        <w:t xml:space="preserve">examined </w:t>
      </w:r>
      <w:r w:rsidR="00A94EE8">
        <w:t xml:space="preserve">associations of natural environments with CVD hospitalization. </w:t>
      </w:r>
      <w:proofErr w:type="gramStart"/>
      <w:r w:rsidR="00A94EE8" w:rsidRPr="005C4B66">
        <w:t xml:space="preserve">To the best of our knowledge, there are no cohort studies that have evaluated associations of </w:t>
      </w:r>
      <w:r w:rsidR="005C5478">
        <w:t>natural environments</w:t>
      </w:r>
      <w:r w:rsidR="00A94EE8" w:rsidRPr="005C4B66">
        <w:t xml:space="preserve"> with RSD </w:t>
      </w:r>
      <w:r w:rsidR="00675F50">
        <w:t>hospitalizations</w:t>
      </w:r>
      <w:r w:rsidR="00A94EE8" w:rsidRPr="005C4B66">
        <w:t xml:space="preserve"> in adults.</w:t>
      </w:r>
      <w:proofErr w:type="gramEnd"/>
      <w:r w:rsidR="00250515">
        <w:t xml:space="preserve"> </w:t>
      </w:r>
    </w:p>
    <w:p w14:paraId="7CA1D954" w14:textId="72C0E256" w:rsidR="00250515" w:rsidRPr="003055D0" w:rsidRDefault="00E92F9B" w:rsidP="00A94EE8">
      <w:pPr>
        <w:jc w:val="both"/>
      </w:pPr>
      <w:r>
        <w:t xml:space="preserve">In environmental health studies, </w:t>
      </w:r>
      <w:proofErr w:type="gramStart"/>
      <w:r>
        <w:t>a</w:t>
      </w:r>
      <w:r w:rsidR="00250515">
        <w:t xml:space="preserve"> variety of measures of the natural environment have</w:t>
      </w:r>
      <w:proofErr w:type="gramEnd"/>
      <w:r w:rsidR="00250515">
        <w:t xml:space="preserve"> been used. Most studies focus on </w:t>
      </w:r>
      <w:r w:rsidR="0092706C">
        <w:t xml:space="preserve">the </w:t>
      </w:r>
      <w:r w:rsidR="00250515">
        <w:t>availability of greenness</w:t>
      </w:r>
      <w:r w:rsidR="0092706C">
        <w:t xml:space="preserve"> as</w:t>
      </w:r>
      <w:r w:rsidR="00250515">
        <w:t xml:space="preserve"> measured by </w:t>
      </w:r>
      <w:r w:rsidR="000E33E4">
        <w:t xml:space="preserve">satellite-based </w:t>
      </w:r>
      <w:r w:rsidR="00250515">
        <w:t>vegetation indices. These indices assess vegetation</w:t>
      </w:r>
      <w:r w:rsidR="000511D1">
        <w:t xml:space="preserve"> quantity</w:t>
      </w:r>
      <w:r w:rsidR="00250515">
        <w:t xml:space="preserve"> but do not differentiate between types of green spaces</w:t>
      </w:r>
      <w:r w:rsidR="000511D1">
        <w:t xml:space="preserve"> (p</w:t>
      </w:r>
      <w:r w:rsidR="00250515">
        <w:t>ublic parks, agricultural land</w:t>
      </w:r>
      <w:r w:rsidR="000511D1">
        <w:t xml:space="preserve">, </w:t>
      </w:r>
      <w:proofErr w:type="gramStart"/>
      <w:r w:rsidR="00250515">
        <w:t>private</w:t>
      </w:r>
      <w:proofErr w:type="gramEnd"/>
      <w:r w:rsidR="00250515">
        <w:t xml:space="preserve"> </w:t>
      </w:r>
      <w:r w:rsidR="007D5D1E">
        <w:t>yards</w:t>
      </w:r>
      <w:r w:rsidR="000511D1">
        <w:t>)</w:t>
      </w:r>
      <w:r w:rsidR="00250515">
        <w:t xml:space="preserve"> </w:t>
      </w:r>
      <w:r w:rsidR="000511D1">
        <w:t>that</w:t>
      </w:r>
      <w:r w:rsidR="00250515">
        <w:t xml:space="preserve"> may differ in their impact on health.</w:t>
      </w:r>
    </w:p>
    <w:p w14:paraId="4C2198FF" w14:textId="4B4FE22F" w:rsidR="00A94EE8" w:rsidRDefault="00A94EE8" w:rsidP="00A94EE8">
      <w:pPr>
        <w:jc w:val="both"/>
        <w:rPr>
          <w:b/>
        </w:rPr>
      </w:pPr>
      <w:r w:rsidRPr="003055D0">
        <w:rPr>
          <w:b/>
        </w:rPr>
        <w:t xml:space="preserve">Added value of this study </w:t>
      </w:r>
    </w:p>
    <w:p w14:paraId="3F253DDB" w14:textId="0190A8AE" w:rsidR="00AF0091" w:rsidRPr="00832218" w:rsidRDefault="00AF0091" w:rsidP="00A94EE8">
      <w:pPr>
        <w:jc w:val="both"/>
      </w:pPr>
      <w:r w:rsidRPr="00AF0091">
        <w:t xml:space="preserve">We </w:t>
      </w:r>
      <w:r>
        <w:t>assessed three different</w:t>
      </w:r>
      <w:r w:rsidRPr="00AF0091">
        <w:t xml:space="preserve"> </w:t>
      </w:r>
      <w:r>
        <w:t xml:space="preserve">features of the natural environment: percent public park cover, </w:t>
      </w:r>
      <w:r w:rsidR="00024F4D">
        <w:t xml:space="preserve">satellite-based greenness, </w:t>
      </w:r>
      <w:r>
        <w:t xml:space="preserve">and percent blue space cover. We </w:t>
      </w:r>
      <w:r w:rsidRPr="00AF0091">
        <w:t xml:space="preserve">examined </w:t>
      </w:r>
      <w:r>
        <w:t>associations of these exposures with first CVD and RSD hospitalization in a cohort of</w:t>
      </w:r>
      <w:r w:rsidRPr="00AF0091">
        <w:t xml:space="preserve"> </w:t>
      </w:r>
      <w:r w:rsidRPr="00E73F71">
        <w:t>Medicare beneficiaries (~63 million individuals)</w:t>
      </w:r>
      <w:r>
        <w:t>.</w:t>
      </w:r>
      <w:r w:rsidR="00870818">
        <w:t xml:space="preserve"> </w:t>
      </w:r>
      <w:r w:rsidR="00AE7083">
        <w:rPr>
          <w:bCs/>
        </w:rPr>
        <w:t>Greenness</w:t>
      </w:r>
      <w:r w:rsidR="008615C9">
        <w:rPr>
          <w:bCs/>
        </w:rPr>
        <w:t xml:space="preserve"> </w:t>
      </w:r>
      <w:r w:rsidR="00AE7083">
        <w:rPr>
          <w:bCs/>
        </w:rPr>
        <w:t>was</w:t>
      </w:r>
      <w:r w:rsidR="008615C9">
        <w:rPr>
          <w:bCs/>
        </w:rPr>
        <w:t xml:space="preserve"> weak</w:t>
      </w:r>
      <w:r w:rsidR="00AE7083">
        <w:rPr>
          <w:bCs/>
        </w:rPr>
        <w:t xml:space="preserve">ly negative correlated with </w:t>
      </w:r>
      <w:r w:rsidR="008615C9">
        <w:rPr>
          <w:bCs/>
        </w:rPr>
        <w:t>percent public park cover</w:t>
      </w:r>
      <w:r w:rsidR="008615C9">
        <w:t xml:space="preserve">. </w:t>
      </w:r>
      <w:r w:rsidR="00A448D1">
        <w:t>After adjustment for potential confounders, p</w:t>
      </w:r>
      <w:r w:rsidR="00A448D1" w:rsidRPr="00832218">
        <w:t>ercent public park cover and percent blue space cover were not associated with CVD or RSD hospitalization in the full or urban population. However, percent</w:t>
      </w:r>
      <w:r w:rsidR="00A448D1" w:rsidRPr="00832218">
        <w:rPr>
          <w:bCs/>
        </w:rPr>
        <w:t xml:space="preserve"> public park cover was negatively associated with CVD and RSD hospitalization for individuals of low </w:t>
      </w:r>
      <w:r w:rsidR="00945BBE" w:rsidRPr="00832218">
        <w:rPr>
          <w:lang w:val="en-GB"/>
        </w:rPr>
        <w:t>socioeconomic status</w:t>
      </w:r>
      <w:r w:rsidR="00A448D1" w:rsidRPr="00832218">
        <w:rPr>
          <w:bCs/>
        </w:rPr>
        <w:t xml:space="preserve"> living in urban areas. </w:t>
      </w:r>
      <w:r w:rsidRPr="00832218">
        <w:t xml:space="preserve">We observed that greenness was negatively associated with CVD. </w:t>
      </w:r>
      <w:r w:rsidR="00870818" w:rsidRPr="00832218">
        <w:t xml:space="preserve">No </w:t>
      </w:r>
      <w:r w:rsidR="00AD7DDC" w:rsidRPr="00832218">
        <w:t xml:space="preserve">protective </w:t>
      </w:r>
      <w:r w:rsidR="00870818" w:rsidRPr="00832218">
        <w:t xml:space="preserve">association of greenness with RSD hospitalization </w:t>
      </w:r>
      <w:proofErr w:type="gramStart"/>
      <w:r w:rsidR="00870818" w:rsidRPr="00832218">
        <w:t>was observed</w:t>
      </w:r>
      <w:proofErr w:type="gramEnd"/>
      <w:r w:rsidR="00870818" w:rsidRPr="00832218">
        <w:t xml:space="preserve"> in the full population. </w:t>
      </w:r>
      <w:r w:rsidRPr="00832218">
        <w:rPr>
          <w:lang w:val="en-GB"/>
        </w:rPr>
        <w:t xml:space="preserve">In the urban population, greenness was positively associated with RSD hospitalization. </w:t>
      </w:r>
    </w:p>
    <w:p w14:paraId="3A3BEE44" w14:textId="77777777" w:rsidR="00A94EE8" w:rsidRPr="00832218" w:rsidRDefault="00A94EE8" w:rsidP="00A94EE8">
      <w:pPr>
        <w:jc w:val="both"/>
        <w:rPr>
          <w:b/>
        </w:rPr>
      </w:pPr>
      <w:r w:rsidRPr="00832218">
        <w:rPr>
          <w:b/>
        </w:rPr>
        <w:t xml:space="preserve">Implications of all the available evidence </w:t>
      </w:r>
    </w:p>
    <w:p w14:paraId="4FBB2C70" w14:textId="67E78A3A" w:rsidR="00C854D1" w:rsidRPr="00832218" w:rsidRDefault="008C10F6" w:rsidP="00AF709B">
      <w:pPr>
        <w:jc w:val="both"/>
        <w:rPr>
          <w:bCs/>
        </w:rPr>
      </w:pPr>
      <w:r w:rsidRPr="00832218">
        <w:rPr>
          <w:bCs/>
        </w:rPr>
        <w:t>Our</w:t>
      </w:r>
      <w:r w:rsidR="008615C9" w:rsidRPr="00832218">
        <w:rPr>
          <w:bCs/>
        </w:rPr>
        <w:t xml:space="preserve"> study </w:t>
      </w:r>
      <w:r w:rsidRPr="00832218">
        <w:rPr>
          <w:bCs/>
        </w:rPr>
        <w:t>suggests</w:t>
      </w:r>
      <w:r w:rsidR="008615C9" w:rsidRPr="00832218">
        <w:rPr>
          <w:bCs/>
        </w:rPr>
        <w:t xml:space="preserve"> that greenness does not represent public parks well</w:t>
      </w:r>
      <w:r w:rsidR="00FE27BB">
        <w:rPr>
          <w:bCs/>
        </w:rPr>
        <w:t xml:space="preserve"> at the zip code level</w:t>
      </w:r>
      <w:r w:rsidR="008615C9" w:rsidRPr="00832218">
        <w:rPr>
          <w:bCs/>
        </w:rPr>
        <w:t xml:space="preserve">. </w:t>
      </w:r>
      <w:r w:rsidR="00FE27BB">
        <w:rPr>
          <w:bCs/>
        </w:rPr>
        <w:t>Further, our</w:t>
      </w:r>
      <w:r w:rsidR="00C854D1" w:rsidRPr="00340FCC">
        <w:t xml:space="preserve"> results suggest that natural environments may benefit </w:t>
      </w:r>
      <w:r w:rsidR="001634FA">
        <w:t xml:space="preserve">cardiorespiratory </w:t>
      </w:r>
      <w:r w:rsidR="00C854D1" w:rsidRPr="00340FCC">
        <w:t>health; however, benefits may be limited to certain contexts and certain health outcomes.</w:t>
      </w:r>
    </w:p>
    <w:p w14:paraId="52678FDB" w14:textId="77777777" w:rsidR="00A94EE8" w:rsidRPr="00832218" w:rsidRDefault="00A94EE8" w:rsidP="00AF709B">
      <w:pPr>
        <w:jc w:val="both"/>
        <w:rPr>
          <w:b/>
          <w:bCs/>
        </w:rPr>
      </w:pPr>
    </w:p>
    <w:p w14:paraId="1A1D0A8F" w14:textId="77777777" w:rsidR="00A94EE8" w:rsidRPr="00832218" w:rsidRDefault="00A94EE8" w:rsidP="00AF709B">
      <w:pPr>
        <w:jc w:val="both"/>
        <w:rPr>
          <w:b/>
          <w:bCs/>
        </w:rPr>
      </w:pPr>
    </w:p>
    <w:p w14:paraId="6F78342E" w14:textId="77777777" w:rsidR="00A94EE8" w:rsidRPr="00832218" w:rsidRDefault="00A94EE8" w:rsidP="00AF709B">
      <w:pPr>
        <w:jc w:val="both"/>
        <w:rPr>
          <w:b/>
          <w:bCs/>
        </w:rPr>
      </w:pPr>
    </w:p>
    <w:p w14:paraId="72C7A49E" w14:textId="77777777" w:rsidR="00A94EE8" w:rsidRPr="00832218" w:rsidRDefault="00A94EE8" w:rsidP="00AF709B">
      <w:pPr>
        <w:jc w:val="both"/>
        <w:rPr>
          <w:b/>
          <w:bCs/>
        </w:rPr>
      </w:pPr>
    </w:p>
    <w:p w14:paraId="45FE9974" w14:textId="77777777" w:rsidR="00A94EE8" w:rsidRPr="00832218" w:rsidRDefault="00A94EE8" w:rsidP="00AF709B">
      <w:pPr>
        <w:jc w:val="both"/>
        <w:rPr>
          <w:b/>
          <w:bCs/>
        </w:rPr>
      </w:pPr>
    </w:p>
    <w:p w14:paraId="053DF9B0" w14:textId="77777777" w:rsidR="00A94EE8" w:rsidRPr="00832218" w:rsidRDefault="00A94EE8" w:rsidP="00AF709B">
      <w:pPr>
        <w:jc w:val="both"/>
        <w:rPr>
          <w:b/>
          <w:bCs/>
        </w:rPr>
      </w:pPr>
    </w:p>
    <w:p w14:paraId="68D7F09C" w14:textId="139A8445" w:rsidR="00A94EE8" w:rsidRPr="00832218" w:rsidRDefault="00A94EE8" w:rsidP="00AF709B">
      <w:pPr>
        <w:jc w:val="both"/>
        <w:rPr>
          <w:b/>
          <w:bCs/>
        </w:rPr>
      </w:pPr>
    </w:p>
    <w:p w14:paraId="1BAA0680" w14:textId="77777777" w:rsidR="007E771B" w:rsidRDefault="007E771B" w:rsidP="00AF709B">
      <w:pPr>
        <w:jc w:val="both"/>
        <w:rPr>
          <w:b/>
          <w:bCs/>
        </w:rPr>
      </w:pPr>
    </w:p>
    <w:p w14:paraId="6DB471FA" w14:textId="77777777" w:rsidR="007E771B" w:rsidRDefault="007E771B" w:rsidP="00AF709B">
      <w:pPr>
        <w:jc w:val="both"/>
        <w:rPr>
          <w:b/>
          <w:bCs/>
        </w:rPr>
      </w:pPr>
    </w:p>
    <w:p w14:paraId="2C1A4D7D" w14:textId="3E857111" w:rsidR="00797EE0" w:rsidRPr="00832218" w:rsidRDefault="00797EE0" w:rsidP="00AF709B">
      <w:pPr>
        <w:jc w:val="both"/>
        <w:rPr>
          <w:b/>
          <w:bCs/>
        </w:rPr>
      </w:pPr>
      <w:bookmarkStart w:id="2" w:name="_GoBack"/>
      <w:bookmarkEnd w:id="2"/>
      <w:r w:rsidRPr="00832218">
        <w:rPr>
          <w:b/>
          <w:bCs/>
        </w:rPr>
        <w:lastRenderedPageBreak/>
        <w:t>Introduction</w:t>
      </w:r>
    </w:p>
    <w:p w14:paraId="4D233466" w14:textId="741D5C4F" w:rsidR="00801BFD" w:rsidRPr="00832218" w:rsidRDefault="00A27D20" w:rsidP="00A670CC">
      <w:pPr>
        <w:jc w:val="both"/>
      </w:pPr>
      <w:r w:rsidRPr="00832218">
        <w:t>Numerous</w:t>
      </w:r>
      <w:r w:rsidR="00035A7A" w:rsidRPr="00832218">
        <w:t xml:space="preserve"> studies have reported </w:t>
      </w:r>
      <w:r w:rsidR="00066382" w:rsidRPr="00832218">
        <w:t xml:space="preserve">potential </w:t>
      </w:r>
      <w:r w:rsidR="008D1602" w:rsidRPr="00832218">
        <w:t xml:space="preserve">beneficial </w:t>
      </w:r>
      <w:r w:rsidR="00066382" w:rsidRPr="00832218">
        <w:t xml:space="preserve">health </w:t>
      </w:r>
      <w:r w:rsidR="008D1602" w:rsidRPr="00832218">
        <w:t>effects</w:t>
      </w:r>
      <w:r w:rsidR="00801BFD" w:rsidRPr="00832218">
        <w:t xml:space="preserve"> of</w:t>
      </w:r>
      <w:r w:rsidR="008D1602" w:rsidRPr="00832218">
        <w:t xml:space="preserve"> exposure to</w:t>
      </w:r>
      <w:r w:rsidR="00035A7A" w:rsidRPr="00832218">
        <w:t xml:space="preserve"> </w:t>
      </w:r>
      <w:r w:rsidRPr="00832218">
        <w:t>natural environments</w:t>
      </w:r>
      <w:r w:rsidR="00727327" w:rsidRPr="00832218">
        <w:t>.</w:t>
      </w:r>
      <w:r w:rsidR="00B26999" w:rsidRPr="00832218">
        <w:fldChar w:fldCharType="begin" w:fldLock="1"/>
      </w:r>
      <w:r w:rsidR="00AE4BAE" w:rsidRPr="00832218">
        <w:instrText>ADDIN CSL_CITATION {"citationItems":[{"id":"ITEM-1","itemData":{"DOI":"10.1016/j.envres.2018.06.030","ISSN":"10960953","PMID":"29982151","abstract":"Background: The health benefits of greenspaces have demanded the attention of policymakers since the 1800s. Although much evidence suggests greenspace exposure is beneficial for health, there exists no systematic review and meta-analysis to synthesise and quantify the impact of greenspace on a wide range of health outcomes. Objective: To quantify evidence of the impact of greenspace on a wide range of health outcomes. Methods: We searched five online databases and reference lists up to January 2017. Studies satisfying a priori eligibility criteria were evaluated independently by two authors. Results: We included 103 observational and 40 interventional studies investigating ~100 health outcomes. Meta-analysis results showed increased greenspace exposure was associated with decreased salivary cortisol −0.05 (95% CI −0.07, −0.04), heart rate −2.57 (95% CI −4.30, −0.83), diastolic blood pressure −1.97 (95% CI −3.45, −0.19), HDL cholesterol −0.03 (95% CI −0.05, &lt;-0.01), low frequency heart rate variability (HRV) −0.06 (95% CI −0.08, −0.03) and increased high frequency HRV 91.87 (95% CI 50.92, 132.82), as well as decreased risk of preterm birth 0.87 (95% CI 0.80, 0.94), type II diabetes 0.72 (95% CI 0.61, 0.85), all-cause mortality 0.69 (95% CI 0.55, 0.87), small size for gestational age 0.81 (95% CI 0.76, 0.86), cardiovascular mortality 0.84 (95% CI 0.76, 0.93), and an increased incidence of good self-reported health 1.12 (95% CI 1.05, 1.19). Incidence of stroke, hypertension, dyslipidaemia, asthma, and coronary heart disease were reduced. For several non-pooled health outcomes, between 66.7% and 100% of studies showed health-denoting associations with increased greenspace exposure including neurological and cancer-related outcomes, and respiratory mortality. Conclusions: Greenspace exposure is associated with numerous health benefits in intervention and observational studies. These results are indicative of a beneficial influence of greenspace on a wide range of health outcomes. However several meta-analyses results are limited by poor study quality and high levels of heterogeneity. Green prescriptions involving greenspace use may have substantial benefits. Our findings should encourage practitioners and policymakers to give due regard to how they can create, maintain, and improve existing accessible greenspaces in deprived areas. Furthermore the development of strategies and interventions for the utilisation of such greenspaces by those who stand to benefi…","author":[{"dropping-particle":"","family":"Twohig-Bennett","given":"Caoimhe","non-dropping-particle":"","parse-names":false,"suffix":""},{"dropping-particle":"","family":"Jones","given":"Andy","non-dropping-particle":"","parse-names":false,"suffix":""}],"container-title":"Environmental Research","id":"ITEM-1","issued":{"date-parts":[["2018","10","1"]]},"page":"628-637","publisher":"Academic Press Inc.","title":"The health benefits of the great outdoors: A systematic review and meta-analysis of greenspace exposure and health outcomes","type":"article-journal","volume":"166"},"uris":["http://www.mendeley.com/documents/?uuid=310a95ba-3080-39b9-a10f-3544e7f62ccb"]},{"id":"ITEM-2","itemData":{"DOI":"10.1007/s40572-018-0179-y","ISSN":"21965412","PMID":"29392643","abstract":"Purpose of Review: Many studies suggest that exposure to natural vegetation, or greenness, may be beneficial for a variety of health outcomes. We summarize the recent research in this area. Recent Findings: We observed consistent and strong evidence of associations for higher greenness with improvements in birth weights and physical activity, as well as lower mortality rates. Recent studies also suggested that exposure to greenness may lower levels of depression and depressive symptoms. The evidence on greenness and cardiovascular health remains mixed. Findings are also inconsistent for greenness measures and asthma and allergies. Summary: Our knowledge of the impacts of greenness on a wide variety of health outcomes continues to evolve. Future research should incorporate information on specific species and some qualities of natural greenness that might drive health outcomes, integrate exposure assessments that incorporate personal mobility into analyses, and include prospective designs to add to the growing evidence that nature exposure positively affects health.","author":[{"dropping-particle":"","family":"Fong","given":"Kelvin C.","non-dropping-particle":"","parse-names":false,"suffix":""},{"dropping-particle":"","family":"Hart","given":"Jaime E.","non-dropping-particle":"","parse-names":false,"suffix":""},{"dropping-particle":"","family":"James","given":"Peter","non-dropping-particle":"","parse-names":false,"suffix":""}],"container-title":"Current environmental health reports","id":"ITEM-2","issue":"1","issued":{"date-parts":[["2018","3","1"]]},"page":"77-87","publisher":"Springer","title":"A Review of Epidemiologic Studies on Greenness and Health: Updated Literature Through 2017","type":"article","volume":"5"},"uris":["http://www.mendeley.com/documents/?uuid=f6d6f2ed-3ac8-327e-b4ee-97ee2fcb08f6"]}],"mendeley":{"formattedCitation":"&lt;sup&gt;1,2&lt;/sup&gt;","plainTextFormattedCitation":"1,2","previouslyFormattedCitation":"&lt;sup&gt;1,2&lt;/sup&gt;"},"properties":{"noteIndex":0},"schema":"https://github.com/citation-style-language/schema/raw/master/csl-citation.json"}</w:instrText>
      </w:r>
      <w:r w:rsidR="00B26999" w:rsidRPr="00832218">
        <w:fldChar w:fldCharType="separate"/>
      </w:r>
      <w:r w:rsidR="00F25E6D" w:rsidRPr="00832218">
        <w:rPr>
          <w:noProof/>
          <w:vertAlign w:val="superscript"/>
        </w:rPr>
        <w:t>1,2</w:t>
      </w:r>
      <w:r w:rsidR="00B26999" w:rsidRPr="00832218">
        <w:fldChar w:fldCharType="end"/>
      </w:r>
      <w:r w:rsidR="00035A7A" w:rsidRPr="00832218">
        <w:t xml:space="preserve"> </w:t>
      </w:r>
      <w:proofErr w:type="gramStart"/>
      <w:r w:rsidR="00A670CC" w:rsidRPr="00832218">
        <w:t>Several</w:t>
      </w:r>
      <w:proofErr w:type="gramEnd"/>
      <w:r w:rsidR="00A670CC" w:rsidRPr="00832218">
        <w:t xml:space="preserve"> potential pathways underlying associations of natural environments to health have been suggested. Natural environments may </w:t>
      </w:r>
      <w:r w:rsidR="00801BFD" w:rsidRPr="00832218">
        <w:t>reduce exposure to h</w:t>
      </w:r>
      <w:r w:rsidR="005C4B66" w:rsidRPr="00832218">
        <w:t>armful environmental exposures (e.g.</w:t>
      </w:r>
      <w:r w:rsidR="00901E0A" w:rsidRPr="00832218">
        <w:t>,</w:t>
      </w:r>
      <w:r w:rsidR="005C4B66" w:rsidRPr="00832218">
        <w:t xml:space="preserve"> </w:t>
      </w:r>
      <w:r w:rsidR="00801BFD" w:rsidRPr="00832218">
        <w:t>air pollution, noise</w:t>
      </w:r>
      <w:r w:rsidR="005C4B66" w:rsidRPr="00832218">
        <w:t>),</w:t>
      </w:r>
      <w:r w:rsidR="00801BFD" w:rsidRPr="00832218">
        <w:t xml:space="preserve"> can </w:t>
      </w:r>
      <w:r w:rsidR="00D20AB7" w:rsidRPr="00832218">
        <w:t>be a resource for stress reduction and attention restoration</w:t>
      </w:r>
      <w:r w:rsidR="000A6ABA">
        <w:t>,</w:t>
      </w:r>
      <w:r w:rsidR="001027B3" w:rsidRPr="00832218">
        <w:t xml:space="preserve"> </w:t>
      </w:r>
      <w:r w:rsidR="00373725" w:rsidRPr="00832218">
        <w:t>and can encourage</w:t>
      </w:r>
      <w:r w:rsidR="001027B3" w:rsidRPr="00832218">
        <w:t xml:space="preserve"> physical activit</w:t>
      </w:r>
      <w:r w:rsidR="00BC4577" w:rsidRPr="00832218">
        <w:t>y</w:t>
      </w:r>
      <w:r w:rsidR="001027B3" w:rsidRPr="00832218">
        <w:t xml:space="preserve"> and social interactions</w:t>
      </w:r>
      <w:r w:rsidR="004F76C7">
        <w:t>.</w:t>
      </w:r>
      <w:r w:rsidR="00E72D64" w:rsidRPr="00832218">
        <w:fldChar w:fldCharType="begin" w:fldLock="1"/>
      </w:r>
      <w:r w:rsidR="00AE4BAE" w:rsidRPr="00832218">
        <w:instrText>ADDIN CSL_CITATION {"citationItems":[{"id":"ITEM-1","itemData":{"DOI":"10.1016/J.ENVRES.2017.06.028","ISSN":"0013-9351","PMID":"28672128","abstract":"Background 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 Objectives 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 Discussions 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 Conclusions 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author":[{"dropping-particle":"","family":"Markevych","given":"Iana","non-dropping-particle":"","parse-names":false,"suffix":""},{"dropping-particle":"","family":"Schoierer","given":"Julia","non-dropping-particle":"","parse-names":false,"suffix":""},{"dropping-particle":"","family":"Hartig","given":"Terry","non-dropping-particle":"","parse-names":false,"suffix":""},{"dropping-particle":"","family":"Chudnovsky","given":"Alexandra","non-dropping-particle":"","parse-names":false,"suffix":""},{"dropping-particle":"","family":"Hystad","given":"Perry","non-dropping-particle":"","parse-names":false,"suffix":""},{"dropping-particle":"","family":"Dzhambov","given":"Angel M.","non-dropping-particle":"","parse-names":false,"suffix":""},{"dropping-particle":"","family":"Vries","given":"Sjerp","non-dropping-particle":"de","parse-names":false,"suffix":""},{"dropping-particle":"","family":"Triguero-Mas","given":"Margarita","non-dropping-particle":"","parse-names":false,"suffix":""},{"dropping-particle":"","family":"Brauer","given":"Michael","non-dropping-particle":"","parse-names":false,"suffix":""},{"dropping-particle":"","family":"Nieuwenhuijsen","given":"Mark J.","non-dropping-particle":"","parse-names":false,"suffix":""},{"dropping-particle":"","family":"Lupp","given":"Gerd","non-dropping-particle":"","parse-names":false,"suffix":""},{"dropping-particle":"","family":"Richardson","given":"Elizabeth A.","non-dropping-particle":"","parse-names":false,"suffix":""},{"dropping-particle":"","family":"Astell-Burt","given":"Thomas","non-dropping-particle":"","parse-names":false,"suffix":""},{"dropping-particle":"","family":"Dimitrova","given":"Donka","non-dropping-particle":"","parse-names":false,"suffix":""},{"dropping-particle":"","family":"Feng","given":"Xiaoqi","non-dropping-particle":"","parse-names":false,"suffix":""},{"dropping-particle":"","family":"Sadeh","given":"Maya","non-dropping-particle":"","parse-names":false,"suffix":""},{"dropping-particle":"","family":"Standl","given":"Marie","non-dropping-particle":"","parse-names":false,"suffix":""},{"dropping-particle":"","family":"Heinrich","given":"Joachim","non-dropping-particle":"","parse-names":false,"suffix":""},{"dropping-particle":"","family":"Fuertes","given":"Elaine","non-dropping-particle":"","parse-names":false,"suffix":""}],"container-title":"Environmental Research","id":"ITEM-1","issued":{"date-parts":[["2017","10","1"]]},"page":"301-317","publisher":"Academic Press","title":"Exploring pathways linking greenspace to health: Theoretical and methodological guidance","type":"article-journal","volume":"158"},"uris":["http://www.mendeley.com/documents/?uuid=a243219b-0049-3a01-89f4-e9e985b11e0c"]},{"id":"ITEM-2","itemData":{"DOI":"10.1007/s40572-018-0179-y","ISSN":"21965412","PMID":"29392643","abstract":"Purpose of Review: Many studies suggest that exposure to natural vegetation, or greenness, may be beneficial for a variety of health outcomes. We summarize the recent research in this area. Recent Findings: We observed consistent and strong evidence of associations for higher greenness with improvements in birth weights and physical activity, as well as lower mortality rates. Recent studies also suggested that exposure to greenness may lower levels of depression and depressive symptoms. The evidence on greenness and cardiovascular health remains mixed. Findings are also inconsistent for greenness measures and asthma and allergies. Summary: Our knowledge of the impacts of greenness on a wide variety of health outcomes continues to evolve. Future research should incorporate information on specific species and some qualities of natural greenness that might drive health outcomes, integrate exposure assessments that incorporate personal mobility into analyses, and include prospective designs to add to the growing evidence that nature exposure positively affects health.","author":[{"dropping-particle":"","family":"Fong","given":"Kelvin C.","non-dropping-particle":"","parse-names":false,"suffix":""},{"dropping-particle":"","family":"Hart","given":"Jaime E.","non-dropping-particle":"","parse-names":false,"suffix":""},{"dropping-particle":"","family":"James","given":"Peter","non-dropping-particle":"","parse-names":false,"suffix":""}],"container-title":"Current environmental health reports","id":"ITEM-2","issue":"1","issued":{"date-parts":[["2018","3","1"]]},"page":"77-87","publisher":"Springer","title":"A Review of Epidemiologic Studies on Greenness and Health: Updated Literature Through 2017","type":"article","volume":"5"},"uris":["http://www.mendeley.com/documents/?uuid=f6d6f2ed-3ac8-327e-b4ee-97ee2fcb08f6"]}],"mendeley":{"formattedCitation":"&lt;sup&gt;2,3&lt;/sup&gt;","plainTextFormattedCitation":"2,3","previouslyFormattedCitation":"&lt;sup&gt;2,3&lt;/sup&gt;"},"properties":{"noteIndex":0},"schema":"https://github.com/citation-style-language/schema/raw/master/csl-citation.json"}</w:instrText>
      </w:r>
      <w:r w:rsidR="00E72D64" w:rsidRPr="00832218">
        <w:fldChar w:fldCharType="separate"/>
      </w:r>
      <w:r w:rsidR="00F25E6D" w:rsidRPr="00832218">
        <w:rPr>
          <w:noProof/>
          <w:vertAlign w:val="superscript"/>
        </w:rPr>
        <w:t>2,3</w:t>
      </w:r>
      <w:r w:rsidR="00E72D64" w:rsidRPr="00832218">
        <w:fldChar w:fldCharType="end"/>
      </w:r>
      <w:r w:rsidR="001027B3" w:rsidRPr="00832218">
        <w:t xml:space="preserve"> </w:t>
      </w:r>
      <w:r w:rsidR="009748B1" w:rsidRPr="00832218">
        <w:t>On the other hand</w:t>
      </w:r>
      <w:r w:rsidR="002E1789" w:rsidRPr="00832218">
        <w:t xml:space="preserve">, </w:t>
      </w:r>
      <w:r w:rsidR="009748B1" w:rsidRPr="00832218">
        <w:t>vegetation</w:t>
      </w:r>
      <w:r w:rsidR="00373725" w:rsidRPr="00832218">
        <w:t xml:space="preserve"> may adversely affect health by releasing pollen and </w:t>
      </w:r>
      <w:r w:rsidR="0012491B" w:rsidRPr="00832218">
        <w:t>volatile organic compounds (VOCs)</w:t>
      </w:r>
      <w:r w:rsidR="00727327" w:rsidRPr="00832218">
        <w:t>.</w:t>
      </w:r>
      <w:r w:rsidR="002E1789" w:rsidRPr="00832218">
        <w:fldChar w:fldCharType="begin" w:fldLock="1"/>
      </w:r>
      <w:r w:rsidR="00AE4BAE" w:rsidRPr="00832218">
        <w:instrText>ADDIN CSL_CITATION {"citationItems":[{"id":"ITEM-1","itemData":{"DOI":"10.1016/J.ENVRES.2017.06.028","ISSN":"0013-9351","PMID":"28672128","abstract":"Background 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 Objectives 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 Discussions 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 Conclusions 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author":[{"dropping-particle":"","family":"Markevych","given":"Iana","non-dropping-particle":"","parse-names":false,"suffix":""},{"dropping-particle":"","family":"Schoierer","given":"Julia","non-dropping-particle":"","parse-names":false,"suffix":""},{"dropping-particle":"","family":"Hartig","given":"Terry","non-dropping-particle":"","parse-names":false,"suffix":""},{"dropping-particle":"","family":"Chudnovsky","given":"Alexandra","non-dropping-particle":"","parse-names":false,"suffix":""},{"dropping-particle":"","family":"Hystad","given":"Perry","non-dropping-particle":"","parse-names":false,"suffix":""},{"dropping-particle":"","family":"Dzhambov","given":"Angel M.","non-dropping-particle":"","parse-names":false,"suffix":""},{"dropping-particle":"","family":"Vries","given":"Sjerp","non-dropping-particle":"de","parse-names":false,"suffix":""},{"dropping-particle":"","family":"Triguero-Mas","given":"Margarita","non-dropping-particle":"","parse-names":false,"suffix":""},{"dropping-particle":"","family":"Brauer","given":"Michael","non-dropping-particle":"","parse-names":false,"suffix":""},{"dropping-particle":"","family":"Nieuwenhuijsen","given":"Mark J.","non-dropping-particle":"","parse-names":false,"suffix":""},{"dropping-particle":"","family":"Lupp","given":"Gerd","non-dropping-particle":"","parse-names":false,"suffix":""},{"dropping-particle":"","family":"Richardson","given":"Elizabeth A.","non-dropping-particle":"","parse-names":false,"suffix":""},{"dropping-particle":"","family":"Astell-Burt","given":"Thomas","non-dropping-particle":"","parse-names":false,"suffix":""},{"dropping-particle":"","family":"Dimitrova","given":"Donka","non-dropping-particle":"","parse-names":false,"suffix":""},{"dropping-particle":"","family":"Feng","given":"Xiaoqi","non-dropping-particle":"","parse-names":false,"suffix":""},{"dropping-particle":"","family":"Sadeh","given":"Maya","non-dropping-particle":"","parse-names":false,"suffix":""},{"dropping-particle":"","family":"Standl","given":"Marie","non-dropping-particle":"","parse-names":false,"suffix":""},{"dropping-particle":"","family":"Heinrich","given":"Joachim","non-dropping-particle":"","parse-names":false,"suffix":""},{"dropping-particle":"","family":"Fuertes","given":"Elaine","non-dropping-particle":"","parse-names":false,"suffix":""}],"container-title":"Environmental Research","id":"ITEM-1","issued":{"date-parts":[["2017","10","1"]]},"page":"301-317","publisher":"Academic Press","title":"Exploring pathways linking greenspace to health: Theoretical and methodological guidance","type":"article-journal","volume":"158"},"uris":["http://www.mendeley.com/documents/?uuid=a243219b-0049-3a01-89f4-e9e985b11e0c"]},{"id":"ITEM-2","itemData":{"DOI":"10.1016/J.ENVINT.2020.106042","ISSN":"0160-4120","abstract":"Differential findings have been reported on the association between neighborhood greenness and chronic obstructive pulmonary disease (COPD). The underlying reasons might be the different types of vegetation and the diagnosis methods used in different studies. In this nationwide cross-sectional study in China, we examined the linkage between neighborhood greenness and COPD prevalence among 66,752 adults aged 40 years and above. Neighborhood greenness was estimated using the normalized difference vegetation index (NDVI) based on satellite imagery within buffers of 100, 300, 500, 1000, 2000, 3000 and 5000 m of residential community of the participants. COPD was defined according to the 2017 Global Initiative for Chronic Obstructive Lung Disease lung function criteria. A two-level logistic regression model was applied to estimate the associations. Finally, 9134 adults were classified as COPD. We observed significant positive associations between neighborhood greenness and COPD prevalence. The odds ratio for each interquartile range increase in NDVI within 100 m buffer was 1.08 (95% CI: 1.01, 1.15) after adjustment for potential confounders. Consistent associations were observed across all other NDVI buffer sizes. Stratified analyses revealed that younger adults (40–65 years) and urban residents might be the vulnerable subpopulations. Further regional analyses found that residents from the Northeastern and Northern China were more likely to have this association. Our results indicated that neighborhood greenness might be one risk factor of COPD prevalence. Our study have important public health implications for allocating the surrounding green spaces among living areas, especially for those with respiratory illness; however, the findings and the underlying mechanisms warrant further examinations in longitudinal settings.","author":[{"dropping-particle":"","family":"Fan","given":"Jing","non-dropping-particle":"","parse-names":false,"suffix":""},{"dropping-particle":"","family":"Guo","given":"Yawei","non-dropping-particle":"","parse-names":false,"suffix":""},{"dropping-particle":"","family":"Cao","given":"Zheng","non-dropping-particle":"","parse-names":false,"suffix":""},{"dropping-particle":"","family":"Cong","given":"Shu","non-dropping-particle":"","parse-names":false,"suffix":""},{"dropping-particle":"","family":"Wang","given":"Ning","non-dropping-particle":"","parse-names":false,"suffix":""},{"dropping-particle":"","family":"Lin","given":"Hualiang","non-dropping-particle":"","parse-names":false,"suffix":""},{"dropping-particle":"","family":"Wang","given":"Chongjian","non-dropping-particle":"","parse-names":false,"suffix":""},{"dropping-particle":"","family":"Bao","given":"Heling","non-dropping-particle":"","parse-names":false,"suffix":""},{"dropping-particle":"","family":"Lv","given":"Xueli","non-dropping-particle":"","parse-names":false,"suffix":""},{"dropping-particle":"","family":"Wang","given":"Baohua","non-dropping-particle":"","parse-names":false,"suffix":""},{"dropping-particle":"","family":"Gao","given":"Yi","non-dropping-particle":"","parse-names":false,"suffix":""},{"dropping-particle":"","family":"Chen","given":"Yahong","non-dropping-particle":"","parse-names":false,"suffix":""},{"dropping-particle":"","family":"Yang","given":"Ting","non-dropping-particle":"","parse-names":false,"suffix":""},{"dropping-particle":"","family":"Wang","given":"Linhong","non-dropping-particle":"","parse-names":false,"suffix":""},{"dropping-particle":"","family":"Wang","given":"Chen","non-dropping-particle":"","parse-names":false,"suffix":""},{"dropping-particle":"","family":"Ruan","given":"Zengliang","non-dropping-particle":"","parse-names":false,"suffix":""},{"dropping-particle":"","family":"Fang","given":"Liwen","non-dropping-particle":"","parse-names":false,"suffix":""}],"container-title":"Environment International","id":"ITEM-2","issued":{"date-parts":[["2020","11","1"]]},"page":"106042","publisher":"Pergamon","title":"Neighborhood greenness associated with chronic obstructive pulmonary disease: A nationwide cross-sectional study in China","type":"article-journal","volume":"144"},"uris":["http://www.mendeley.com/documents/?uuid=fb48cba6-09e7-3eac-9cc8-0fceb2aae1a5"]}],"mendeley":{"formattedCitation":"&lt;sup&gt;3,4&lt;/sup&gt;","plainTextFormattedCitation":"3,4","previouslyFormattedCitation":"&lt;sup&gt;3,4&lt;/sup&gt;"},"properties":{"noteIndex":0},"schema":"https://github.com/citation-style-language/schema/raw/master/csl-citation.json"}</w:instrText>
      </w:r>
      <w:r w:rsidR="002E1789" w:rsidRPr="00832218">
        <w:fldChar w:fldCharType="separate"/>
      </w:r>
      <w:r w:rsidR="00AE4BAE" w:rsidRPr="00832218">
        <w:rPr>
          <w:noProof/>
          <w:vertAlign w:val="superscript"/>
        </w:rPr>
        <w:t>3,4</w:t>
      </w:r>
      <w:r w:rsidR="002E1789" w:rsidRPr="00832218">
        <w:fldChar w:fldCharType="end"/>
      </w:r>
    </w:p>
    <w:p w14:paraId="48E87511" w14:textId="37700719" w:rsidR="002669E6" w:rsidRPr="00832218" w:rsidRDefault="00182764" w:rsidP="002669E6">
      <w:pPr>
        <w:jc w:val="both"/>
      </w:pPr>
      <w:r w:rsidRPr="00832218">
        <w:t>Many</w:t>
      </w:r>
      <w:r w:rsidR="002669E6" w:rsidRPr="00832218">
        <w:t xml:space="preserve"> measures of the natural environment </w:t>
      </w:r>
      <w:proofErr w:type="gramStart"/>
      <w:r w:rsidR="008D1602" w:rsidRPr="00832218">
        <w:t>have been</w:t>
      </w:r>
      <w:r w:rsidR="002669E6" w:rsidRPr="00832218">
        <w:t xml:space="preserve"> used</w:t>
      </w:r>
      <w:proofErr w:type="gramEnd"/>
      <w:r w:rsidR="002669E6" w:rsidRPr="00832218">
        <w:t xml:space="preserve"> in </w:t>
      </w:r>
      <w:r w:rsidRPr="00832218">
        <w:t>epidemiologic</w:t>
      </w:r>
      <w:r w:rsidR="002669E6" w:rsidRPr="00832218">
        <w:t xml:space="preserve"> studies. Most studies focus on </w:t>
      </w:r>
      <w:r w:rsidR="00A323CB" w:rsidRPr="00832218">
        <w:t xml:space="preserve">availability of </w:t>
      </w:r>
      <w:r w:rsidR="002669E6" w:rsidRPr="00832218">
        <w:t xml:space="preserve">greenness, measured by </w:t>
      </w:r>
      <w:r w:rsidR="000A6ABA">
        <w:t xml:space="preserve">satellite-based </w:t>
      </w:r>
      <w:r w:rsidR="002669E6" w:rsidRPr="00832218">
        <w:t xml:space="preserve">vegetation indices such as the </w:t>
      </w:r>
      <w:r w:rsidR="00A323CB" w:rsidRPr="00832218">
        <w:t>Normalized Difference Vegetation Index (</w:t>
      </w:r>
      <w:r w:rsidR="002669E6" w:rsidRPr="00832218">
        <w:t>NDVI</w:t>
      </w:r>
      <w:r w:rsidR="00A323CB" w:rsidRPr="00832218">
        <w:t>)</w:t>
      </w:r>
      <w:r w:rsidR="00727327" w:rsidRPr="00832218">
        <w:t>.</w:t>
      </w:r>
      <w:r w:rsidR="00A76E3F" w:rsidRPr="00832218">
        <w:fldChar w:fldCharType="begin" w:fldLock="1"/>
      </w:r>
      <w:r w:rsidR="00AE4BAE" w:rsidRPr="00832218">
        <w:instrText>ADDIN CSL_CITATION {"citationItems":[{"id":"ITEM-1","itemData":{"DOI":"10.1016/J.ENVRES.2019.108869","ISSN":"0013-9351","PMID":"31722804","abstract":"Background: There is an increasing volume of literature investigating the links between urban environments and human health, much of which involves spatial conceptualisations and research designs involving various aspects of geographical information science. Despite intensifying research interest, there has been little systematic investigation of pragmatic methodological concerns, such as how studies are realised in terms of the types of data that are gathered and the analytical techniques that are applied, both of which have the potential to impact results. The aim of this systematic review is, therefore, to understand how spatial scale, datasets, methods, and analytics are currently applied in studies investigating the relationship between green and blue spaces and human health in urban areas. Method: We systematically reviewed 93 articles following PRISMA protocol, extracted information regarding different spatial dimensions, and synthesised them in relation to various health indicators. Results and discussion: We found a preponderance of the use of neighbourhood-scale in these studies, and a majority of the studies utilised land-use and vegetation indices gleaned from moderate resolution satellite imagery. We also observed the frequent adoption of fixed spatial units for measuring exposure to green and blue spaces based on physical proximity, typically ranging between 30 and 5000 m. The conceptual frameworks of the studies (e.g., the focus on physical vs. mental health or the definition of exposure to green space) were found to have an influence on the strength of association between exposure and health outcomes. Additionally, the strength and significance of associations also varied by study design, something which has not been considered systematically. Conclusion: On the basis of our findings, we propose a set of recommendations for standardised protocols and methods for the evaluation of the impact of green-blue spaces on health. Our analysis suggests that future studies should consider conducting analyses at finer spatial scales and employing multiple exposure assessment methods to achieve a comprehensive and comparable evaluation of the association between greenspace and health along multiple pathways.","author":[{"dropping-particle":"","family":"Labib","given":"S. M.","non-dropping-particle":"","parse-names":false,"suffix":""},{"dropping-particle":"","family":"Lindley","given":"Sarah","non-dropping-particle":"","parse-names":false,"suffix":""},{"dropping-particle":"","family":"Huck","given":"Jonny J.","non-dropping-particle":"","parse-names":false,"suffix":""}],"container-title":"Environmental Research","id":"ITEM-1","issued":{"date-parts":[["2020","1","1"]]},"page":"108869","publisher":"Academic Press","title":"Spatial dimensions of the influence of urban green-blue spaces on human health: A systematic review","type":"article-journal","volume":"180"},"uris":["http://www.mendeley.com/documents/?uuid=2ff8a10f-a248-3128-bf0c-9efcfdd3f437"]}],"mendeley":{"formattedCitation":"&lt;sup&gt;5&lt;/sup&gt;","plainTextFormattedCitation":"5","previouslyFormattedCitation":"&lt;sup&gt;5&lt;/sup&gt;"},"properties":{"noteIndex":0},"schema":"https://github.com/citation-style-language/schema/raw/master/csl-citation.json"}</w:instrText>
      </w:r>
      <w:r w:rsidR="00A76E3F" w:rsidRPr="00832218">
        <w:fldChar w:fldCharType="separate"/>
      </w:r>
      <w:r w:rsidR="00AE4BAE" w:rsidRPr="00832218">
        <w:rPr>
          <w:noProof/>
          <w:vertAlign w:val="superscript"/>
        </w:rPr>
        <w:t>5</w:t>
      </w:r>
      <w:r w:rsidR="00A76E3F" w:rsidRPr="00832218">
        <w:fldChar w:fldCharType="end"/>
      </w:r>
      <w:r w:rsidR="002669E6" w:rsidRPr="00832218">
        <w:t xml:space="preserve"> These vegetation indices assess the </w:t>
      </w:r>
      <w:r w:rsidR="0099669A" w:rsidRPr="00832218">
        <w:t xml:space="preserve">quantity of green </w:t>
      </w:r>
      <w:r w:rsidR="002669E6" w:rsidRPr="00832218">
        <w:t>vegetation but do not</w:t>
      </w:r>
      <w:r w:rsidR="00ED16C3" w:rsidRPr="00832218">
        <w:t xml:space="preserve"> differentiate </w:t>
      </w:r>
      <w:r w:rsidR="0099669A" w:rsidRPr="00832218">
        <w:t xml:space="preserve">vegetation </w:t>
      </w:r>
      <w:r w:rsidR="00ED16C3" w:rsidRPr="00832218">
        <w:t xml:space="preserve">quality </w:t>
      </w:r>
      <w:r w:rsidR="0099669A" w:rsidRPr="00832218">
        <w:t xml:space="preserve">or </w:t>
      </w:r>
      <w:r w:rsidR="002669E6" w:rsidRPr="00832218">
        <w:t>green space</w:t>
      </w:r>
      <w:r w:rsidR="0099669A" w:rsidRPr="00832218">
        <w:t xml:space="preserve"> type</w:t>
      </w:r>
      <w:r w:rsidR="002669E6" w:rsidRPr="00832218">
        <w:t>. Public parks, agricultural land</w:t>
      </w:r>
      <w:r w:rsidR="0099669A" w:rsidRPr="00832218">
        <w:t>s,</w:t>
      </w:r>
      <w:r w:rsidR="005C4B66" w:rsidRPr="00832218">
        <w:t xml:space="preserve"> </w:t>
      </w:r>
      <w:r w:rsidR="0099669A" w:rsidRPr="00832218">
        <w:t xml:space="preserve">uncultivated lands, and private </w:t>
      </w:r>
      <w:r w:rsidR="007D5D1E" w:rsidRPr="00832218">
        <w:t>yards</w:t>
      </w:r>
      <w:r w:rsidR="002669E6" w:rsidRPr="00832218">
        <w:t xml:space="preserve"> </w:t>
      </w:r>
      <w:proofErr w:type="gramStart"/>
      <w:r w:rsidR="002669E6" w:rsidRPr="00832218">
        <w:t>are generally captured</w:t>
      </w:r>
      <w:proofErr w:type="gramEnd"/>
      <w:r w:rsidR="00024F4D">
        <w:t xml:space="preserve"> </w:t>
      </w:r>
      <w:r w:rsidR="002669E6" w:rsidRPr="00832218">
        <w:t xml:space="preserve">by vegetation </w:t>
      </w:r>
      <w:r w:rsidR="0071133D" w:rsidRPr="00832218">
        <w:t>indices but</w:t>
      </w:r>
      <w:r w:rsidR="002669E6" w:rsidRPr="00832218">
        <w:t xml:space="preserve"> </w:t>
      </w:r>
      <w:r w:rsidR="005201B1" w:rsidRPr="00832218">
        <w:t xml:space="preserve">may </w:t>
      </w:r>
      <w:r w:rsidR="002669E6" w:rsidRPr="00832218">
        <w:t xml:space="preserve">differ in their impact on health. </w:t>
      </w:r>
      <w:r w:rsidR="008D1602" w:rsidRPr="00832218">
        <w:t>Public parks</w:t>
      </w:r>
      <w:r w:rsidR="004F76C7">
        <w:t>,</w:t>
      </w:r>
      <w:r w:rsidR="008D1602" w:rsidRPr="00832218">
        <w:t xml:space="preserve"> for example</w:t>
      </w:r>
      <w:r w:rsidR="004F76C7">
        <w:t>,</w:t>
      </w:r>
      <w:r w:rsidR="008D1602" w:rsidRPr="00832218">
        <w:t xml:space="preserve"> provide suitable spaces for physical activities and social gatherings and are publicly accessible, in contrast to agricultural </w:t>
      </w:r>
      <w:r w:rsidR="0099669A" w:rsidRPr="00832218">
        <w:t xml:space="preserve">or private </w:t>
      </w:r>
      <w:r w:rsidR="008D1602" w:rsidRPr="00832218">
        <w:t>land</w:t>
      </w:r>
      <w:r w:rsidR="0099669A" w:rsidRPr="00832218">
        <w:t>s</w:t>
      </w:r>
      <w:r w:rsidR="008D1602" w:rsidRPr="00832218">
        <w:t>.</w:t>
      </w:r>
      <w:r w:rsidR="00732A14" w:rsidRPr="00832218">
        <w:t xml:space="preserve"> Exposure to</w:t>
      </w:r>
      <w:r w:rsidR="00775058" w:rsidRPr="00832218">
        <w:t xml:space="preserve"> blue space</w:t>
      </w:r>
      <w:r w:rsidR="00A448D1">
        <w:t xml:space="preserve"> (e.g. rivers, lakes, oceans)</w:t>
      </w:r>
      <w:r w:rsidR="00775058" w:rsidRPr="00832218">
        <w:t xml:space="preserve"> ha</w:t>
      </w:r>
      <w:r w:rsidR="00732A14" w:rsidRPr="00832218">
        <w:t>s</w:t>
      </w:r>
      <w:r w:rsidR="00775058" w:rsidRPr="00832218">
        <w:t xml:space="preserve"> received less attention in compar</w:t>
      </w:r>
      <w:r w:rsidR="008E05C8" w:rsidRPr="00832218">
        <w:t xml:space="preserve">ison to green space </w:t>
      </w:r>
      <w:r w:rsidR="00B7354A" w:rsidRPr="00832218">
        <w:t xml:space="preserve">but can be </w:t>
      </w:r>
      <w:r w:rsidR="00837595" w:rsidRPr="00832218">
        <w:t>potential</w:t>
      </w:r>
      <w:r w:rsidR="005B06D1" w:rsidRPr="00832218">
        <w:t>ly</w:t>
      </w:r>
      <w:r w:rsidR="00837595" w:rsidRPr="00832218">
        <w:t xml:space="preserve"> helpf</w:t>
      </w:r>
      <w:r w:rsidR="00727327" w:rsidRPr="00832218">
        <w:t>ul to de-stress, calm and relax.</w:t>
      </w:r>
      <w:r w:rsidR="00A777F2" w:rsidRPr="00832218">
        <w:fldChar w:fldCharType="begin" w:fldLock="1"/>
      </w:r>
      <w:r w:rsidR="00AE4BAE" w:rsidRPr="00832218">
        <w:instrText>ADDIN CSL_CITATION {"citationItems":[{"id":"ITEM-1","itemData":{"DOI":"10.1016/J.SCITOTENV.2020.140196","ISSN":"0048-9697","PMID":"32783838","abstract":"Growing evidence suggests that access and exposure to water bodies or blue spaces can provide a variety of health and well-being benefits. Attempts to quantify these ‘blue-health’ benefits have largely focused on coastal environments, with freshwater blue spaces receiving far less attention despite over 50% of the global population living within 3 km of a body of freshwater and populations living in landlocked areas having limited coastal access. This critical review identifies opportunities to improve our understanding of the relationship between freshwater blue space and health and well-being and outlines key recommendations to broaden the portfolio of emerging research needs associated with the field of blue-health. Recognising fundamental distinctions in relationships between health outcomes and access and exposure to freshwater versus coastal blue space is critical and further research is required to determine the mechanisms that link exposure to freshwater blue space with tangible health outcomes and to understand how such mechanisms vary across a range of freshwater environments. Furthermore, methodological improvements are necessary as spatial approaches adopted to quantify access and exposure to freshwater blue space often fail to account for the unique physical characteristics of freshwater and come with a variety of limitations. Based on the findings of this review, a suite of research needs are proposed, which can be categorised into three broad themes: (i) establishing a freshwater blue-health methodological framework; (ii) advancing the empirical freshwater blue-health evidence base; and (iii) promoting freshwater blue-health opportunities. When taken together, these research themes offer opportunities to advance current understanding and better integrate freshwater blue space into the wider nature-health research agenda.","author":[{"dropping-particle":"","family":"McDougall","given":"Craig W.","non-dropping-particle":"","parse-names":false,"suffix":""},{"dropping-particle":"","family":"Quilliam","given":"Richard S.","non-dropping-particle":"","parse-names":false,"suffix":""},{"dropping-particle":"","family":"Hanley","given":"Nick","non-dropping-particle":"","parse-names":false,"suffix":""},{"dropping-particle":"","family":"Oliver","given":"David M.","non-dropping-particle":"","parse-names":false,"suffix":""}],"container-title":"Science of The Total Environment","id":"ITEM-1","issued":{"date-parts":[["2020","10","1"]]},"page":"140196","publisher":"Elsevier","title":"Freshwater blue space and population health: An emerging research agenda","type":"article-journal","volume":"737"},"uris":["http://www.mendeley.com/documents/?uuid=67f8558e-c06c-3ec3-8881-e2348cc4061f"]},{"id":"ITEM-2","itemData":{"DOI":"10.1016/j.envres.2020.110169","ISSN":"10960953","PMID":"32971082","abstract":"Research into the potential health and well-being benefits from exposure to green spaces such as parks and woodlands has led to the development of several frameworks linking the different strands of evidence. The current paper builds on these to provide a model of how exposure to aquatic environments, or blue spaces such as rivers, lakes and the coast, in particular, may benefit health and well-being. Although green and blue spaces share many commonalities, there are also important differences. Given the breadth of the research, spanning multiple disciplines and research methodologies, a narrative review approach was adopted which aimed to highlight key issues and processes rather than provide a definitive balance of evidence summary. Novel aspects of our framework included the inclusion of outcomes that are only indirectly good for health through being good for the environment, the addition of nature connectedness as both a trait and state, and feedback loops where actions/interventions to increase exposure are implemented. Limitations of the review and areas for future work, including the need to integrate potential benefits with potential risks, are discussed.","author":[{"dropping-particle":"","family":"White","given":"Mathew P.","non-dropping-particle":"","parse-names":false,"suffix":""},{"dropping-particle":"","family":"Elliott","given":"Lewis R.","non-dropping-particle":"","parse-names":false,"suffix":""},{"dropping-particle":"","family":"Gascon","given":"Mireia","non-dropping-particle":"","parse-names":false,"suffix":""},{"dropping-particle":"","family":"Roberts","given":"Bethany","non-dropping-particle":"","parse-names":false,"suffix":""},{"dropping-particle":"","family":"Fleming","given":"Lora E.","non-dropping-particle":"","parse-names":false,"suffix":""}],"container-title":"Environmental Research","id":"ITEM-2","issued":{"date-parts":[["2020","12","1"]]},"page":"110169","publisher":"Academic Press Inc.","title":"Blue space, health and well-being: A narrative overview and synthesis of potential benefits","type":"article","volume":"191"},"uris":["http://www.mendeley.com/documents/?uuid=eae0b624-86e7-311c-ae2c-b71100ff36e7"]}],"mendeley":{"formattedCitation":"&lt;sup&gt;6,7&lt;/sup&gt;","plainTextFormattedCitation":"6,7","previouslyFormattedCitation":"&lt;sup&gt;6,7&lt;/sup&gt;"},"properties":{"noteIndex":0},"schema":"https://github.com/citation-style-language/schema/raw/master/csl-citation.json"}</w:instrText>
      </w:r>
      <w:r w:rsidR="00A777F2" w:rsidRPr="00832218">
        <w:fldChar w:fldCharType="separate"/>
      </w:r>
      <w:r w:rsidR="00AE4BAE" w:rsidRPr="00832218">
        <w:rPr>
          <w:noProof/>
          <w:vertAlign w:val="superscript"/>
        </w:rPr>
        <w:t>6,7</w:t>
      </w:r>
      <w:r w:rsidR="00A777F2" w:rsidRPr="00832218">
        <w:fldChar w:fldCharType="end"/>
      </w:r>
    </w:p>
    <w:p w14:paraId="46B82CBC" w14:textId="2A8809DF" w:rsidR="00C95BE2" w:rsidRPr="00832218" w:rsidRDefault="00A323CB" w:rsidP="00C95BE2">
      <w:pPr>
        <w:jc w:val="both"/>
      </w:pPr>
      <w:r w:rsidRPr="00832218">
        <w:t>Exposure to g</w:t>
      </w:r>
      <w:r w:rsidR="008C2E15" w:rsidRPr="00832218">
        <w:t xml:space="preserve">reen space has </w:t>
      </w:r>
      <w:r w:rsidR="00104F35" w:rsidRPr="00832218">
        <w:t xml:space="preserve">been linked to decreased risk of cardiovascular </w:t>
      </w:r>
      <w:r w:rsidR="00706D8A" w:rsidRPr="00832218">
        <w:t xml:space="preserve">disease (CVD) </w:t>
      </w:r>
      <w:r w:rsidR="00104F35" w:rsidRPr="00832218">
        <w:t xml:space="preserve">and respiratory disease </w:t>
      </w:r>
      <w:r w:rsidR="007D2428" w:rsidRPr="00832218">
        <w:t xml:space="preserve">(RSD) </w:t>
      </w:r>
      <w:r w:rsidR="00104F35" w:rsidRPr="00832218">
        <w:t>mortality</w:t>
      </w:r>
      <w:r w:rsidR="00060701" w:rsidRPr="00832218">
        <w:t xml:space="preserve"> in several large cohort studies</w:t>
      </w:r>
      <w:r w:rsidR="00727327" w:rsidRPr="00832218">
        <w:t>.</w:t>
      </w:r>
      <w:r w:rsidR="00060701" w:rsidRPr="00832218">
        <w:fldChar w:fldCharType="begin" w:fldLock="1"/>
      </w:r>
      <w:r w:rsidR="00245BA5" w:rsidRPr="00832218">
        <w:instrText>ADDIN CSL_CITATION {"citationItems":[{"id":"ITEM-1","itemData":{"DOI":"https://doi.org/10.1016/j.envint.2017.08.012","author":[{"dropping-particle":"","family":"Vienneau","given":"D","non-dropping-particle":"","parse-names":false,"suffix":""},{"dropping-particle":"de","family":"Hoogh","given":"K","non-dropping-particle":"","parse-names":false,"suffix":""},{"dropping-particle":"","family":"Faeh","given":"D","non-dropping-particle":"","parse-names":false,"suffix":""},{"dropping-particle":"","family":"Kaufmann","given":"M","non-dropping-particle":"","parse-names":false,"suffix":""},{"dropping-particle":"","family":"Wunderli","given":"J M","non-dropping-particle":"","parse-names":false,"suffix":""},{"dropping-particle":"","family":"Röösli","given":"M","non-dropping-particle":"","parse-names":false,"suffix":""},{"dropping-particle":"","family":"Group","given":"SNC Study","non-dropping-particle":"","parse-names":false,"suffix":""}],"container-title":"Environment International","id":"ITEM-1","issued":{"date-parts":[["2017"]]},"page":"176-184","title":"More than clean air and tranquillity: residential green is independently associated with decreasing mortality","type":"article-journal","volume":"108"},"uris":["http://www.mendeley.com/documents/?uuid=6c55f8fd-bd91-3e3e-b44e-111feb6ab884"]},{"id":"ITEM-2","itemData":{"DOI":"10.1016/S2542-5196(17)30118-3","ISSN":"25425196","abstract":"Background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 Methods We used data from a large cohort study (the 2001 Canadian Census Health and Environment Cohort [2001 CanCHEC]), which consisted of approximately 1·3 million adult (aged ≥19 years), non-immigrant, urban Canadians in 30 cities who responded to the mandatory 2001 Statistics Canada long-form census. The cohort has been linked by Statistics Canada to the Canadian mortality database and to annual income tax filings through 2011. We measured greenness with images from the moderate-resolution imaging spectroradiometer from NASA's Aqua satellite. We assigned estimates of exposure to greenness derived from remotely sensed Normalized Difference Vegetation Index (NDVI) within both 250 m and 500 m of participants' residences for each year during 11 years of follow-up (between 2001 and 2011). We used Cox proportional hazards models to estimate associations between residential greenness (as a continuous variable) and mortality. We estimated hazard ratios (HRs) and corresponding 95% CIs per IQR (0·15) increase in NDVI adjusted for personal (eg, education and income) and contextual covariates, including exposures to fine particulate matter, ozone, and nitrogen dioxide. We also considered effect modification by selected personal covariates (age, sex, household income adequacy quintiles, highest level of education, and marital status). Findings Our cohort consisted of approximately 1 265 000 million individuals at baseline who contributed 11 523 770 person-years. We showed significant decreased risks of mortality in the range of 8–12% from all causes of death examined with increased greenness around participants' residence. In the fully adjusted analyses, the risk was significantly decreased for all causes of death (non-accidental HR 0·915, 95% CI 0·905–0·924; cardiovascular plus diabetes 0·911, 0·895–0·928; cardiovascular 0·911, 0·894–0·928; ischaemic heart disease 0·904, 0·882–0·927; cerebrovascular 0·942, 0·902–0·983; and respiratory 0·899, 0·869–0·930). Greenness associations were more protective among men than women (HR 0·880, 95% CI 0·868–0·893 vs…","author":[{"dropping-particle":"","family":"Crouse","given":"Dan L.","non-dropping-particle":"","parse-names":false,"suffix":""},{"dropping-particle":"","family":"Pinault","given":"Lauren","non-dropping-particle":"","parse-names":false,"suffix":""},{"dropping-particle":"","family":"Balram","given":"Adele","non-dropping-particle":"","parse-names":false,"suffix":""},{"dropping-particle":"","family":"Hystad","given":"Perry","non-dropping-particle":"","parse-names":false,"suffix":""},{"dropping-particle":"","family":"Peters","given":"Paul A.","non-dropping-particle":"","parse-names":false,"suffix":""},{"dropping-particle":"","family":"Chen","given":"Hong","non-dropping-particle":"","parse-names":false,"suffix":""},{"dropping-particle":"","family":"Donkelaar","given":"Aaron","non-dropping-particle":"van","parse-names":false,"suffix":""},{"dropping-particle":"V.","family":"Martin","given":"Randall","non-dropping-particle":"","parse-names":false,"suffix":""},{"dropping-particle":"","family":"Ménard","given":"Richard","non-dropping-particle":"","parse-names":false,"suffix":""},{"dropping-particle":"","family":"Robichaud","given":"Alain","non-dropping-particle":"","parse-names":false,"suffix":""},{"dropping-particle":"","family":"Villeneuve","given":"Paul J.","non-dropping-particle":"","parse-names":false,"suffix":""}],"container-title":"The Lancet Planetary Health","id":"ITEM-2","issue":"7","issued":{"date-parts":[["2017","10","1"]]},"page":"e289-e297","publisher":"Elsevier B.V.","title":"Urban greenness and mortality in Canada's largest cities: a national cohort study","type":"article-journal","volume":"1"},"uris":["http://www.mendeley.com/documents/?uuid=e4745498-122d-309d-8eec-b57f8179ef68"]},{"id":"ITEM-3","itemData":{"DOI":"10.1186/S12940-021-00769-0","ISSN":"1476-069X","abstract":"Everyday people are exposed to multiple environmental factors, such as surrounding green, air pollution and traffic noise. These exposures are generally spatially correlated. Hence, when estimating associations of surrounding green, air pollution or traffic noise with health outcomes, the other exposures should be taken into account. The aim of this study was to evaluate associations of long-term residential exposure to surrounding green, air pollution and traffic noise with mortality. We followed approximately 10.5 million adults (aged ≥ 30 years) living in the Netherlands from 1 January 2013 until 31 December 2018. We used Cox proportional hazard models to evaluate associations of residential surrounding green (including the average Normalized Difference Vegetation Index (NDVI) in buffers of 300 and 1000 m), annual average ambient air pollutant concentrations [including particulate matter (PM2.5), nitrogen dioxide (NO2)] and traffic noise with non-accidental and cause-specific mortality, adjusting for potential confounders. In single-exposure models, surrounding green was negatively associated with all mortality outcomes, while air pollution was positively associated with all outcomes. In two-exposure models, associations of surrounding green and air pollution attenuated but remained. For respiratory mortality, in a two-exposure model with NO2 and NDVI 300 m, the HR of NO2 was 1.040 (95%CI: 1.022, 1.059) per IQR increase (8.3 µg/m3) and the HR of NDVI 300 m was 0.964 (95%CI: 0.952, 0.976) per IQR increase (0.14). Road-traffic noise was positively associated with lung cancer mortality only, also after adjustment for air pollution or surrounding green. Lower surrounding green and higher air pollution were associated with a higher risk of non-accidental and cause-specific mortality. Studies including only one of these correlated exposures may overestimate the associations with mortality of that exposure.","author":[{"dropping-particle":"","family":"Klompmaker","given":"Jochem O.","non-dropping-particle":"","parse-names":false,"suffix":""},{"dropping-particle":"","family":"Janssen","given":"Nicole A. H.","non-dropping-particle":"","parse-names":false,"suffix":""},{"dropping-particle":"","family":"Bloemsma","given":"Lizan D.","non-dropping-particle":"","parse-names":false,"suffix":""},{"dropping-particle":"","family":"Marra","given":"Marten","non-dropping-particle":"","parse-names":false,"suffix":""},{"dropping-particle":"","family":"Lebret","given":"Erik","non-dropping-particle":"","parse-names":false,"suffix":""},{"dropping-particle":"","family":"Gehring","given":"Ulrike","non-dropping-particle":"","parse-names":false,"suffix":""},{"dropping-particle":"","family":"Hoek","given":"Gerard","non-dropping-particle":"","parse-names":false,"suffix":""}],"container-title":"Environmental Health 2021 20:1","id":"ITEM-3","issue":"1","issued":{"date-parts":[["2021","7","14"]]},"page":"1-16","publisher":"BioMed Central","title":"Effects of exposure to surrounding green, air pollution and traffic noise with non-accidental and cause-specific mortality in the Dutch national cohort","type":"article-journal","volume":"20"},"uris":["http://www.mendeley.com/documents/?uuid=74dae320-fadd-3346-b5c7-0118b49b87fc"]},{"id":"ITEM-4","itemData":{"DOI":"10.1016/J.ENVINT.2020.106365","ISSN":"0160-4120","abstract":"Background: Epidemiological studies suggest that residing close to green space reduce mortality rates. We investigated the relationship between long-term exposure to residential green space and non-accidental and cardio-respiratory mortality. Methods: We linked the Belgian 2001 census to population and mortality register follow-up data (2001–2011) among adults aged 30 years and older residing in the five largest urban areas in Belgium (n = 2,185,170 and mean follow-up time 9.4 years). Residential addresses were available at baseline. Exposure to green space was defined as 1) surrounding greenness (2006) [normalized difference vegetation index (NDVI) and modified soil-adjusted vegetation index (MSAVI2)] within buffers of 300 m, 500 m, and 1000 m; 2) surrounding green space (2006) [Urban Atlas (UA) and CORINE Land Cover (CLC)] within buffers of 300 m, 500 m, and 1000 m; and 3) perceived neighborhood green space (2001). Cox proportional hazards models with age as the underlying time scale were used to probe into cause-specific mortality (non-accidental, respiratory, COPD, cardiovascular, ischemic heart disease (IHD), and cerebrovascular). Models were adjusted for several sociodemographic variables (age, sex, marital status, country of birth, education level, employment status, and area mean income). We further adjusted our main models for annual mean (2010) values of ambient air pollution (PM2.5, PM10, NO2 and BC, one at a time), and we additionally explored potential mediation with the aforementioned pollutants. Results: Higher degrees of residential green space were associated with lower rates of non-accidental and respiratory mortality. In fully adjusted models, hazard ratios (HR) per interquartile range (IQR) increase in NDVI 500 m buffer (IQR: 0.24) and UA 500 m buffer (IQR: 0.31) were 0.97 (95%CI 0.96–0.98) and 0.99 (95%CI 0.98–0.99) for non-accidental mortality, and 0.95 (95%CI 0.93–0.98) and 0.97 (95%CI 0.96–0.99) for respiratory mortality. For perceived neighborhood green space, HRs were 0.93 (95%CI 0.92–0.94) and 0.94 (95%CI 0.91–0.98) for non-accidental and respiratory mortality, respectively. The observed lower mortality risks associated with residential exposure to green space were largely independent from exposure to ambient air pollutants. Conclusion: We observed evidence for lower mortality risk in associations with long-term residential exposure to green space in most but not all studied causes of death in a large representative cohort for…","author":[{"dropping-particle":"","family":"Bauwelinck","given":"Mariska","non-dropping-particle":"","parse-names":false,"suffix":""},{"dropping-particle":"","family":"Casas","given":"Lidia","non-dropping-particle":"","parse-names":false,"suffix":""},{"dropping-particle":"","family":"Nawrot","given":"Tim S.","non-dropping-particle":"","parse-names":false,"suffix":""},{"dropping-particle":"","family":"Nemery","given":"Benoit","non-dropping-particle":"","parse-names":false,"suffix":""},{"dropping-particle":"","family":"Trabelsi","given":"Sonia","non-dropping-particle":"","parse-names":false,"suffix":""},{"dropping-particle":"","family":"Thomas","given":"Isabelle","non-dropping-particle":"","parse-names":false,"suffix":""},{"dropping-particle":"","family":"Aerts","given":"Raf","non-dropping-particle":"","parse-names":false,"suffix":""},{"dropping-particle":"","family":"Lefebvre","given":"Wouter","non-dropping-particle":"","parse-names":false,"suffix":""},{"dropping-particle":"","family":"Vanpoucke","given":"Charlotte","non-dropping-particle":"","parse-names":false,"suffix":""},{"dropping-particle":"","family":"Nieuwenhuyse","given":"An","non-dropping-particle":"Van","parse-names":false,"suffix":""},{"dropping-particle":"","family":"Deboosere","given":"Patrick","non-dropping-particle":"","parse-names":false,"suffix":""},{"dropping-particle":"","family":"Vandenheede","given":"Hadewijch","non-dropping-particle":"","parse-names":false,"suffix":""}],"container-title":"Environment International","id":"ITEM-4","issued":{"date-parts":[["2021","3","1"]]},"page":"106365","publisher":"Pergamon","title":"Residing in urban areas with higher green space is associated with lower mortality risk: A census-based cohort study with ten years of follow-up","type":"article-journal","volume":"148"},"uris":["http://www.mendeley.com/documents/?uuid=6f5facbe-4779-385c-bc5a-9d2a6c93409a"]}],"mendeley":{"formattedCitation":"&lt;sup&gt;8–11&lt;/sup&gt;","plainTextFormattedCitation":"8–11","previouslyFormattedCitation":"&lt;sup&gt;8–11&lt;/sup&gt;"},"properties":{"noteIndex":0},"schema":"https://github.com/citation-style-language/schema/raw/master/csl-citation.json"}</w:instrText>
      </w:r>
      <w:r w:rsidR="00060701" w:rsidRPr="00832218">
        <w:fldChar w:fldCharType="separate"/>
      </w:r>
      <w:r w:rsidR="008F397C" w:rsidRPr="00832218">
        <w:rPr>
          <w:noProof/>
          <w:vertAlign w:val="superscript"/>
        </w:rPr>
        <w:t>8–11</w:t>
      </w:r>
      <w:r w:rsidR="00060701" w:rsidRPr="00832218">
        <w:fldChar w:fldCharType="end"/>
      </w:r>
      <w:r w:rsidR="00104F35" w:rsidRPr="00832218">
        <w:t xml:space="preserve"> </w:t>
      </w:r>
      <w:r w:rsidR="0044286C" w:rsidRPr="00832218">
        <w:t>O</w:t>
      </w:r>
      <w:r w:rsidR="00104F35" w:rsidRPr="00832218">
        <w:t xml:space="preserve">nly </w:t>
      </w:r>
      <w:r w:rsidR="005C5478" w:rsidRPr="00832218">
        <w:t>a few</w:t>
      </w:r>
      <w:r w:rsidR="005C4B66" w:rsidRPr="00832218">
        <w:t xml:space="preserve"> </w:t>
      </w:r>
      <w:r w:rsidR="005C5478" w:rsidRPr="00832218">
        <w:t xml:space="preserve">cohort </w:t>
      </w:r>
      <w:r w:rsidR="005C4B66" w:rsidRPr="00832218">
        <w:t>studies</w:t>
      </w:r>
      <w:r w:rsidR="00ED16C3" w:rsidRPr="00832218">
        <w:t xml:space="preserve"> </w:t>
      </w:r>
      <w:r w:rsidR="00C16655" w:rsidRPr="00832218">
        <w:t xml:space="preserve">observed negative associations </w:t>
      </w:r>
      <w:r w:rsidR="00743BB3" w:rsidRPr="00832218">
        <w:t xml:space="preserve">between </w:t>
      </w:r>
      <w:r w:rsidR="00C16655" w:rsidRPr="00832218">
        <w:t xml:space="preserve">greenness </w:t>
      </w:r>
      <w:r w:rsidR="00743BB3" w:rsidRPr="00832218">
        <w:t xml:space="preserve">and </w:t>
      </w:r>
      <w:r w:rsidR="00ED16C3" w:rsidRPr="00832218">
        <w:t>CVD</w:t>
      </w:r>
      <w:r w:rsidR="00C16655" w:rsidRPr="00832218">
        <w:t xml:space="preserve"> incidence</w:t>
      </w:r>
      <w:r w:rsidR="00727327" w:rsidRPr="00832218">
        <w:t>.</w:t>
      </w:r>
      <w:r w:rsidR="00B26999" w:rsidRPr="00832218">
        <w:fldChar w:fldCharType="begin" w:fldLock="1"/>
      </w:r>
      <w:r w:rsidR="00B966BB" w:rsidRPr="00832218">
        <w:instrText>ADDIN CSL_CITATION {"citationItems":[{"id":"ITEM-1","itemData":{"DOI":"10.1289/EHP6161","abstract":"Background: Living in greener areas of cities was linked to increased physical activity levels, improved mental well-being, and lowered harmful environmental exposures, all of which may affect huma...","author":[{"dropping-particle":"","family":"Chen","given":"Hong","non-dropping-particle":"","parse-names":false,"suffix":""},{"dropping-particle":"","family":"Burnett","given":"Richard T.","non-dropping-particle":"","parse-names":false,"suffix":""},{"dropping-particle":"","family":"Bai","given":"Li","non-dropping-particle":"","parse-names":false,"suffix":""},{"dropping-particle":"","family":"Kwong","given":"Jeffrey C.","non-dropping-particle":"","parse-names":false,"suffix":""},{"dropping-particle":"","family":"Crouse","given":"Dan L.","non-dropping-particle":"","parse-names":false,"suffix":""},{"dropping-particle":"","family":"Lavigne","given":"Eric","non-dropping-particle":"","parse-names":false,"suffix":""},{"dropping-particle":"","family":"Goldberg","given":"Mark S.","non-dropping-particle":"","parse-names":false,"suffix":""},{"dropping-particle":"","family":"Copes","given":"Ray","non-dropping-particle":"","parse-names":false,"suffix":""},{"dropping-particle":"","family":"Benmarhnia","given":"Tarik","non-dropping-particle":"","parse-names":false,"suffix":""},{"dropping-particle":"","family":"Ilango","given":"Sindana D.","non-dropping-particle":"","parse-names":false,"suffix":""},{"dropping-particle":"van","family":"Donkelaar","given":"Aaron","non-dropping-particle":"","parse-names":false,"suffix":""},{"dropping-particle":"V.","family":"Martin","given":"Randall","non-dropping-particle":"","parse-names":false,"suffix":""},{"dropping-particle":"","family":"Hystad","given":"Perry","non-dropping-particle":"","parse-names":false,"suffix":""}],"container-title":"Environmental Health Perspectives","id":"ITEM-1","issue":"8","issued":{"date-parts":[["2020","8","1"]]},"page":"1-11","publisher":"\nEnvironmental Health Perspectives\n","title":"Residential Greenness and Cardiovascular Disease Incidence, Readmission, and Mortality","type":"article-journal","volume":"128"},"uris":["http://www.mendeley.com/documents/?uuid=808f44ca-7849-3134-b53d-ef36a55b82dc"]},{"id":"ITEM-2","itemData":{"DOI":"10.1016/J.ENVINT.2019.01.038","ISSN":"0160-4120","abstract":"Purpose: Few previous studies have investigated the association between urban green space and cardiovascular disease (CVD) within Asian populations. We aimed to determine the relationship between amount of green space in the residential environment and CVD within a large general Asian population in this population-based longitudinal study. Methods: The study population consisted of 351,409 participants aged over 20 years extracted from the National Health Insurance Service National Sample Cohort. Data on newly-occurred CVD events were collected from hospital admission records for the period 1 January 2006 to 31 December 2013. Cox proportional hazards regression analysis was used for determining the risk of developing CVD according to urban green space coverage (% area), adjusting for a number of relevant confounders. Results: Compared to those within the lowest quartile of green space coverage, those within the highest quartile of urban space had a reduced risk of total CVD (hazard ratio, HR 0.85, 95% confidence interval, CI 0.81–0.89), coronary heart disease (HR 0.83, 95% CI 0.78–0.89), acute myocardial infarction (HR 0.77, 95% CI 0.68–0.88), total stroke (HR 0.87, 95% CI 0.82–0.93) and ischemic stroke (HR 0.86, 95% CI 0.80–0.94), but not hemorrhagic stroke (HR 0.98, 95% CI 0.86–1.12). The risk-reducing effect of green space coverage was preserved after stratification according to sex, household income, and Charlson comorbidity index. Conclusion: Residing in urban regions with greater green space coverage may lead to a reduced risk of CVD. Urban planning intervention policies that increase urban green space coverage could help to reduce the risk of CVD.","author":[{"dropping-particle":"","family":"Seo","given":"Sumin","non-dropping-particle":"","parse-names":false,"suffix":""},{"dropping-particle":"","family":"Choi","given":"Seulggie","non-dropping-particle":"","parse-names":false,"suffix":""},{"dropping-particle":"","family":"Kim","given":"Kyuwoong","non-dropping-particle":"","parse-names":false,"suffix":""},{"dropping-particle":"","family":"Kim","given":"Sung Min","non-dropping-particle":"","parse-names":false,"suffix":""},{"dropping-particle":"","family":"Park","given":"Sang Min","non-dropping-particle":"","parse-names":false,"suffix":""}],"container-title":"Environment International","id":"ITEM-2","issued":{"date-parts":[["2019","4","1"]]},"page":"51-57","publisher":"Pergamon","title":"Association between urban green space and the risk of cardiovascular disease: A longitudinal study in seven Korean metropolitan areas","type":"article-journal","volume":"125"},"uris":["http://www.mendeley.com/documents/?uuid=1707f3e9-fe29-37fb-9321-a4ac9dfd7394"]},{"id":"ITEM-3","itemData":{"DOI":"10.1371/JOURNAL.PONE.0226524","ISSN":"1932-6203","abstract":"Background Living in a greener neighbourhood may reduce the risk of developing incident cardiovascular disease, but evidence is limited by reliance on cross-sectional comparisons. We use data from a longitudinal study with a time-independent measure of risk to explore the association between exposure to greenspace and cardiovascular disease.   Methods Data was from the European Prospective Investigation of Cancer Norfolk UK cohort, baseline 1993–1997 (n = 24,420). Neighbourhoods were defined as 800m radius zones around participants’ home, according to their home postcode (zip code) in the year 2000. Greenspace exposure was identified using classified satellite imagery. Adjusted Cox proportional hazards regression examined associations between greenspace and incident cardiovascular disease. Mediation analysis assessed if physical activity mediated associations, whilst modification by rurality, socio-economic status and age was explored.   Results The mean age of participants was 59.2 years at baseline, 54.7% were female, and mean follow-up time was 14.5 years. Individuals living in the greenest neighbourhood quartile had a 7% lower relative hazard of developing cardiovascular disease than other neighbourhoods (HR 0.93; 95% CI 0.88, 0.97; p = 0.003) after adjusting for age, sex, BMI, prevalent diabetes and socio-economic status (SES). Physical activity did not mediate the relationship (greenest compared to the least green quartile HR 0.99; 95% CI 0.97, 1.01; p = 0.416). Models predicted incidence of cardiovascular disease in the least green neighbourhoods (19.4% greenspace on average) would fall by 4.8% (95% CI 1.6%, 8.2% p = 0.003) if they were as green as the average neighbourhood (59.0% greenspace). Occupation moderated the relationship, whereby exposure to greenspace was not associated with incident CVD for participants engaged in manual occupations.   Conclusions Greener home neighbourhoods may protect against risk of cardiovascular disease even after accounting for SES, whilst the mechanism does not appear to be strongly associated with physical activity. Putative causal mechanisms require investigation.","author":[{"dropping-particle":"","family":"Dalton","given":"Alice M.","non-dropping-particle":"","parse-names":false,"suffix":""},{"dropping-particle":"","family":"Jones","given":"Andrew P.","non-dropping-particle":"","parse-names":false,"suffix":""}],"container-title":"PLOS ONE","id":"ITEM-3","issue":"1","issued":{"date-parts":[["2020","1","1"]]},"page":"e0226524","publisher":"Public Library of Science","title":"Residential neighbourhood greenspace is associated with reduced risk of cardiovascular disease: A prospective cohort study","type":"article-journal","volume":"15"},"uris":["http://www.mendeley.com/documents/?uuid=21904557-5373-3b05-8cb0-7fed2d11f6f0"]}],"mendeley":{"formattedCitation":"&lt;sup&gt;12–14&lt;/sup&gt;","plainTextFormattedCitation":"12–14","previouslyFormattedCitation":"&lt;sup&gt;12–14&lt;/sup&gt;"},"properties":{"noteIndex":0},"schema":"https://github.com/citation-style-language/schema/raw/master/csl-citation.json"}</w:instrText>
      </w:r>
      <w:r w:rsidR="00B26999" w:rsidRPr="00832218">
        <w:fldChar w:fldCharType="separate"/>
      </w:r>
      <w:r w:rsidR="008F397C" w:rsidRPr="00832218">
        <w:rPr>
          <w:noProof/>
          <w:vertAlign w:val="superscript"/>
        </w:rPr>
        <w:t>12–14</w:t>
      </w:r>
      <w:r w:rsidR="00B26999" w:rsidRPr="00832218">
        <w:fldChar w:fldCharType="end"/>
      </w:r>
      <w:r w:rsidR="00014864" w:rsidRPr="00832218">
        <w:t xml:space="preserve"> </w:t>
      </w:r>
      <w:proofErr w:type="gramStart"/>
      <w:r w:rsidR="0012491B" w:rsidRPr="00832218">
        <w:t>To</w:t>
      </w:r>
      <w:proofErr w:type="gramEnd"/>
      <w:r w:rsidR="0012491B" w:rsidRPr="00832218">
        <w:t xml:space="preserve"> the best of our knowledge, there are no cohort studies that </w:t>
      </w:r>
      <w:r w:rsidR="00B618AA" w:rsidRPr="00832218">
        <w:t xml:space="preserve">have </w:t>
      </w:r>
      <w:r w:rsidR="0012491B" w:rsidRPr="00832218">
        <w:t>evaluated associations of green</w:t>
      </w:r>
      <w:r w:rsidR="00250515" w:rsidRPr="00832218">
        <w:t xml:space="preserve"> space</w:t>
      </w:r>
      <w:r w:rsidR="0012491B" w:rsidRPr="00832218">
        <w:t xml:space="preserve"> with </w:t>
      </w:r>
      <w:r w:rsidR="00C25845" w:rsidRPr="00832218">
        <w:t xml:space="preserve">RSD </w:t>
      </w:r>
      <w:r w:rsidR="0012491B" w:rsidRPr="00832218">
        <w:t xml:space="preserve">incidence in adults. </w:t>
      </w:r>
      <w:r w:rsidR="0023102C" w:rsidRPr="00832218">
        <w:t>Some</w:t>
      </w:r>
      <w:r w:rsidR="00615E1D" w:rsidRPr="00832218">
        <w:t xml:space="preserve"> </w:t>
      </w:r>
      <w:r w:rsidR="0023102C" w:rsidRPr="00832218">
        <w:t>cross-sectional studies reported</w:t>
      </w:r>
      <w:r w:rsidR="00615E1D" w:rsidRPr="00832218">
        <w:t xml:space="preserve"> a beneficial </w:t>
      </w:r>
      <w:r w:rsidR="00743BB3" w:rsidRPr="00832218">
        <w:t xml:space="preserve">association between </w:t>
      </w:r>
      <w:r w:rsidR="00615E1D" w:rsidRPr="00832218">
        <w:t xml:space="preserve">residential greenness </w:t>
      </w:r>
      <w:r w:rsidR="00743BB3" w:rsidRPr="00832218">
        <w:t xml:space="preserve">and </w:t>
      </w:r>
      <w:r w:rsidR="005C4B66" w:rsidRPr="00832218">
        <w:t>RSD</w:t>
      </w:r>
      <w:r w:rsidR="0023102C" w:rsidRPr="00832218">
        <w:t>, such as asthma or COPD</w:t>
      </w:r>
      <w:r w:rsidR="002F0A7A" w:rsidRPr="00832218">
        <w:t>, in adults</w:t>
      </w:r>
      <w:r w:rsidR="00727327" w:rsidRPr="00832218">
        <w:t>.</w:t>
      </w:r>
      <w:r w:rsidR="008F397C" w:rsidRPr="00832218">
        <w:fldChar w:fldCharType="begin" w:fldLock="1"/>
      </w:r>
      <w:r w:rsidR="00B966BB" w:rsidRPr="00832218">
        <w:instrText>ADDIN CSL_CITATION {"citationItems":[{"id":"ITEM-1","itemData":{"DOI":"10.1016/S2542-5196(19)30214-1","ISSN":"2542-5196","abstract":"Background: The role of environmental exposures in chronic obstructive pulmonary disease (COPD) remains inconclusive. We examined the association between environmental exposures (PM2·5, greenness, and urbanicity) and COPD prevalence using the UK Biobank cohort data to identify key built environment correlates of COPD. Methods: In this cross-sectional, observational study we used baseline data for UK Biobank participants. Included participants were aged 39 years and older, white, had available spirometry data, and had complete data for phenotypes and exposures. COPD was defined by spirometry with the 2017 Global Initiative for Chronic Obstructive Lung Disease criteria. Environmental exposures were PM2·5 derived from monitoring data and interpolated using land-use regression at the participants' geocoded residential addresses. Built environment metrics of residential greenness were modelled in terms of normalised difference vegetation index from remotely sensed colour infrared data within a 500 m residential catchment, and an urbanicity index derived from spatial analyses and measured with a 1 km buffer around each participant's residential address. Logistic regression models examined the associations between environmental exposures and COPD prevalence adjusting for a range of confounders. Subgroup analyses by urbanicity and effect modification by white blood cell count as an inflammatory marker were also done. Findings: We assessed 96 779 participants recruited between April 4, 2006, and Oct 1, 2010, of which 5391 participants had COPD with a prevalence of 5·6%. Each 10 μg/m3 increment in ambient PM2·5 exposure at a participant's residential location was associated with higher odds of COPD (odds ratio 1·55, 95% CI 1·14–2·10). Among the built environment metrics, urbanicity was associated with higher odds of COPD (1·05, 1·01–1·08 per interquartile increment), whereas residential greenness was protective, being associated with lower odds of COPD (0·89, 0·84–0·93 for each interquartile increment in greenness). The results remained consistent in models of COPD defined as per lower limit of normal criteria. The highest quartile of white blood cell count was associated with lower lung function and higher COPD risk with a significant interaction between PM2·5 and white blood cell count only in the model of lung function (p=0·0003). Interpretation: In this study of the built environment and COPD, to our knowledge the largest done in the UK, we found that exposur…","author":[{"dropping-particle":"","family":"Sarkar","given":"Chinmoy","non-dropping-particle":"","parse-names":false,"suffix":""},{"dropping-particle":"","family":"Zhang","given":"Bing","non-dropping-particle":"","parse-names":false,"suffix":""},{"dropping-particle":"","family":"Ni","given":"Michael","non-dropping-particle":"","parse-names":false,"suffix":""},{"dropping-particle":"","family":"Kumari","given":"Sarika","non-dropping-particle":"","parse-names":false,"suffix":""},{"dropping-particle":"","family":"Bauermeister","given":"Sarah","non-dropping-particle":"","parse-names":false,"suffix":""},{"dropping-particle":"","family":"Gallacher","given":"John","non-dropping-particle":"","parse-names":false,"suffix":""},{"dropping-particle":"","family":"Webster","given":"Chris","non-dropping-particle":"","parse-names":false,"suffix":""}],"container-title":"The Lancet Planetary Health","id":"ITEM-1","issue":"11","issued":{"date-parts":[["2019","11","1"]]},"page":"e478-e490","publisher":"Elsevier","title":"Environmental correlates of chronic obstructive pulmonary disease in 96 779 participants from the UK Biobank: a cross-sectional, observational study","type":"article-journal","volume":"3"},"uris":["http://www.mendeley.com/documents/?uuid=1bf00dcb-5df7-370a-8c93-eaebf23b1ba3"]},{"id":"ITEM-2","itemData":{"DOI":"10.1136/JECH.2008.079038","ISSN":"0143-005X","PMID":"19833605","abstract":"Background: As a result of increasing urbanisation, people face the prospect of living in environments with few green spaces. There is increasing evidence for a positive relation between green space in people’s living environment and self-reported indicators of physical and mental health. This study investigates whether physician-assessed morbidity is also related to green space in people’s living environment.\n\nMethods: Morbidity data were derived from electronic medical records of 195 general practitioners in 96 Dutch practices, serving a population of 345 143 people. Morbidity was classified by the general practitioners according to the International Classification of Primary Care. The percentage of green space within a 1 km and 3 km radius around the postal code coordinates was derived from an existing database and was calculated for each household. Multilevel logistic regression analyses were performed, controlling for demographic and socioeconomic characteristics.\n\nResults: The annual prevalence rate of 15 of the 24 disease clusters was lower in living environments with more green space in a 1 km radius. The relation was strongest for anxiety disorder and depression. The relation was stronger for children and people with a lower socioeconomic status. Furthermore, the relation was strongest in slightly urban areas and not apparent in very strongly urban areas.\n\nConclusion: This study indicates that the previously established relation between green space and a number of self-reported general indicators of physical and mental health can also be found for clusters of specific physician-assessed morbidity. The study stresses the importance of green space close to home for children and lower socioeconomic groups.","author":[{"dropping-particle":"","family":"Maas","given":"J.","non-dropping-particle":"","parse-names":false,"suffix":""},{"dropping-particle":"","family":"Verheij","given":"R. A.","non-dropping-particle":"","parse-names":false,"suffix":""},{"dropping-particle":"","family":"Vries","given":"S.","non-dropping-particle":"De","parse-names":false,"suffix":""},{"dropping-particle":"","family":"Spreeuwenberg","given":"P.","non-dropping-particle":"","parse-names":false,"suffix":""},{"dropping-particle":"","family":"Schellevis","given":"F. G.","non-dropping-particle":"","parse-names":false,"suffix":""},{"dropping-particle":"","family":"Groenewegen","given":"P. P.","non-dropping-particle":"","parse-names":false,"suffix":""}],"container-title":"Journal of Epidemiology &amp; Community Health","id":"ITEM-2","issue":"12","issued":{"date-parts":[["2009","12","1"]]},"page":"967-973","publisher":"BMJ Publishing Group Ltd","title":"Morbidity is related to a green living environment","type":"article-journal","volume":"63"},"uris":["http://www.mendeley.com/documents/?uuid=294764ac-5234-320f-9172-834f3967102a"]},{"id":"ITEM-3","itemData":{"DOI":"10.1016/J.ENVINT.2017.08.009","ISSN":"0160-4120","PMID":"28926750","abstract":"Background There is increasing policy interest in the potential for vegetation in urban areas to mitigate harmful effects of air pollution on respiratory health. We aimed to quantify relationships between tree and green space density and asthma-related hospitalisations, and explore how these varied with exposure to background air pollution concentrations. Methods Population standardised asthma hospitalisation rates (1997–2012) for 26,455 urban residential areas of England were merged with area-level data on vegetation and background air pollutant concentrations. We fitted negative binomial regression models using maximum likelihood estimation to obtain estimates of asthma-vegetation relationships at different levels of pollutant exposure. Results Green space and gardens were associated with reductions in asthma hospitalisation when pollutant exposures were lower but had no significant association when pollutant exposures were higher. In contrast, tree density was associated with reduced asthma hospitalisation when pollutant exposures were higher but had no significant association when pollutant exposures were lower. Conclusions We found differential effects of natural environments at high and low background pollutant concentrations. These findings can provide evidence for urban planning decisions which aim to leverage health co-benefits from environmental improvements.","author":[{"dropping-particle":"","family":"Alcock","given":"Ian","non-dropping-particle":"","parse-names":false,"suffix":""},{"dropping-particle":"","family":"White","given":"Mathew","non-dropping-particle":"","parse-names":false,"suffix":""},{"dropping-particle":"","family":"Cherrie","given":"Mark","non-dropping-particle":"","parse-names":false,"suffix":""},{"dropping-particle":"","family":"Wheeler","given":"Benedict","non-dropping-particle":"","parse-names":false,"suffix":""},{"dropping-particle":"","family":"Taylor","given":"Jonathon","non-dropping-particle":"","parse-names":false,"suffix":""},{"dropping-particle":"","family":"McInnes","given":"Rachel","non-dropping-particle":"","parse-names":false,"suffix":""},{"dropping-particle":"","family":"Otte im Kampe","given":"Eveline","non-dropping-particle":"","parse-names":false,"suffix":""},{"dropping-particle":"","family":"Vardoulakis","given":"Sotiris","non-dropping-particle":"","parse-names":false,"suffix":""},{"dropping-particle":"","family":"Sarran","given":"Christophe","non-dropping-particle":"","parse-names":false,"suffix":""},{"dropping-particle":"","family":"Soyiri","given":"Ireneous","non-dropping-particle":"","parse-names":false,"suffix":""},{"dropping-particle":"","family":"Fleming","given":"Lora","non-dropping-particle":"","parse-names":false,"suffix":""}],"container-title":"Environment International","id":"ITEM-3","issued":{"date-parts":[["2017","12","1"]]},"page":"29-41","publisher":"Pergamon","title":"Land cover and air pollution are associated with asthma hospitalisations: A cross-sectional study","type":"article-journal","volume":"109"},"uris":["http://www.mendeley.com/documents/?uuid=fc3abc1d-9b30-317e-a9a0-b9360d9aa657"]},{"id":"ITEM-4","itemData":{"DOI":"10.1016/J.ENVRES.2022.112877","ISSN":"0013-9351","PMID":"35131324","abstract":"Background: Studies on the association of greenness with respiratory health are scarce in developing countries, and previous studies in China have focused on only one or two indicators of lung function. Objective: The study aims to evaluate the associations of residential greenness with full-spectrum lung function indicators and prevalence of chronic obstructive pulmonary disease (COPD). Methods: This nationwide cross-sectional survey included 50,991 participants from the China Pulmonary Health study. Lung function indicators included four categories: indicators of obstructive ventilatory dysfunction (FEV1, FVC and FEV1/FVC); an indicator of large-airway dysfunction (PEF); indicators of small-airway dysfunction (FEF25–75% and FEV3/FEV6); and other indicators. Residential greenness was assessed by the Normalized Difference Vegetation Index (NDVI). Multivariable linear regression models and logistic regression models were used to analyze associations of greenness with lung function and COPD prevalence. Results: Within the 500 m buffer, an interquartile range (IQR) increase in NDVI was associated with higher FEV1 (24.76 mL), FVC (16.52 mL), FEV1/FVC (0.38), FEF50% (56.34 mL/s), FEF75% (33.43 mL/s), FEF25–75% (60.73 mL/s), FEV3 (18.59 mL), and FEV6 (21.85 mL). However, NDVI was associated with lower PEF. In addition, NDVI was significantly associated with 10% lower odds of COPD. The stratified analyses found that the associations were only significant in middle-young people, females, and nonsmokers. The associations were influenced by geographic regions. Conclusions: Residential greenness was associated with better lung function and lower odds of COPD in China. These findings provide a scientific basis for healthy community planning.","author":[{"dropping-particle":"","family":"Xiao","given":"Yalan","non-dropping-particle":"","parse-names":false,"suffix":""},{"dropping-particle":"","family":"Gu","given":"Xiaoying","non-dropping-particle":"","parse-names":false,"suffix":""},{"dropping-particle":"","family":"Niu","given":"Hongtao","non-dropping-particle":"","parse-names":false,"suffix":""},{"dropping-particle":"","family":"Meng","given":"Xia","non-dropping-particle":"","parse-names":false,"suffix":""},{"dropping-particle":"","family":"Zhang","given":"Lina","non-dropping-particle":"","parse-names":false,"suffix":""},{"dropping-particle":"","family":"Xu","given":"Jianying","non-dropping-particle":"","parse-names":false,"suffix":""},{"dropping-particle":"","family":"Yang","given":"Lan","non-dropping-particle":"","parse-names":false,"suffix":""},{"dropping-particle":"","family":"Zhao","given":"Jianping","non-dropping-particle":"","parse-names":false,"suffix":""},{"dropping-particle":"","family":"Zhang","given":"Xiangyan","non-dropping-particle":"","parse-names":false,"suffix":""},{"dropping-particle":"","family":"Bai","given":"Chunxue","non-dropping-particle":"","parse-names":false,"suffix":""},{"dropping-particle":"","family":"Kang","given":"Jian","non-dropping-particle":"","parse-names":false,"suffix":""},{"dropping-particle":"","family":"Ran","given":"Pixin","non-dropping-particle":"","parse-names":false,"suffix":""},{"dropping-particle":"","family":"Shen","given":"Huahao","non-dropping-particle":"","parse-names":false,"suffix":""},{"dropping-particle":"","family":"Wen","given":"Fuqiang","non-dropping-particle":"","parse-names":false,"suffix":""},{"dropping-particle":"","family":"Huang","given":"Kewu","non-dropping-particle":"","parse-names":false,"suffix":""},{"dropping-particle":"","family":"Chen","given":"Yahong","non-dropping-particle":"","parse-names":false,"suffix":""},{"dropping-particle":"","family":"Sun","given":"Tieying","non-dropping-particle":"","parse-names":false,"suffix":""},{"dropping-particle":"","family":"Shan","given":"Guangliang","non-dropping-particle":"","parse-names":false,"suffix":""},{"dropping-particle":"","family":"Lin","given":"Yingxiang","non-dropping-particle":"","parse-names":false,"suffix":""},{"dropping-particle":"","family":"Wu","given":"Sinan","non-dropping-particle":"","parse-names":false,"suffix":""},{"dropping-particle":"","family":"Zhu","given":"Jianguo","non-dropping-particle":"","parse-names":false,"suffix":""},{"dropping-particle":"","family":"Wang","given":"Ruiying","non-dropping-particle":"","parse-names":false,"suffix":""},{"dropping-particle":"","family":"Shi","given":"Zhihong","non-dropping-particle":"","parse-names":false,"suffix":""},{"dropping-particle":"","family":"Xu","given":"Yongjian","non-dropping-particle":"","parse-names":false,"suffix":""},{"dropping-particle":"","family":"Ye","given":"Xianwei","non-dropping-particle":"","parse-names":false,"suffix":""},{"dropping-particle":"","family":"Song","given":"Yuanlin","non-dropping-particle":"","parse-names":false,"suffix":""},{"dropping-particle":"","family":"Wang","given":"Qiuyue","non-dropping-particle":"","parse-names":false,"suffix":""},{"dropping-particle":"","family":"Zhou","given":"Yumin","non-dropping-particle":"","parse-names":false,"suffix":""},{"dropping-particle":"","family":"Ding","given":"Liren","non-dropping-particle":"","parse-names":false,"suffix":""},{"dropping-particle":"","family":"Li","given":"Diandian","non-dropping-particle":"","parse-names":false,"suffix":""},{"dropping-particle":"","family":"Yao","given":"Wanzhen","non-dropping-particle":"","parse-names":false,"suffix":""},{"dropping-particle":"","family":"Guo","given":"Yanfei","non-dropping-particle":"","parse-names":false,"suffix":""},{"dropping-particle":"","family":"Xiao","given":"Fei","non-dropping-particle":"","parse-names":false,"suffix":""},{"dropping-particle":"","family":"Lu","given":"Yong","non-dropping-particle":"","parse-names":false,"suffix":""},{"dropping-particle":"","family":"Peng","given":"Xiaoxia","non-dropping-particle":"","parse-names":false,"suffix":""},{"dropping-particle":"","family":"Zhang","given":"Biao","non-dropping-particle":"","parse-names":false,"suffix":""},{"dropping-particle":"","family":"Xiao","given":"Dan","non-dropping-particle":"","parse-names":false,"suffix":""},{"dropping-particle":"","family":"Wang","given":"Zuomin","non-dropping-particle":"","parse-names":false,"suffix":""},{"dropping-particle":"","family":"Zhang","given":"Hong","non-dropping-particle":"","parse-names":false,"suffix":""},{"dropping-particle":"","family":"Bu","given":"Xiaoning","non-dropping-particle":"","parse-names":false,"suffix":""},{"dropping-particle":"","family":"Zhang","given":"Xiaolei","non-dropping-particle":"","parse-names":false,"suffix":""},{"dropping-particle":"","family":"An","given":"Li","non-dropping-particle":"","parse-names":false,"suffix":""},{"dropping-particle":"","family":"Zhang","given":"Shu","non-dropping-particle":"","parse-names":false,"suffix":""},{"dropping-particle":"","family":"Cao","given":"Zhixin","non-dropping-particle":"","parse-names":false,"suffix":""},{"dropping-particle":"","family":"Zhan","given":"Qingyuan","non-dropping-particle":"","parse-names":false,"suffix":""},{"dropping-particle":"","family":"Yang","given":"Yuanhua","non-dropping-particle":"","parse-names":false,"suffix":""},{"dropping-particle":"","family":"Liang","given":"Lirong","non-dropping-particle":"","parse-names":false,"suffix":""},{"dropping-particle":"","family":"Cao","given":"Bin","non-dropping-particle":"","parse-names":false,"suffix":""},{"dropping-particle":"","family":"Dai","given":"Huaping","non-dropping-particle":"","parse-names":false,"suffix":""},{"dropping-particle":"","family":"Wu","given":"Tangchun","non-dropping-particle":"","parse-names":false,"suffix":""},{"dropping-particle":"","family":"He","given":"Jiang","non-dropping-particle":"","parse-names":false,"suffix":""},{"dropping-particle":"","family":"Kan","given":"Haidong","non-dropping-particle":"","parse-names":false,"suffix":""},{"dropping-particle":"","family":"Chen","given":"Renjie","non-dropping-particle":"","parse-names":false,"suffix":""},{"dropping-particle":"","family":"Yang","given":"Ting","non-dropping-particle":"","parse-names":false,"suffix":""},{"dropping-particle":"","family":"Wang","given":"Chen","non-dropping-particle":"","parse-names":false,"suffix":""}],"container-title":"Environmental Research","id":"ITEM-4","issued":{"date-parts":[["2022","6","1"]]},"page":"112877","publisher":"Academic Press","title":"Associations of residential greenness with lung function and chronic obstructive pulmonary disease in China","type":"article-journal","volume":"209"},"uris":["http://www.mendeley.com/documents/?uuid=4e6e0aca-403e-301a-b2db-39e768321c13"]}],"mendeley":{"formattedCitation":"&lt;sup&gt;15–18&lt;/sup&gt;","plainTextFormattedCitation":"15–18","previouslyFormattedCitation":"&lt;sup&gt;15–18&lt;/sup&gt;"},"properties":{"noteIndex":0},"schema":"https://github.com/citation-style-language/schema/raw/master/csl-citation.json"}</w:instrText>
      </w:r>
      <w:r w:rsidR="008F397C" w:rsidRPr="00832218">
        <w:fldChar w:fldCharType="separate"/>
      </w:r>
      <w:r w:rsidR="008F397C" w:rsidRPr="00832218">
        <w:rPr>
          <w:noProof/>
          <w:vertAlign w:val="superscript"/>
        </w:rPr>
        <w:t>15–18</w:t>
      </w:r>
      <w:r w:rsidR="008F397C" w:rsidRPr="00832218">
        <w:fldChar w:fldCharType="end"/>
      </w:r>
      <w:r w:rsidR="00C16655" w:rsidRPr="00832218">
        <w:t xml:space="preserve"> However, a study from China observed positive associations between neighborhoo</w:t>
      </w:r>
      <w:r w:rsidR="00727327" w:rsidRPr="00832218">
        <w:t>d greenness and COPD prevalence.</w:t>
      </w:r>
      <w:r w:rsidR="00C16655" w:rsidRPr="00832218">
        <w:fldChar w:fldCharType="begin" w:fldLock="1"/>
      </w:r>
      <w:r w:rsidR="00AE4BAE" w:rsidRPr="00832218">
        <w:instrText>ADDIN CSL_CITATION {"citationItems":[{"id":"ITEM-1","itemData":{"DOI":"10.1016/J.ENVINT.2020.106042","ISSN":"0160-4120","abstract":"Differential findings have been reported on the association between neighborhood greenness and chronic obstructive pulmonary disease (COPD). The underlying reasons might be the different types of vegetation and the diagnosis methods used in different studies. In this nationwide cross-sectional study in China, we examined the linkage between neighborhood greenness and COPD prevalence among 66,752 adults aged 40 years and above. Neighborhood greenness was estimated using the normalized difference vegetation index (NDVI) based on satellite imagery within buffers of 100, 300, 500, 1000, 2000, 3000 and 5000 m of residential community of the participants. COPD was defined according to the 2017 Global Initiative for Chronic Obstructive Lung Disease lung function criteria. A two-level logistic regression model was applied to estimate the associations. Finally, 9134 adults were classified as COPD. We observed significant positive associations between neighborhood greenness and COPD prevalence. The odds ratio for each interquartile range increase in NDVI within 100 m buffer was 1.08 (95% CI: 1.01, 1.15) after adjustment for potential confounders. Consistent associations were observed across all other NDVI buffer sizes. Stratified analyses revealed that younger adults (40–65 years) and urban residents might be the vulnerable subpopulations. Further regional analyses found that residents from the Northeastern and Northern China were more likely to have this association. Our results indicated that neighborhood greenness might be one risk factor of COPD prevalence. Our study have important public health implications for allocating the surrounding green spaces among living areas, especially for those with respiratory illness; however, the findings and the underlying mechanisms warrant further examinations in longitudinal settings.","author":[{"dropping-particle":"","family":"Fan","given":"Jing","non-dropping-particle":"","parse-names":false,"suffix":""},{"dropping-particle":"","family":"Guo","given":"Yawei","non-dropping-particle":"","parse-names":false,"suffix":""},{"dropping-particle":"","family":"Cao","given":"Zheng","non-dropping-particle":"","parse-names":false,"suffix":""},{"dropping-particle":"","family":"Cong","given":"Shu","non-dropping-particle":"","parse-names":false,"suffix":""},{"dropping-particle":"","family":"Wang","given":"Ning","non-dropping-particle":"","parse-names":false,"suffix":""},{"dropping-particle":"","family":"Lin","given":"Hualiang","non-dropping-particle":"","parse-names":false,"suffix":""},{"dropping-particle":"","family":"Wang","given":"Chongjian","non-dropping-particle":"","parse-names":false,"suffix":""},{"dropping-particle":"","family":"Bao","given":"Heling","non-dropping-particle":"","parse-names":false,"suffix":""},{"dropping-particle":"","family":"Lv","given":"Xueli","non-dropping-particle":"","parse-names":false,"suffix":""},{"dropping-particle":"","family":"Wang","given":"Baohua","non-dropping-particle":"","parse-names":false,"suffix":""},{"dropping-particle":"","family":"Gao","given":"Yi","non-dropping-particle":"","parse-names":false,"suffix":""},{"dropping-particle":"","family":"Chen","given":"Yahong","non-dropping-particle":"","parse-names":false,"suffix":""},{"dropping-particle":"","family":"Yang","given":"Ting","non-dropping-particle":"","parse-names":false,"suffix":""},{"dropping-particle":"","family":"Wang","given":"Linhong","non-dropping-particle":"","parse-names":false,"suffix":""},{"dropping-particle":"","family":"Wang","given":"Chen","non-dropping-particle":"","parse-names":false,"suffix":""},{"dropping-particle":"","family":"Ruan","given":"Zengliang","non-dropping-particle":"","parse-names":false,"suffix":""},{"dropping-particle":"","family":"Fang","given":"Liwen","non-dropping-particle":"","parse-names":false,"suffix":""}],"container-title":"Environment International","id":"ITEM-1","issued":{"date-parts":[["2020","11","1"]]},"page":"106042","publisher":"Pergamon","title":"Neighborhood greenness associated with chronic obstructive pulmonary disease: A nationwide cross-sectional study in China","type":"article-journal","volume":"144"},"uris":["http://www.mendeley.com/documents/?uuid=fb48cba6-09e7-3eac-9cc8-0fceb2aae1a5"]}],"mendeley":{"formattedCitation":"&lt;sup&gt;4&lt;/sup&gt;","plainTextFormattedCitation":"4","previouslyFormattedCitation":"&lt;sup&gt;4&lt;/sup&gt;"},"properties":{"noteIndex":0},"schema":"https://github.com/citation-style-language/schema/raw/master/csl-citation.json"}</w:instrText>
      </w:r>
      <w:r w:rsidR="00C16655" w:rsidRPr="00832218">
        <w:fldChar w:fldCharType="separate"/>
      </w:r>
      <w:r w:rsidR="00AE4BAE" w:rsidRPr="00832218">
        <w:rPr>
          <w:noProof/>
          <w:vertAlign w:val="superscript"/>
        </w:rPr>
        <w:t>4</w:t>
      </w:r>
      <w:r w:rsidR="00C16655" w:rsidRPr="00832218">
        <w:fldChar w:fldCharType="end"/>
      </w:r>
      <w:r w:rsidRPr="00832218">
        <w:t xml:space="preserve"> </w:t>
      </w:r>
      <w:r w:rsidR="00C95BE2" w:rsidRPr="00832218">
        <w:t>Evidence of association</w:t>
      </w:r>
      <w:r w:rsidR="00615E1D" w:rsidRPr="00832218">
        <w:t>s</w:t>
      </w:r>
      <w:r w:rsidR="00C95BE2" w:rsidRPr="00832218">
        <w:t xml:space="preserve"> between blue space exposur</w:t>
      </w:r>
      <w:r w:rsidR="00B02C50" w:rsidRPr="00832218">
        <w:t xml:space="preserve">e and </w:t>
      </w:r>
      <w:r w:rsidR="007D2428" w:rsidRPr="00832218">
        <w:t>CVD</w:t>
      </w:r>
      <w:r w:rsidR="00B02C50" w:rsidRPr="00832218">
        <w:t xml:space="preserve"> outcomes </w:t>
      </w:r>
      <w:r w:rsidR="00017A89" w:rsidRPr="00832218">
        <w:t xml:space="preserve">and all-cause mortality </w:t>
      </w:r>
      <w:r w:rsidRPr="00832218">
        <w:t>i</w:t>
      </w:r>
      <w:r w:rsidR="00C95BE2" w:rsidRPr="00832218">
        <w:t xml:space="preserve">s </w:t>
      </w:r>
      <w:r w:rsidR="008C2E15" w:rsidRPr="00832218">
        <w:t>not</w:t>
      </w:r>
      <w:r w:rsidR="00C95BE2" w:rsidRPr="00832218">
        <w:t xml:space="preserve"> consistent</w:t>
      </w:r>
      <w:r w:rsidR="00727327" w:rsidRPr="00832218">
        <w:t>.</w:t>
      </w:r>
      <w:r w:rsidR="00EC76A9" w:rsidRPr="00832218">
        <w:fldChar w:fldCharType="begin" w:fldLock="1"/>
      </w:r>
      <w:r w:rsidR="00B966BB" w:rsidRPr="00832218">
        <w:instrText>ADDIN CSL_CITATION {"citationItems":[{"id":"ITEM-1","itemData":{"DOI":"10.3390/ijerph18052486","ISSN":"16604601","PMID":"33802522","abstract":"Blue spaces have been found to have significant salutogenic effects. However, little is known about the mechanisms and pathways that link blue spaces and health. The purpose of this systematic review and meta-analysis is to summarise the evidence and quantify the effect of blue spaces on four hypothesised mediating pathways: physical activity, restoration, social interaction and environmental factors. Following the PRISMA guidelines, a literature search was conducted using six databases (PubMed, Scopus, PsycInfo, Web of Science, Cochrane Library, EBSCOHOST/CINAHL). Fifty studies were included in our systematic review. The overall quality of the included articles, evaluated with the Qualsyst tool, was judged to be very good, as no mediating pathway had an average article quality lower than 70%. Random-effects meta-analyses were conducted for physical activity, restoration and social interaction. Living closer to blue space was associated with statistically significantly higher physical activity levels (Cohen’s d = 0.122, 95% CI: 0.065, 0.179). Shorter distance to blue space was not associated with restoration (Cohen’s d = 0.123, 95% CI: −0.037, 0.284) or social interaction (Cohen’s d = −0.214, 95% CI: −0.55, 0.122). Larger amounts of blue space within a geographical area were significantly associated with higher physical activity levels (Cohen’s d = 0.144, 95% CI: 0.024, 0.264) and higher levels of restoration (Cohen’s d = 0.339, 95% CI: 0.072, 0.606). Being in more contact with blue space was significantly associated with higher levels of restoration (Cohen’s d = 0.191, 95% CI: 0.084, 0.298). There is also evidence that blue spaces improve environmental factors, but more studies are necessary for meta-analyses to be conducted. Evidence is conflicting on the mediating effects of social interaction and further research is required on this hypothesised pathway. Blue spaces may offer part of a solution to public health concerns faced by growing global urban populations.","author":[{"dropping-particle":"","family":"Georgiou","given":"Michail","non-dropping-particle":"","parse-names":false,"suffix":""},{"dropping-particle":"","family":"Morison","given":"Gordon","non-dropping-particle":"","parse-names":false,"suffix":""},{"dropping-particle":"","family":"Smith","given":"Niamh","non-dropping-particle":"","parse-names":false,"suffix":""},{"dropping-particle":"","family":"Tieges","given":"Zoë","non-dropping-particle":"","parse-names":false,"suffix":""},{"dropping-particle":"","family":"Chastin","given":"Sebastien","non-dropping-particle":"","parse-names":false,"suffix":""}],"container-title":"International Journal of Environmental Research and Public Health","id":"ITEM-1","issue":"5","issued":{"date-parts":[["2021","3","1"]]},"page":"1-41","publisher":"MDPI AG","title":"Mechanisms of impact of blue spaces on human health: A systematic literature review and meta-analysis","type":"article-journal","volume":"18"},"uris":["http://www.mendeley.com/documents/?uuid=0f9703c4-49b4-3a34-8fd4-37014c3fabd6"]}],"mendeley":{"formattedCitation":"&lt;sup&gt;19&lt;/sup&gt;","plainTextFormattedCitation":"19","previouslyFormattedCitation":"&lt;sup&gt;19&lt;/sup&gt;"},"properties":{"noteIndex":0},"schema":"https://github.com/citation-style-language/schema/raw/master/csl-citation.json"}</w:instrText>
      </w:r>
      <w:r w:rsidR="00EC76A9" w:rsidRPr="00832218">
        <w:fldChar w:fldCharType="separate"/>
      </w:r>
      <w:r w:rsidR="008F397C" w:rsidRPr="00832218">
        <w:rPr>
          <w:noProof/>
          <w:vertAlign w:val="superscript"/>
        </w:rPr>
        <w:t>19</w:t>
      </w:r>
      <w:r w:rsidR="00EC76A9" w:rsidRPr="00832218">
        <w:fldChar w:fldCharType="end"/>
      </w:r>
      <w:r w:rsidR="00C95BE2" w:rsidRPr="00832218">
        <w:t xml:space="preserve"> </w:t>
      </w:r>
      <w:r w:rsidR="00E36515" w:rsidRPr="00832218">
        <w:t>A study in Spain observed an increased risk between exposure to blue space and all-caus</w:t>
      </w:r>
      <w:r w:rsidR="00727327" w:rsidRPr="00832218">
        <w:t>e mortality,</w:t>
      </w:r>
      <w:r w:rsidR="00E36515" w:rsidRPr="00832218">
        <w:fldChar w:fldCharType="begin" w:fldLock="1"/>
      </w:r>
      <w:r w:rsidR="00B966BB" w:rsidRPr="00832218">
        <w:instrText>ADDIN CSL_CITATION {"citationItems":[{"id":"ITEM-1","itemData":{"DOI":"10.3390/IJERPH15112405","ISSN":"16604601","PMID":"30380717","abstract":"Introduction: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d&amp;rsquo;Informaci&amp;oacute; pel Desenvolupament de la Investigaci&amp;oacute; en Atenci&amp;oacute; Prim&amp;agrave;ria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&amp;micro;m (PM2.5), between 2.5 &amp;micro;m and 10 &amp;micro;m (PM2.5&amp;ndash;10, i.e., coarse particulate matter), less than 10 &amp;micro;m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0.89&amp;ndash;0.97 per 0.1) and increased risks of mortality with an increase in exposure to blue space (HR = 1.04, 95% CI 1.01&amp;ndash;1.06 per 1%), NO2 (HR = 1.01, 95% CI 1.00&amp;ndash;1.02 per 5 ug/m3) but no risk with noise (HR = 1.00, 95% CI 0.98&amp;ndash;1.02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pollu…","author":[{"dropping-particle":"","family":"Nieuwenhuijsen","given":"Mark J.","non-dropping-particle":"","parse-names":false,"suffix":""},{"dropping-particle":"","family":"Gascon","given":"Mireia","non-dropping-particle":"","parse-names":false,"suffix":""},{"dropping-particle":"","family":"Martinez","given":"David","non-dropping-particle":"","parse-names":false,"suffix":""},{"dropping-particle":"","family":"Ponjoan","given":"Anna","non-dropping-particle":"","parse-names":false,"suffix":""},{"dropping-particle":"","family":"Blanch","given":"Jordi","non-dropping-particle":"","parse-names":false,"suffix":""},{"dropping-particle":"","family":"Garcia-Gil","given":"Maria Del Mar","non-dropping-particle":"","parse-names":false,"suffix":""},{"dropping-particle":"","family":"Ramos","given":"Rafel","non-dropping-particle":"","parse-names":false,"suffix":""},{"dropping-particle":"","family":"Foraster","given":"Maria","non-dropping-particle":"","parse-names":false,"suffix":""},{"dropping-particle":"","family":"Mueller","given":"Natalie","non-dropping-particle":"","parse-names":false,"suffix":""},{"dropping-particle":"","family":"Espinosa","given":"Ana","non-dropping-particle":"","parse-names":false,"suffix":""},{"dropping-particle":"","family":"Cirach","given":"Marta","non-dropping-particle":"","parse-names":false,"suffix":""},{"dropping-particle":"","family":"Khreis","given":"Haneen","non-dropping-particle":"","parse-names":false,"suffix":""},{"dropping-particle":"","family":"Dadvand","given":"Payam","non-dropping-particle":"","parse-names":false,"suffix":""},{"dropping-particle":"","family":"Basagaña","given":"Xavier","non-dropping-particle":"","parse-names":false,"suffix":""}],"container-title":"International Journal of Environmental Research and Public Health 2018, Vol. 15, Page 2405","id":"ITEM-1","issue":"11","issued":{"date-parts":[["2018","10","30"]]},"page":"2405","publisher":"Multidisciplinary Digital Publishing Institute","title":"Air Pollution, Noise, Blue Space, and Green Space and Premature Mortality in Barcelona: A Mega Cohort","type":"article-journal","volume":"15"},"uris":["http://www.mendeley.com/documents/?uuid=28b56234-c02e-327e-b243-98e994fc649c"]}],"mendeley":{"formattedCitation":"&lt;sup&gt;20&lt;/sup&gt;","plainTextFormattedCitation":"20","previouslyFormattedCitation":"&lt;sup&gt;20&lt;/sup&gt;"},"properties":{"noteIndex":0},"schema":"https://github.com/citation-style-language/schema/raw/master/csl-citation.json"}</w:instrText>
      </w:r>
      <w:r w:rsidR="00E36515" w:rsidRPr="00832218">
        <w:fldChar w:fldCharType="separate"/>
      </w:r>
      <w:r w:rsidR="008F397C" w:rsidRPr="00832218">
        <w:rPr>
          <w:noProof/>
          <w:vertAlign w:val="superscript"/>
        </w:rPr>
        <w:t>20</w:t>
      </w:r>
      <w:r w:rsidR="00E36515" w:rsidRPr="00832218">
        <w:fldChar w:fldCharType="end"/>
      </w:r>
      <w:r w:rsidR="00E36515" w:rsidRPr="00832218">
        <w:t xml:space="preserve"> </w:t>
      </w:r>
      <w:r w:rsidR="003B1FF2" w:rsidRPr="00832218">
        <w:t>whereas</w:t>
      </w:r>
      <w:r w:rsidR="00E36515" w:rsidRPr="00832218">
        <w:t xml:space="preserve"> a</w:t>
      </w:r>
      <w:r w:rsidR="003310C6" w:rsidRPr="00832218">
        <w:t xml:space="preserve"> study </w:t>
      </w:r>
      <w:r w:rsidR="003B1FF2" w:rsidRPr="00832218">
        <w:t xml:space="preserve">in Canada </w:t>
      </w:r>
      <w:r w:rsidR="003310C6" w:rsidRPr="00832218">
        <w:t>observ</w:t>
      </w:r>
      <w:r w:rsidR="006F4DAE" w:rsidRPr="00832218">
        <w:t xml:space="preserve">ed </w:t>
      </w:r>
      <w:r w:rsidR="00C25845" w:rsidRPr="00832218">
        <w:t>decreased risks between exposure to blue space and a</w:t>
      </w:r>
      <w:r w:rsidR="00727327" w:rsidRPr="00832218">
        <w:t>ll-cause, CVD and RSD mortality.</w:t>
      </w:r>
      <w:r w:rsidR="006F4DAE" w:rsidRPr="00832218">
        <w:fldChar w:fldCharType="begin" w:fldLock="1"/>
      </w:r>
      <w:r w:rsidR="00B966BB" w:rsidRPr="00832218">
        <w:instrText>ADDIN CSL_CITATION {"citationItems":[{"id":"ITEM-1","itemData":{"DOI":"10.1289/EHP3397","ISSN":"15529924","PMID":"30044232","abstract":"BACKGROUND: Increasing evidence suggests that residential exposures to natural environments, such as green spaces, are associated with many health benefits. Only a single study has examined the potential link between living near water and mortality. OBJECTIVE: We sought to examine whether residential proximity to large, natural water features (e.g., lakes, rivers, coasts, “blue space”) was associated with cause-specific mortality. METHODS: Our study is based on a population-based cohort of nonimmigrant adults living in the 30 largest Canadian cities [i.e., the 2001 Canadian Census Health and Environment Cohort) (CanCHEC)]. Subjects were drawn from the mandatory 2001 Statistics Canada long-form census, who were linked to the Canadian mortality database and to annual income-tax filings, through 2011. We estimated associations between living within 250 m of blue space and deaths from several common causes of death. We adjusted models for many personal and contextual covariates, as well as for exposures to residential greenness and ambient air pollution. RESULTS: Our cohort included approximately 1.3 million subjects at baseline, 106,180 of whom died from nonaccidental causes during follow-up. We found significant, reduced risks of mortality in the range of 12–17% associated with living within 250 m of water in comparison with living farther away, among all causes of death examined, except with external/accidental causes. Protective effects were found to be higher among women and all older adults than among other subjects, and protective effects were found to be highest against deaths from stroke and respiratory-related causes. C ONCLUSIONS : Our findings suggest that living near blue spaces in urban areas has important benefits to health, but further work is needed to better understand the drivers of this association. https://doi.org/10.1289/EHP3397.","author":[{"dropping-particle":"","family":"Crouse","given":"Dan L.","non-dropping-particle":"","parse-names":false,"suffix":""},{"dropping-particle":"","family":"Balram","given":"Adele","non-dropping-particle":"","parse-names":false,"suffix":""},{"dropping-particle":"","family":"Hystad","given":"Perry","non-dropping-particle":"","parse-names":false,"suffix":""},{"dropping-particle":"","family":"Pinault","given":"Lauren","non-dropping-particle":"","parse-names":false,"suffix":""},{"dropping-particle":"","family":"Bosch","given":"Matilda","non-dropping-particle":"van den","parse-names":false,"suffix":""},{"dropping-particle":"","family":"Chen","given":"Hong","non-dropping-particle":"","parse-names":false,"suffix":""},{"dropping-particle":"","family":"Rainham","given":"Daniel","non-dropping-particle":"","parse-names":false,"suffix":""},{"dropping-particle":"","family":"Thomson","given":"Errol M.","non-dropping-particle":"","parse-names":false,"suffix":""},{"dropping-particle":"","family":"Close","given":"Christopher H.","non-dropping-particle":"","parse-names":false,"suffix":""},{"dropping-particle":"","family":"Donkelaar","given":"Aaron","non-dropping-particle":"van","parse-names":false,"suffix":""},{"dropping-particle":"V.","family":"Martin","given":"Randall","non-dropping-particle":"","parse-names":false,"suffix":""},{"dropping-particle":"","family":"Ménard","given":"Richard","non-dropping-particle":"","parse-names":false,"suffix":""},{"dropping-particle":"","family":"Robichaud","given":"Alain","non-dropping-particle":"","parse-names":false,"suffix":""},{"dropping-particle":"","family":"Villeneuve","given":"Paul J.","non-dropping-particle":"","parse-names":false,"suffix":""}],"container-title":"Environmental Health Perspectives","id":"ITEM-1","issue":"7","issued":{"date-parts":[["2018","7","1"]]},"publisher":"Public Health Services, US Dept of Health and Human Services","title":"Associations between living near water and risk of mortality among urban Canadians","type":"article-journal","volume":"126"},"uris":["http://www.mendeley.com/documents/?uuid=0e2f9580-e97d-3305-a694-1854921919c3"]}],"mendeley":{"formattedCitation":"&lt;sup&gt;21&lt;/sup&gt;","plainTextFormattedCitation":"21","previouslyFormattedCitation":"&lt;sup&gt;21&lt;/sup&gt;"},"properties":{"noteIndex":0},"schema":"https://github.com/citation-style-language/schema/raw/master/csl-citation.json"}</w:instrText>
      </w:r>
      <w:r w:rsidR="006F4DAE" w:rsidRPr="00832218">
        <w:fldChar w:fldCharType="separate"/>
      </w:r>
      <w:r w:rsidR="008F397C" w:rsidRPr="00832218">
        <w:rPr>
          <w:noProof/>
          <w:vertAlign w:val="superscript"/>
        </w:rPr>
        <w:t>21</w:t>
      </w:r>
      <w:r w:rsidR="006F4DAE" w:rsidRPr="00832218">
        <w:fldChar w:fldCharType="end"/>
      </w:r>
      <w:r w:rsidR="00F73C41" w:rsidRPr="00832218">
        <w:t xml:space="preserve"> </w:t>
      </w:r>
    </w:p>
    <w:p w14:paraId="29C341BB" w14:textId="6D00D8B3" w:rsidR="00BA45A9" w:rsidRPr="00832218" w:rsidRDefault="00615E1D" w:rsidP="00BA45A9">
      <w:pPr>
        <w:jc w:val="both"/>
      </w:pPr>
      <w:r w:rsidRPr="00832218">
        <w:t>O</w:t>
      </w:r>
      <w:r w:rsidR="00797EE0" w:rsidRPr="00832218">
        <w:t xml:space="preserve">ur aim was to evaluate associations of </w:t>
      </w:r>
      <w:r w:rsidR="00B618AA" w:rsidRPr="00832218">
        <w:t xml:space="preserve">features of </w:t>
      </w:r>
      <w:r w:rsidRPr="00832218">
        <w:t>natural environment</w:t>
      </w:r>
      <w:r w:rsidR="00FC7BC4" w:rsidRPr="00832218">
        <w:t>s</w:t>
      </w:r>
      <w:r w:rsidR="00A033A9" w:rsidRPr="00832218">
        <w:t xml:space="preserve"> </w:t>
      </w:r>
      <w:r w:rsidR="00797EE0" w:rsidRPr="00832218">
        <w:t xml:space="preserve">with </w:t>
      </w:r>
      <w:r w:rsidR="004B1594" w:rsidRPr="00832218">
        <w:t>CVD</w:t>
      </w:r>
      <w:r w:rsidR="00BA45A9" w:rsidRPr="00832218">
        <w:t xml:space="preserve"> and</w:t>
      </w:r>
      <w:r w:rsidR="00797EE0" w:rsidRPr="00832218">
        <w:t xml:space="preserve"> </w:t>
      </w:r>
      <w:r w:rsidR="004B1594" w:rsidRPr="00832218">
        <w:t>RSD</w:t>
      </w:r>
      <w:r w:rsidR="00797EE0" w:rsidRPr="00832218">
        <w:t xml:space="preserve"> hospitalization</w:t>
      </w:r>
      <w:r w:rsidR="00C95BE2" w:rsidRPr="00832218">
        <w:t xml:space="preserve"> in </w:t>
      </w:r>
      <w:r w:rsidR="0085032D" w:rsidRPr="00832218">
        <w:t xml:space="preserve">a cohort of </w:t>
      </w:r>
      <w:r w:rsidR="00C95BE2" w:rsidRPr="00832218">
        <w:t xml:space="preserve">all fee-for-service Medicare beneficiaries </w:t>
      </w:r>
      <w:r w:rsidR="0085032D" w:rsidRPr="00832218">
        <w:t xml:space="preserve">living </w:t>
      </w:r>
      <w:r w:rsidR="00C95BE2" w:rsidRPr="00832218">
        <w:t>in the contiguous</w:t>
      </w:r>
      <w:r w:rsidR="00EC34A3" w:rsidRPr="00832218">
        <w:t xml:space="preserve"> U.S.</w:t>
      </w:r>
      <w:r w:rsidR="00C95BE2" w:rsidRPr="00832218">
        <w:t xml:space="preserve"> from 2000 through 2016 (~63 million individuals). </w:t>
      </w:r>
      <w:r w:rsidRPr="00832218">
        <w:t xml:space="preserve">We assessed </w:t>
      </w:r>
      <w:r w:rsidR="0085032D" w:rsidRPr="00832218">
        <w:t xml:space="preserve">percent </w:t>
      </w:r>
      <w:r w:rsidRPr="00832218">
        <w:t xml:space="preserve">public park cover, greenness and </w:t>
      </w:r>
      <w:r w:rsidR="00E36515" w:rsidRPr="00832218">
        <w:t xml:space="preserve">percent </w:t>
      </w:r>
      <w:r w:rsidRPr="00832218">
        <w:t xml:space="preserve">blue space </w:t>
      </w:r>
      <w:r w:rsidR="00807FEC" w:rsidRPr="00832218">
        <w:t xml:space="preserve">cover </w:t>
      </w:r>
      <w:r w:rsidRPr="00832218">
        <w:t>for each zip code in the contiguous</w:t>
      </w:r>
      <w:r w:rsidR="00675F50">
        <w:t xml:space="preserve"> U.S</w:t>
      </w:r>
      <w:r w:rsidR="00EC34A3" w:rsidRPr="00832218">
        <w:t>.</w:t>
      </w:r>
      <w:r w:rsidRPr="00832218">
        <w:t xml:space="preserve"> </w:t>
      </w:r>
      <w:r w:rsidR="00C95BE2" w:rsidRPr="00832218">
        <w:t xml:space="preserve">As </w:t>
      </w:r>
      <w:r w:rsidR="00834890" w:rsidRPr="00832218">
        <w:t>reviews</w:t>
      </w:r>
      <w:r w:rsidR="00C95BE2" w:rsidRPr="00832218">
        <w:t xml:space="preserve"> reported stronger effects of </w:t>
      </w:r>
      <w:r w:rsidR="006A549C" w:rsidRPr="00832218">
        <w:t xml:space="preserve">natural environments </w:t>
      </w:r>
      <w:r w:rsidR="00C95BE2" w:rsidRPr="00832218">
        <w:t>in urban areas</w:t>
      </w:r>
      <w:r w:rsidR="00280126">
        <w:t xml:space="preserve"> and among low socio</w:t>
      </w:r>
      <w:r w:rsidR="00A25281">
        <w:t xml:space="preserve">economic status </w:t>
      </w:r>
      <w:r w:rsidR="0097260F">
        <w:t xml:space="preserve">(SES) </w:t>
      </w:r>
      <w:r w:rsidR="00A25281">
        <w:t>individuals</w:t>
      </w:r>
      <w:r w:rsidR="007D1ED8" w:rsidRPr="00832218">
        <w:t>,</w:t>
      </w:r>
      <w:r w:rsidR="007B1CE3">
        <w:fldChar w:fldCharType="begin" w:fldLock="1"/>
      </w:r>
      <w:r w:rsidR="007B1CE3">
        <w:instrText>ADDIN CSL_CITATION {"citationItems":[{"id":"ITEM-1","itemData":{"DOI":"10.1007/s40572-018-0179-y","ISSN":"21965412","PMID":"29392643","abstract":"Purpose of Review: Many studies suggest that exposure to natural vegetation, or greenness, may be beneficial for a variety of health outcomes. We summarize the recent research in this area. Recent Findings: We observed consistent and strong evidence of associations for higher greenness with improvements in birth weights and physical activity, as well as lower mortality rates. Recent studies also suggested that exposure to greenness may lower levels of depression and depressive symptoms. The evidence on greenness and cardiovascular health remains mixed. Findings are also inconsistent for greenness measures and asthma and allergies. Summary: Our knowledge of the impacts of greenness on a wide variety of health outcomes continues to evolve. Future research should incorporate information on specific species and some qualities of natural greenness that might drive health outcomes, integrate exposure assessments that incorporate personal mobility into analyses, and include prospective designs to add to the growing evidence that nature exposure positively affects health.","author":[{"dropping-particle":"","family":"Fong","given":"Kelvin C.","non-dropping-particle":"","parse-names":false,"suffix":""},{"dropping-particle":"","family":"Hart","given":"Jaime E.","non-dropping-particle":"","parse-names":false,"suffix":""},{"dropping-particle":"","family":"James","given":"Peter","non-dropping-particle":"","parse-names":false,"suffix":""}],"container-title":"Current environmental health reports","id":"ITEM-1","issue":"1","issued":{"date-parts":[["2018","3","1"]]},"page":"77-87","publisher":"Springer","title":"A Review of Epidemiologic Studies on Greenness and Health: Updated Literature Through 2017","type":"article","volume":"5"},"uris":["http://www.mendeley.com/documents/?uuid=f6d6f2ed-3ac8-327e-b4ee-97ee2fcb08f6"]},{"id":"ITEM-2","itemData":{"DOI":"10.1016/J.LANDURBPLAN.2021.104233","ISSN":"0169-2046","abstract":"Greenspace in urban areas may have greater protective health effects than elsewhere. Urban dwellers experience more environmental harmful exposures, attentional demands, and stressors than their suburban/rural counterparts. In this systematic review, we synthesize the results of studies that examined how the greenspace and health relationship varies by urbanicity. We searched for articles in April 2019 that found positive associations between greenspace and physical health. Included articles tested for effect modification by urbanicity among one or more (of eight total) outcomes relevant to health and environmental equity. We coded results as 1 = stronger association in more urban areas, −1 = stronger association in less urban areas, or 0 = no difference. We found 57 analyses in 37 articles that met our inclusion criteria. Among these analyses, 50.9% showed no difference, 38.6% showed a stronger association for more urban areas, and 10.5% showed a stronger association for less urban areas. More urban areas had stronger associations for cardiovascular-related, birth, and mortality outcomes and for greenspace measured within 500 m. Stronger greenspace-health associations in more urban areas might be explained in part by the mechanistic pathways underlying these associations. Greenspace can reduce harms from environmental exposures (i.e., air pollution, noise, heat, and artificial light at night) in addition to alleviating attentional demands, reducing chronic stressors, and promoting healthy behavior - factors which might be more necessary, prevalent, or stronger in urban areas. These potential explanations warrant further investigation. The findings of this review inform public health policy and planning professionals who are attempting to make cities livable for all residents.","author":[{"dropping-particle":"","family":"Browning","given":"Matthew H.E.M.","non-dropping-particle":"","parse-names":false,"suffix":""},{"dropping-particle":"","family":"Rigolon","given":"Alessandro","non-dropping-particle":"","parse-names":false,"suffix":""},{"dropping-particle":"","family":"McAnirlin","given":"Olivia","non-dropping-particle":"","parse-names":false,"suffix":""},{"dropping-particle":"","family":"Yoon","given":"Hyunseo (Violet)","non-dropping-particle":"","parse-names":false,"suffix":""}],"container-title":"Landscape and Urban Planning","id":"ITEM-2","issued":{"date-parts":[["2022","1","1"]]},"page":"104233","publisher":"Elsevier","title":"Where greenspace matters most: A systematic review of urbanicity, greenspace, and physical health","type":"article-journal","volume":"217"},"uris":["http://www.mendeley.com/documents/?uuid=079c4fd0-6b1e-3a4b-9c14-e35dab616061"]},{"id":"ITEM-3","itemData":{"DOI":"10.3390/ijerph18052563","ISSN":"16604601","PMID":"33806546","abstract":"Disadvantaged groups worldwide, such as low-income and racially/ethnically minoritized people, experience worse health outcomes than more privileged groups, including wealthier and white people. Such health disparities are a major public health issue in several countries around the world. In this systematic review, we examine whether green space shows stronger associations with physical health for disadvantaged groups than for privileged groups. We hypothesize that disadvantaged groups have stronger protective effects from green space because of their greater dependency on proximate green space, as they tend to lack access to other health-promoting resources. We use the preferred reporting items for systematic reviews and meta-analyses (PRISMA) method and search five databases (CINAHL, Cochrane, PubMed, Scopus, and Web of Science) to look for articles that examine whether socioeconomic status (SES) or race/ethnicity modify the green space-health associations. Based on this search, we identify 90 articles meeting our inclusion criteria. We find lower-SES people show more beneficial effects than affluent people, particularly when concerning public green spaces/parks rather than green land covers/greenness. Studies in Europe show stronger protective effects for lower-SES people versus higher-SES people than do studies in North America. We find no notable differences in the protective effects of green space between racial/ethnic groups. Collectively, these results suggest green space might be a tool to advance health equity and provide ways forward for urban planners, parks managers, and public health professionals to address health disparities.","author":[{"dropping-particle":"","family":"Rigolon","given":"Alessandro","non-dropping-particle":"","parse-names":false,"suffix":""},{"dropping-particle":"","family":"Browning","given":"Matthew H.E.M.","non-dropping-particle":"","parse-names":false,"suffix":""},{"dropping-particle":"","family":"McAnirlin","given":"Olivia","non-dropping-particle":"","parse-names":false,"suffix":""},{"dropping-particle":"","family":"Yoon","given":"Hyunseo","non-dropping-particle":"","parse-names":false,"suffix":""}],"container-title":"International Journal of Environmental Research and Public Health","id":"ITEM-3","issue":"5","issued":{"date-parts":[["2021","3","1"]]},"page":"1-29","publisher":"MDPI AG","title":"Green space and health equity: A systematic review on the potential of green space to reduce health disparities","type":"article-journal","volume":"18"},"uris":["http://www.mendeley.com/documents/?uuid=a0ec20ce-0550-3c71-856e-17694487de98"]}],"mendeley":{"formattedCitation":"&lt;sup&gt;2,22,23&lt;/sup&gt;","plainTextFormattedCitation":"2,22,23"},"properties":{"noteIndex":0},"schema":"https://github.com/citation-style-language/schema/raw/master/csl-citation.json"}</w:instrText>
      </w:r>
      <w:r w:rsidR="007B1CE3">
        <w:fldChar w:fldCharType="separate"/>
      </w:r>
      <w:r w:rsidR="007B1CE3" w:rsidRPr="007B1CE3">
        <w:rPr>
          <w:noProof/>
          <w:vertAlign w:val="superscript"/>
        </w:rPr>
        <w:t>2,22,23</w:t>
      </w:r>
      <w:r w:rsidR="007B1CE3">
        <w:fldChar w:fldCharType="end"/>
      </w:r>
      <w:r w:rsidR="00C95BE2" w:rsidRPr="00832218">
        <w:t xml:space="preserve"> we </w:t>
      </w:r>
      <w:r w:rsidR="00C64834" w:rsidRPr="00832218">
        <w:t xml:space="preserve">also </w:t>
      </w:r>
      <w:r w:rsidR="00C95BE2" w:rsidRPr="00832218">
        <w:t>evaluate</w:t>
      </w:r>
      <w:r w:rsidR="008D1602" w:rsidRPr="00832218">
        <w:t>d</w:t>
      </w:r>
      <w:r w:rsidR="00C95BE2" w:rsidRPr="00832218">
        <w:t xml:space="preserve"> associations in beneficiaries living in urban zip codes (</w:t>
      </w:r>
      <w:r w:rsidR="00C95BE2" w:rsidRPr="00832218">
        <w:rPr>
          <w:rFonts w:cstheme="minorHAnsi"/>
        </w:rPr>
        <w:t>≥</w:t>
      </w:r>
      <w:r w:rsidR="00C95BE2" w:rsidRPr="00832218">
        <w:t xml:space="preserve"> 1000 persons/mile</w:t>
      </w:r>
      <w:r w:rsidR="00C95BE2" w:rsidRPr="00832218">
        <w:rPr>
          <w:vertAlign w:val="superscript"/>
        </w:rPr>
        <w:t>2</w:t>
      </w:r>
      <w:r w:rsidR="00C95BE2" w:rsidRPr="00832218">
        <w:t>)</w:t>
      </w:r>
      <w:r w:rsidR="00B83081">
        <w:t xml:space="preserve"> </w:t>
      </w:r>
      <w:r w:rsidR="00132F52">
        <w:t xml:space="preserve">and in </w:t>
      </w:r>
      <w:r w:rsidR="00384E68">
        <w:t xml:space="preserve">different </w:t>
      </w:r>
      <w:r w:rsidR="00384E68" w:rsidRPr="00832218">
        <w:rPr>
          <w:lang w:val="en-GB"/>
        </w:rPr>
        <w:t>neighbourhood SES (</w:t>
      </w:r>
      <w:proofErr w:type="spellStart"/>
      <w:r w:rsidR="00384E68" w:rsidRPr="00832218">
        <w:rPr>
          <w:lang w:val="en-GB"/>
        </w:rPr>
        <w:t>nSES</w:t>
      </w:r>
      <w:proofErr w:type="spellEnd"/>
      <w:r w:rsidR="00384E68" w:rsidRPr="00832218">
        <w:rPr>
          <w:lang w:val="en-GB"/>
        </w:rPr>
        <w:t>)</w:t>
      </w:r>
      <w:r w:rsidR="006A0A61">
        <w:rPr>
          <w:lang w:val="en-GB"/>
        </w:rPr>
        <w:t xml:space="preserve"> zip codes</w:t>
      </w:r>
      <w:r w:rsidR="00C95BE2" w:rsidRPr="00832218">
        <w:t>.</w:t>
      </w:r>
    </w:p>
    <w:p w14:paraId="00166A06" w14:textId="5920CDA3" w:rsidR="00D91A91" w:rsidRPr="00832218" w:rsidRDefault="00615E1D" w:rsidP="00AF709B">
      <w:pPr>
        <w:jc w:val="both"/>
        <w:rPr>
          <w:b/>
          <w:bCs/>
        </w:rPr>
      </w:pPr>
      <w:r w:rsidRPr="00832218">
        <w:rPr>
          <w:b/>
          <w:bCs/>
        </w:rPr>
        <w:t>M</w:t>
      </w:r>
      <w:r w:rsidR="00721C15" w:rsidRPr="00832218">
        <w:rPr>
          <w:b/>
          <w:bCs/>
        </w:rPr>
        <w:t>ethods</w:t>
      </w:r>
    </w:p>
    <w:p w14:paraId="597D54A9" w14:textId="77777777" w:rsidR="00D7211B" w:rsidRPr="00832218" w:rsidRDefault="00D7211B" w:rsidP="00D7211B">
      <w:pPr>
        <w:jc w:val="both"/>
        <w:rPr>
          <w:i/>
          <w:iCs/>
          <w:lang w:val="en-GB"/>
        </w:rPr>
      </w:pPr>
      <w:r w:rsidRPr="00832218">
        <w:rPr>
          <w:i/>
          <w:iCs/>
          <w:lang w:val="en-GB"/>
        </w:rPr>
        <w:t>Study population</w:t>
      </w:r>
    </w:p>
    <w:p w14:paraId="3825ABEA" w14:textId="3B8FFC4C" w:rsidR="00D7211B" w:rsidRPr="00832218" w:rsidRDefault="007D7A74" w:rsidP="00D7211B">
      <w:pPr>
        <w:jc w:val="both"/>
        <w:rPr>
          <w:lang w:val="en-GB"/>
        </w:rPr>
      </w:pPr>
      <w:r w:rsidRPr="00832218">
        <w:rPr>
          <w:lang w:val="en-GB"/>
        </w:rPr>
        <w:t xml:space="preserve">To create an open cohort, </w:t>
      </w:r>
      <w:r w:rsidR="00D7211B" w:rsidRPr="00832218">
        <w:rPr>
          <w:lang w:val="en-GB"/>
        </w:rPr>
        <w:t xml:space="preserve">data </w:t>
      </w:r>
      <w:proofErr w:type="gramStart"/>
      <w:r w:rsidRPr="00832218">
        <w:rPr>
          <w:lang w:val="en-GB"/>
        </w:rPr>
        <w:t>were derived</w:t>
      </w:r>
      <w:proofErr w:type="gramEnd"/>
      <w:r w:rsidRPr="00832218">
        <w:rPr>
          <w:lang w:val="en-GB"/>
        </w:rPr>
        <w:t xml:space="preserve"> </w:t>
      </w:r>
      <w:r w:rsidR="00D7211B" w:rsidRPr="00832218">
        <w:rPr>
          <w:lang w:val="en-GB"/>
        </w:rPr>
        <w:t>from the Medicare denominator and Medicare Provider Analysis and Review (MEDPAR) files</w:t>
      </w:r>
      <w:r w:rsidRPr="00832218">
        <w:rPr>
          <w:lang w:val="en-GB"/>
        </w:rPr>
        <w:t xml:space="preserve">. Medicare is a national health insurance program that provides health insurance for Americans aged 65 and older and for younger people with disability status. Our cohort included </w:t>
      </w:r>
      <w:r w:rsidR="00D7211B" w:rsidRPr="00832218">
        <w:rPr>
          <w:lang w:val="en-GB"/>
        </w:rPr>
        <w:t xml:space="preserve">all fee-for-service Medicare beneficiaries, aged </w:t>
      </w:r>
      <w:r w:rsidR="00D7211B" w:rsidRPr="00832218">
        <w:rPr>
          <w:rFonts w:cstheme="minorHAnsi"/>
          <w:lang w:val="en-GB"/>
        </w:rPr>
        <w:t>≥</w:t>
      </w:r>
      <w:r w:rsidR="00D7211B" w:rsidRPr="00832218">
        <w:rPr>
          <w:lang w:val="en-GB"/>
        </w:rPr>
        <w:t>65 years, living in the contiguous</w:t>
      </w:r>
      <w:r w:rsidR="00EC34A3" w:rsidRPr="00832218">
        <w:rPr>
          <w:lang w:val="en-GB"/>
        </w:rPr>
        <w:t xml:space="preserve"> U.S.</w:t>
      </w:r>
      <w:r w:rsidR="00D7211B" w:rsidRPr="00832218">
        <w:rPr>
          <w:lang w:val="en-GB"/>
        </w:rPr>
        <w:t xml:space="preserve"> </w:t>
      </w:r>
      <w:r w:rsidR="00F87CFD" w:rsidRPr="00832218">
        <w:rPr>
          <w:lang w:val="en-GB"/>
        </w:rPr>
        <w:t xml:space="preserve">from </w:t>
      </w:r>
      <w:r w:rsidR="00D7211B" w:rsidRPr="00832218">
        <w:rPr>
          <w:lang w:val="en-GB"/>
        </w:rPr>
        <w:t>January 1, 2000</w:t>
      </w:r>
      <w:r w:rsidR="005B06D1" w:rsidRPr="00832218">
        <w:rPr>
          <w:lang w:val="en-GB"/>
        </w:rPr>
        <w:t>-</w:t>
      </w:r>
      <w:r w:rsidR="00D7211B" w:rsidRPr="00832218">
        <w:rPr>
          <w:lang w:val="en-GB"/>
        </w:rPr>
        <w:t>December 31, 2016. For each beneficiary, follow-up started on January 1</w:t>
      </w:r>
      <w:r w:rsidR="00D7211B" w:rsidRPr="00832218">
        <w:rPr>
          <w:vertAlign w:val="superscript"/>
          <w:lang w:val="en-GB"/>
        </w:rPr>
        <w:t>st</w:t>
      </w:r>
      <w:r w:rsidR="00D7211B" w:rsidRPr="00832218">
        <w:rPr>
          <w:lang w:val="en-GB"/>
        </w:rPr>
        <w:t xml:space="preserve"> 2000 or January </w:t>
      </w:r>
      <w:r w:rsidR="00D7211B" w:rsidRPr="00832218">
        <w:rPr>
          <w:lang w:val="en-GB"/>
        </w:rPr>
        <w:lastRenderedPageBreak/>
        <w:t>1</w:t>
      </w:r>
      <w:r w:rsidR="00D7211B" w:rsidRPr="00832218">
        <w:rPr>
          <w:vertAlign w:val="superscript"/>
          <w:lang w:val="en-GB"/>
        </w:rPr>
        <w:t>st</w:t>
      </w:r>
      <w:r w:rsidR="00D7211B" w:rsidRPr="00832218">
        <w:rPr>
          <w:lang w:val="en-GB"/>
        </w:rPr>
        <w:t xml:space="preserve"> of the year following entry into the cohort. </w:t>
      </w:r>
      <w:r w:rsidRPr="00832218">
        <w:rPr>
          <w:lang w:val="en-GB"/>
        </w:rPr>
        <w:t xml:space="preserve">Each beneficiary </w:t>
      </w:r>
      <w:proofErr w:type="gramStart"/>
      <w:r w:rsidRPr="00832218">
        <w:rPr>
          <w:lang w:val="en-GB"/>
        </w:rPr>
        <w:t>was followed</w:t>
      </w:r>
      <w:proofErr w:type="gramEnd"/>
      <w:r w:rsidR="00D7211B" w:rsidRPr="00832218">
        <w:rPr>
          <w:lang w:val="en-GB"/>
        </w:rPr>
        <w:t xml:space="preserve"> until the first hospital admission for the outcome of interest, censor</w:t>
      </w:r>
      <w:r w:rsidR="005B06D1" w:rsidRPr="00832218">
        <w:rPr>
          <w:lang w:val="en-GB"/>
        </w:rPr>
        <w:t>ing</w:t>
      </w:r>
      <w:r w:rsidR="00D7211B" w:rsidRPr="00832218">
        <w:rPr>
          <w:lang w:val="en-GB"/>
        </w:rPr>
        <w:t>, end of the follow-up</w:t>
      </w:r>
      <w:r w:rsidR="00664C4A" w:rsidRPr="00832218">
        <w:rPr>
          <w:lang w:val="en-GB"/>
        </w:rPr>
        <w:t>,</w:t>
      </w:r>
      <w:r w:rsidRPr="00832218">
        <w:rPr>
          <w:lang w:val="en-GB"/>
        </w:rPr>
        <w:t xml:space="preserve"> or </w:t>
      </w:r>
      <w:r w:rsidR="005B06D1" w:rsidRPr="00832218">
        <w:rPr>
          <w:lang w:val="en-GB"/>
        </w:rPr>
        <w:t>death</w:t>
      </w:r>
      <w:r w:rsidR="00D7211B" w:rsidRPr="00832218">
        <w:rPr>
          <w:lang w:val="en-GB"/>
        </w:rPr>
        <w:t>.</w:t>
      </w:r>
    </w:p>
    <w:p w14:paraId="184105A7" w14:textId="77777777" w:rsidR="00D7211B" w:rsidRPr="00832218" w:rsidRDefault="00D7211B" w:rsidP="00D7211B">
      <w:pPr>
        <w:jc w:val="both"/>
        <w:rPr>
          <w:i/>
          <w:iCs/>
          <w:lang w:val="en-GB"/>
        </w:rPr>
      </w:pPr>
      <w:r w:rsidRPr="00832218">
        <w:rPr>
          <w:i/>
          <w:iCs/>
          <w:lang w:val="en-GB"/>
        </w:rPr>
        <w:t>Outcome definition</w:t>
      </w:r>
    </w:p>
    <w:p w14:paraId="1C789874" w14:textId="61D5B347" w:rsidR="00D7211B" w:rsidRPr="00832218" w:rsidRDefault="005B06D1" w:rsidP="00D7211B">
      <w:pPr>
        <w:jc w:val="both"/>
      </w:pPr>
      <w:r w:rsidRPr="00832218">
        <w:rPr>
          <w:lang w:val="en-GB"/>
        </w:rPr>
        <w:t>H</w:t>
      </w:r>
      <w:r w:rsidR="00D7211B" w:rsidRPr="00832218">
        <w:rPr>
          <w:lang w:val="en-GB"/>
        </w:rPr>
        <w:t>ospital admissions</w:t>
      </w:r>
      <w:r w:rsidR="00264DDC" w:rsidRPr="00832218">
        <w:rPr>
          <w:lang w:val="en-GB"/>
        </w:rPr>
        <w:t xml:space="preserve"> </w:t>
      </w:r>
      <w:r w:rsidR="00D7211B" w:rsidRPr="00832218">
        <w:rPr>
          <w:lang w:val="en-GB"/>
        </w:rPr>
        <w:t xml:space="preserve">for </w:t>
      </w:r>
      <w:bookmarkStart w:id="3" w:name="_Hlk54358143"/>
      <w:r w:rsidR="00264DDC" w:rsidRPr="00832218">
        <w:rPr>
          <w:lang w:val="en-GB"/>
        </w:rPr>
        <w:t xml:space="preserve">all </w:t>
      </w:r>
      <w:r w:rsidR="00D7211B" w:rsidRPr="00832218">
        <w:rPr>
          <w:lang w:val="en-GB"/>
        </w:rPr>
        <w:t>Medicare fee-for-service beneficiaries from 2000 through 2016</w:t>
      </w:r>
      <w:bookmarkEnd w:id="3"/>
      <w:r w:rsidRPr="00832218">
        <w:rPr>
          <w:lang w:val="en-GB"/>
        </w:rPr>
        <w:t xml:space="preserve"> were available in MEDPAR</w:t>
      </w:r>
      <w:r w:rsidR="00D7211B" w:rsidRPr="00832218">
        <w:rPr>
          <w:lang w:val="en-GB"/>
        </w:rPr>
        <w:t xml:space="preserve">. </w:t>
      </w:r>
      <w:r w:rsidR="00264DDC" w:rsidRPr="00832218">
        <w:rPr>
          <w:lang w:val="en-GB"/>
        </w:rPr>
        <w:t>From 2000 through the third quarter of 2015, the</w:t>
      </w:r>
      <w:r w:rsidR="00264DDC" w:rsidRPr="00832218">
        <w:rPr>
          <w:i/>
          <w:iCs/>
          <w:lang w:val="en-GB"/>
        </w:rPr>
        <w:t xml:space="preserve"> International Classification of Disease, Ninth Edition </w:t>
      </w:r>
      <w:r w:rsidR="00264DDC" w:rsidRPr="00832218">
        <w:rPr>
          <w:lang w:val="en-GB"/>
        </w:rPr>
        <w:t xml:space="preserve">(ICD-9) codes </w:t>
      </w:r>
      <w:proofErr w:type="gramStart"/>
      <w:r w:rsidR="00264DDC" w:rsidRPr="00832218">
        <w:rPr>
          <w:lang w:val="en-GB"/>
        </w:rPr>
        <w:t>were used</w:t>
      </w:r>
      <w:proofErr w:type="gramEnd"/>
      <w:r w:rsidR="00264DDC" w:rsidRPr="00832218">
        <w:rPr>
          <w:lang w:val="en-GB"/>
        </w:rPr>
        <w:t xml:space="preserve">. From the fourth quarter of 2015, ICD-10 (from the </w:t>
      </w:r>
      <w:r w:rsidR="00264DDC" w:rsidRPr="00832218">
        <w:rPr>
          <w:i/>
          <w:iCs/>
          <w:lang w:val="en-GB"/>
        </w:rPr>
        <w:t>Tenth Edition</w:t>
      </w:r>
      <w:r w:rsidR="00264DDC" w:rsidRPr="00832218">
        <w:rPr>
          <w:lang w:val="en-GB"/>
        </w:rPr>
        <w:t xml:space="preserve">) codes </w:t>
      </w:r>
      <w:proofErr w:type="gramStart"/>
      <w:r w:rsidR="00264DDC" w:rsidRPr="00832218">
        <w:rPr>
          <w:lang w:val="en-GB"/>
        </w:rPr>
        <w:t>were used</w:t>
      </w:r>
      <w:proofErr w:type="gramEnd"/>
      <w:r w:rsidR="00264DDC" w:rsidRPr="00832218">
        <w:rPr>
          <w:lang w:val="en-GB"/>
        </w:rPr>
        <w:t xml:space="preserve">. </w:t>
      </w:r>
      <w:r w:rsidR="00D7211B" w:rsidRPr="00832218">
        <w:rPr>
          <w:lang w:val="en-GB"/>
        </w:rPr>
        <w:t xml:space="preserve">We looked at first hospital admission with a primary discharge diagnosis of </w:t>
      </w:r>
      <w:r w:rsidR="005314E3" w:rsidRPr="00832218">
        <w:rPr>
          <w:lang w:val="en-GB"/>
        </w:rPr>
        <w:t>CVD</w:t>
      </w:r>
      <w:r w:rsidR="00D7211B" w:rsidRPr="00832218">
        <w:rPr>
          <w:lang w:val="en-GB"/>
        </w:rPr>
        <w:t xml:space="preserve"> (ICD-9: 390-459, ICD-10</w:t>
      </w:r>
      <w:r w:rsidR="0008292F" w:rsidRPr="00832218">
        <w:rPr>
          <w:lang w:val="en-GB"/>
        </w:rPr>
        <w:t>:</w:t>
      </w:r>
      <w:r w:rsidR="00D7211B" w:rsidRPr="00832218">
        <w:rPr>
          <w:lang w:val="en-GB"/>
        </w:rPr>
        <w:t xml:space="preserve"> I00-I99)</w:t>
      </w:r>
      <w:r w:rsidR="0008292F" w:rsidRPr="00832218">
        <w:rPr>
          <w:lang w:val="en-GB"/>
        </w:rPr>
        <w:t xml:space="preserve"> </w:t>
      </w:r>
      <w:r w:rsidRPr="00832218">
        <w:rPr>
          <w:lang w:val="en-GB"/>
        </w:rPr>
        <w:t xml:space="preserve">or </w:t>
      </w:r>
      <w:r w:rsidR="005314E3" w:rsidRPr="00832218">
        <w:rPr>
          <w:lang w:val="en-GB"/>
        </w:rPr>
        <w:t>RSD</w:t>
      </w:r>
      <w:r w:rsidR="0008292F" w:rsidRPr="00832218">
        <w:rPr>
          <w:lang w:val="en-GB"/>
        </w:rPr>
        <w:t xml:space="preserve"> (ICD-9: 460-519, ICD-10: J00-J99). </w:t>
      </w:r>
      <w:r w:rsidR="00B22753" w:rsidRPr="00832218">
        <w:rPr>
          <w:lang w:val="en-GB"/>
        </w:rPr>
        <w:t>S</w:t>
      </w:r>
      <w:r w:rsidR="00D7211B" w:rsidRPr="00832218">
        <w:rPr>
          <w:lang w:val="en-GB"/>
        </w:rPr>
        <w:t xml:space="preserve">eparate cohorts for </w:t>
      </w:r>
      <w:r w:rsidR="00525CD8" w:rsidRPr="00832218">
        <w:rPr>
          <w:lang w:val="en-GB"/>
        </w:rPr>
        <w:t>CVD and RSD</w:t>
      </w:r>
      <w:r w:rsidR="00D7211B" w:rsidRPr="00832218">
        <w:rPr>
          <w:lang w:val="en-GB"/>
        </w:rPr>
        <w:t xml:space="preserve"> hospitalizations</w:t>
      </w:r>
      <w:r w:rsidR="00B22753" w:rsidRPr="00832218">
        <w:rPr>
          <w:lang w:val="en-GB"/>
        </w:rPr>
        <w:t xml:space="preserve"> </w:t>
      </w:r>
      <w:proofErr w:type="gramStart"/>
      <w:r w:rsidR="00B22753" w:rsidRPr="00832218">
        <w:rPr>
          <w:lang w:val="en-GB"/>
        </w:rPr>
        <w:t>were created</w:t>
      </w:r>
      <w:proofErr w:type="gramEnd"/>
      <w:r w:rsidR="00D7211B" w:rsidRPr="00832218">
        <w:rPr>
          <w:lang w:val="en-GB"/>
        </w:rPr>
        <w:t>.</w:t>
      </w:r>
    </w:p>
    <w:p w14:paraId="7CE4E56B" w14:textId="0B53AB7B" w:rsidR="00D7211B" w:rsidRPr="00832218" w:rsidRDefault="00D7211B" w:rsidP="00AF709B">
      <w:pPr>
        <w:jc w:val="both"/>
        <w:rPr>
          <w:i/>
        </w:rPr>
      </w:pPr>
      <w:r w:rsidRPr="00832218">
        <w:rPr>
          <w:i/>
        </w:rPr>
        <w:t>Exposure assessment</w:t>
      </w:r>
    </w:p>
    <w:p w14:paraId="441E76C3" w14:textId="0104EE9C" w:rsidR="00E74EBE" w:rsidRPr="00832218" w:rsidRDefault="00A033A9" w:rsidP="00E74EBE">
      <w:pPr>
        <w:jc w:val="both"/>
      </w:pPr>
      <w:r w:rsidRPr="00832218">
        <w:t xml:space="preserve">As we only had information about the residential </w:t>
      </w:r>
      <w:r w:rsidR="00041552" w:rsidRPr="00832218">
        <w:t>zip code</w:t>
      </w:r>
      <w:r w:rsidRPr="00832218">
        <w:t xml:space="preserve"> of each beneficiary, we </w:t>
      </w:r>
      <w:r w:rsidR="00041552" w:rsidRPr="00832218">
        <w:t xml:space="preserve">assessed </w:t>
      </w:r>
      <w:r w:rsidRPr="00832218">
        <w:t>exposure</w:t>
      </w:r>
      <w:r w:rsidR="00041552" w:rsidRPr="00832218">
        <w:t>s on zip code level.</w:t>
      </w:r>
      <w:r w:rsidRPr="00832218">
        <w:t xml:space="preserve"> </w:t>
      </w:r>
      <w:r w:rsidR="005B06D1" w:rsidRPr="00832218" w:rsidDel="004F76C7">
        <w:t>P</w:t>
      </w:r>
      <w:r w:rsidR="009F18EB" w:rsidRPr="00832218" w:rsidDel="004F76C7">
        <w:t xml:space="preserve">ublic park cover </w:t>
      </w:r>
      <w:proofErr w:type="gramStart"/>
      <w:r w:rsidR="005B06D1" w:rsidRPr="00832218" w:rsidDel="004F76C7">
        <w:t xml:space="preserve">was </w:t>
      </w:r>
      <w:r w:rsidR="009F18EB" w:rsidRPr="00832218" w:rsidDel="004F76C7">
        <w:t>b</w:t>
      </w:r>
      <w:r w:rsidR="00E74EBE" w:rsidRPr="00832218" w:rsidDel="004F76C7">
        <w:t>ased</w:t>
      </w:r>
      <w:proofErr w:type="gramEnd"/>
      <w:r w:rsidR="00E74EBE" w:rsidRPr="00832218" w:rsidDel="004F76C7">
        <w:t xml:space="preserve"> on the </w:t>
      </w:r>
      <w:r w:rsidR="000E3FAB" w:rsidRPr="00832218" w:rsidDel="004F76C7">
        <w:t xml:space="preserve">cross-sectional </w:t>
      </w:r>
      <w:r w:rsidR="00E74EBE" w:rsidRPr="00832218" w:rsidDel="004F76C7">
        <w:t>U</w:t>
      </w:r>
      <w:r w:rsidR="00675F50">
        <w:t>nited States Geological Survey</w:t>
      </w:r>
      <w:r w:rsidR="00E74EBE" w:rsidRPr="00832218" w:rsidDel="004F76C7">
        <w:t xml:space="preserve"> Protected Areas Database of the</w:t>
      </w:r>
      <w:r w:rsidR="00EC34A3" w:rsidRPr="00832218" w:rsidDel="004F76C7">
        <w:t xml:space="preserve"> U.S.</w:t>
      </w:r>
      <w:r w:rsidR="00E74EBE" w:rsidRPr="00832218" w:rsidDel="004F76C7">
        <w:t xml:space="preserve"> (PAD-US)</w:t>
      </w:r>
      <w:r w:rsidR="005D1933" w:rsidRPr="00832218" w:rsidDel="004F76C7">
        <w:t xml:space="preserve"> </w:t>
      </w:r>
      <w:r w:rsidR="00264B68" w:rsidRPr="00832218" w:rsidDel="004F76C7">
        <w:t>V2.1 (2020)</w:t>
      </w:r>
      <w:r w:rsidR="00E74EBE" w:rsidRPr="00832218" w:rsidDel="004F76C7">
        <w:t xml:space="preserve">. </w:t>
      </w:r>
      <w:r w:rsidR="00D22AB9" w:rsidRPr="00832218" w:rsidDel="004F76C7">
        <w:t>We</w:t>
      </w:r>
      <w:r w:rsidR="009F18EB" w:rsidRPr="00832218" w:rsidDel="004F76C7">
        <w:t xml:space="preserve"> selected all l</w:t>
      </w:r>
      <w:r w:rsidR="00E74EBE" w:rsidRPr="00832218" w:rsidDel="004F76C7">
        <w:t xml:space="preserve">and types that are likely to be known and used by the </w:t>
      </w:r>
      <w:proofErr w:type="gramStart"/>
      <w:r w:rsidR="00E74EBE" w:rsidRPr="00832218" w:rsidDel="004F76C7">
        <w:t>general public</w:t>
      </w:r>
      <w:proofErr w:type="gramEnd"/>
      <w:r w:rsidR="00E74EBE" w:rsidRPr="00832218" w:rsidDel="004F76C7">
        <w:t xml:space="preserve"> for outdoor recreation.</w:t>
      </w:r>
      <w:r w:rsidR="00151C45" w:rsidRPr="00832218" w:rsidDel="004F76C7">
        <w:t xml:space="preserve"> </w:t>
      </w:r>
      <w:r w:rsidR="00E74EBE" w:rsidRPr="00832218" w:rsidDel="004F76C7">
        <w:t xml:space="preserve">To assess </w:t>
      </w:r>
      <w:r w:rsidR="00D545B5" w:rsidRPr="00832218" w:rsidDel="004F76C7">
        <w:t>zip code</w:t>
      </w:r>
      <w:r w:rsidR="000E11A3" w:rsidRPr="00832218" w:rsidDel="004F76C7">
        <w:t>-</w:t>
      </w:r>
      <w:r w:rsidR="00D545B5" w:rsidRPr="00832218" w:rsidDel="004F76C7">
        <w:t xml:space="preserve">level </w:t>
      </w:r>
      <w:r w:rsidR="00E74EBE" w:rsidRPr="00832218" w:rsidDel="004F76C7">
        <w:t xml:space="preserve">public park cover, </w:t>
      </w:r>
      <w:r w:rsidR="006763F2">
        <w:t xml:space="preserve">we </w:t>
      </w:r>
      <w:r w:rsidR="00E74EBE" w:rsidRPr="00832218" w:rsidDel="004F76C7">
        <w:t xml:space="preserve">calculated </w:t>
      </w:r>
      <w:r w:rsidR="005B06D1" w:rsidRPr="00832218" w:rsidDel="004F76C7">
        <w:t xml:space="preserve">the </w:t>
      </w:r>
      <w:r w:rsidR="00D545B5" w:rsidRPr="00832218" w:rsidDel="004F76C7">
        <w:t xml:space="preserve">percent </w:t>
      </w:r>
      <w:r w:rsidR="00E74EBE" w:rsidRPr="00832218" w:rsidDel="004F76C7">
        <w:t xml:space="preserve">public park cover for each zip code.   </w:t>
      </w:r>
    </w:p>
    <w:p w14:paraId="3F6F1793" w14:textId="2E49711F" w:rsidR="00D7211B" w:rsidRDefault="00C66572" w:rsidP="00D7211B">
      <w:pPr>
        <w:jc w:val="both"/>
        <w:rPr>
          <w:lang w:val="en-GB"/>
        </w:rPr>
      </w:pPr>
      <w:r w:rsidRPr="00832218">
        <w:rPr>
          <w:lang w:val="en-GB"/>
        </w:rPr>
        <w:t>T</w:t>
      </w:r>
      <w:r w:rsidR="00D7211B" w:rsidRPr="00832218">
        <w:rPr>
          <w:lang w:val="en-GB"/>
        </w:rPr>
        <w:t>he Normalized Difference Vegetation Index (NDVI</w:t>
      </w:r>
      <w:r w:rsidRPr="00832218">
        <w:rPr>
          <w:lang w:val="en-GB"/>
        </w:rPr>
        <w:t>)</w:t>
      </w:r>
      <w:r w:rsidR="00D7211B" w:rsidRPr="00832218">
        <w:rPr>
          <w:lang w:val="en-GB"/>
        </w:rPr>
        <w:t>, an indicator of greenness</w:t>
      </w:r>
      <w:r w:rsidRPr="00832218">
        <w:rPr>
          <w:lang w:val="en-GB"/>
        </w:rPr>
        <w:t>,</w:t>
      </w:r>
      <w:r w:rsidR="00D7211B" w:rsidRPr="00832218">
        <w:rPr>
          <w:lang w:val="en-GB"/>
        </w:rPr>
        <w:t xml:space="preserve"> was estimated using satellite imagery. The NDVI is calculated as the ratio between the red and near infrared values</w:t>
      </w:r>
      <w:r w:rsidR="00727327" w:rsidRPr="00832218">
        <w:rPr>
          <w:lang w:val="en-GB"/>
        </w:rPr>
        <w:t>.</w:t>
      </w:r>
      <w:r w:rsidR="000A5870" w:rsidRPr="00832218">
        <w:rPr>
          <w:lang w:val="en-GB"/>
        </w:rPr>
        <w:fldChar w:fldCharType="begin" w:fldLock="1"/>
      </w:r>
      <w:r w:rsidR="007B1CE3">
        <w:rPr>
          <w:lang w:val="en-GB"/>
        </w:rPr>
        <w:instrText>ADDIN CSL_CITATION {"citationItems":[{"id":"ITEM-1","itemData":{"URL":"https://earthobservatory.nasa.gov/features/MeasuringVegetation/measuring_vegetation_2.php","accessed":{"date-parts":[["2020","6","16"]]},"author":[{"dropping-particle":"","family":"NASA","given":"","non-dropping-particle":"","parse-names":false,"suffix":""}],"id":"ITEM-1","issued":{"date-parts":[["0"]]},"title":"Measuring Vegetation (NDVI &amp; EVI)","type":"webpage"},"uris":["http://www.mendeley.com/documents/?uuid=e073f961-e875-39dd-8257-781aaeded68e"]}],"mendeley":{"formattedCitation":"&lt;sup&gt;24&lt;/sup&gt;","plainTextFormattedCitation":"24","previouslyFormattedCitation":"&lt;sup&gt;24&lt;/sup&gt;"},"properties":{"noteIndex":0},"schema":"https://github.com/citation-style-language/schema/raw/master/csl-citation.json"}</w:instrText>
      </w:r>
      <w:r w:rsidR="000A5870" w:rsidRPr="00832218">
        <w:rPr>
          <w:lang w:val="en-GB"/>
        </w:rPr>
        <w:fldChar w:fldCharType="separate"/>
      </w:r>
      <w:r w:rsidR="00961FCF" w:rsidRPr="00961FCF">
        <w:rPr>
          <w:noProof/>
          <w:vertAlign w:val="superscript"/>
          <w:lang w:val="en-GB"/>
        </w:rPr>
        <w:t>24</w:t>
      </w:r>
      <w:r w:rsidR="000A5870" w:rsidRPr="00832218">
        <w:rPr>
          <w:lang w:val="en-GB"/>
        </w:rPr>
        <w:fldChar w:fldCharType="end"/>
      </w:r>
      <w:r w:rsidR="00D7211B" w:rsidRPr="00832218">
        <w:rPr>
          <w:lang w:val="en-GB"/>
        </w:rPr>
        <w:t xml:space="preserve"> </w:t>
      </w:r>
      <w:r w:rsidR="000A5870" w:rsidRPr="00832218">
        <w:rPr>
          <w:lang w:val="en-GB"/>
        </w:rPr>
        <w:t>NDVI</w:t>
      </w:r>
      <w:r w:rsidR="00D7211B" w:rsidRPr="00832218">
        <w:rPr>
          <w:lang w:val="en-GB"/>
        </w:rPr>
        <w:t xml:space="preserve"> ranges from </w:t>
      </w:r>
      <w:proofErr w:type="gramStart"/>
      <w:r w:rsidR="00D7211B" w:rsidRPr="00832218">
        <w:rPr>
          <w:lang w:val="en-GB"/>
        </w:rPr>
        <w:t>-1</w:t>
      </w:r>
      <w:proofErr w:type="gramEnd"/>
      <w:r w:rsidR="00D7211B" w:rsidRPr="00832218">
        <w:rPr>
          <w:lang w:val="en-GB"/>
        </w:rPr>
        <w:t xml:space="preserve"> to 1</w:t>
      </w:r>
      <w:r w:rsidR="000A5870" w:rsidRPr="00832218">
        <w:rPr>
          <w:lang w:val="en-GB"/>
        </w:rPr>
        <w:t xml:space="preserve"> and</w:t>
      </w:r>
      <w:r w:rsidR="00D7211B" w:rsidRPr="00832218">
        <w:rPr>
          <w:lang w:val="en-GB"/>
        </w:rPr>
        <w:t xml:space="preserve"> </w:t>
      </w:r>
      <w:r w:rsidR="000A5870" w:rsidRPr="00832218">
        <w:rPr>
          <w:lang w:val="en-GB"/>
        </w:rPr>
        <w:t>v</w:t>
      </w:r>
      <w:r w:rsidR="00D7211B" w:rsidRPr="00832218">
        <w:rPr>
          <w:lang w:val="en-GB"/>
        </w:rPr>
        <w:t xml:space="preserve">alues close to 1 correspond to areas with complete coverage by live vegetation, values close to zero correspond to areas without live vegetation and negative values correspond to water. </w:t>
      </w:r>
      <w:r w:rsidR="00727327" w:rsidRPr="00832218">
        <w:rPr>
          <w:lang w:val="en-GB"/>
        </w:rPr>
        <w:t>Using Google Earth Engine,</w:t>
      </w:r>
      <w:r w:rsidR="000A5870" w:rsidRPr="00832218">
        <w:rPr>
          <w:lang w:val="en-GB"/>
        </w:rPr>
        <w:fldChar w:fldCharType="begin" w:fldLock="1"/>
      </w:r>
      <w:r w:rsidR="007B1CE3">
        <w:rPr>
          <w:lang w:val="en-GB"/>
        </w:rPr>
        <w:instrText>ADDIN CSL_CITATION {"citationItems":[{"id":"ITEM-1","itemData":{"DOI":"10.1016/j.rse.2017.06.031","ISSN":"00344257","abstract":"Google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field as an integrated platform designed to empower not only traditional remote sensing scientists, but also a much wider audience that lacks the technical capacity needed to utilize traditional supercomputers or large-scale commodity cloud computing resources.","author":[{"dropping-particle":"","family":"Gorelick","given":"Noel","non-dropping-particle":"","parse-names":false,"suffix":""},{"dropping-particle":"","family":"Hancher","given":"Matt","non-dropping-particle":"","parse-names":false,"suffix":""},{"dropping-particle":"","family":"Dixon","given":"Mike","non-dropping-particle":"","parse-names":false,"suffix":""},{"dropping-particle":"","family":"Ilyushchenko","given":"Simon","non-dropping-particle":"","parse-names":false,"suffix":""},{"dropping-particle":"","family":"Thau","given":"David","non-dropping-particle":"","parse-names":false,"suffix":""},{"dropping-particle":"","family":"Moore","given":"Rebecca","non-dropping-particle":"","parse-names":false,"suffix":""}],"container-title":"Remote Sensing of Environment","id":"ITEM-1","issued":{"date-parts":[["2017","12","1"]]},"page":"18-27","publisher":"Elsevier Inc.","title":"Google Earth Engine: Planetary-scale geospatial analysis for everyone","type":"article-journal","volume":"202"},"uris":["http://www.mendeley.com/documents/?uuid=50b154d4-a60a-347e-9bd8-8fbbd41b0b03"]}],"mendeley":{"formattedCitation":"&lt;sup&gt;25&lt;/sup&gt;","plainTextFormattedCitation":"25","previouslyFormattedCitation":"&lt;sup&gt;25&lt;/sup&gt;"},"properties":{"noteIndex":0},"schema":"https://github.com/citation-style-language/schema/raw/master/csl-citation.json"}</w:instrText>
      </w:r>
      <w:r w:rsidR="000A5870" w:rsidRPr="00832218">
        <w:rPr>
          <w:lang w:val="en-GB"/>
        </w:rPr>
        <w:fldChar w:fldCharType="separate"/>
      </w:r>
      <w:r w:rsidR="00961FCF" w:rsidRPr="00961FCF">
        <w:rPr>
          <w:noProof/>
          <w:vertAlign w:val="superscript"/>
          <w:lang w:val="en-GB"/>
        </w:rPr>
        <w:t>25</w:t>
      </w:r>
      <w:r w:rsidR="000A5870" w:rsidRPr="00832218">
        <w:rPr>
          <w:lang w:val="en-GB"/>
        </w:rPr>
        <w:fldChar w:fldCharType="end"/>
      </w:r>
      <w:r w:rsidR="00D7211B" w:rsidRPr="00832218">
        <w:rPr>
          <w:lang w:val="en-GB"/>
        </w:rPr>
        <w:t xml:space="preserve"> </w:t>
      </w:r>
      <w:r w:rsidR="000A5870" w:rsidRPr="00832218">
        <w:rPr>
          <w:lang w:val="en-GB"/>
        </w:rPr>
        <w:t xml:space="preserve">we </w:t>
      </w:r>
      <w:r w:rsidR="003736C9" w:rsidRPr="00832218">
        <w:rPr>
          <w:lang w:val="en-GB"/>
        </w:rPr>
        <w:t>made</w:t>
      </w:r>
      <w:r w:rsidR="000A5870" w:rsidRPr="00832218">
        <w:rPr>
          <w:lang w:val="en-GB"/>
        </w:rPr>
        <w:t xml:space="preserve"> </w:t>
      </w:r>
      <w:r w:rsidR="00D7211B" w:rsidRPr="00832218">
        <w:rPr>
          <w:lang w:val="en-GB"/>
        </w:rPr>
        <w:t xml:space="preserve">cloud-free </w:t>
      </w:r>
      <w:r w:rsidR="005E4A43" w:rsidRPr="00832218">
        <w:rPr>
          <w:lang w:val="en-GB"/>
        </w:rPr>
        <w:t xml:space="preserve">NDVI </w:t>
      </w:r>
      <w:r w:rsidR="003736C9" w:rsidRPr="00832218">
        <w:rPr>
          <w:lang w:val="en-GB"/>
        </w:rPr>
        <w:t>composite maps</w:t>
      </w:r>
      <w:r w:rsidR="00D7211B" w:rsidRPr="00832218">
        <w:rPr>
          <w:lang w:val="en-GB"/>
        </w:rPr>
        <w:t xml:space="preserve"> </w:t>
      </w:r>
      <w:r w:rsidR="005E4A43" w:rsidRPr="00832218">
        <w:rPr>
          <w:lang w:val="en-GB"/>
        </w:rPr>
        <w:t xml:space="preserve">(based on Landsat 7 and Landsat 8 images) </w:t>
      </w:r>
      <w:r w:rsidR="00D7211B" w:rsidRPr="00832218">
        <w:rPr>
          <w:lang w:val="en-GB"/>
        </w:rPr>
        <w:t xml:space="preserve">for the </w:t>
      </w:r>
      <w:r w:rsidR="000A5870" w:rsidRPr="00832218">
        <w:rPr>
          <w:lang w:val="en-GB"/>
        </w:rPr>
        <w:t>contiguous</w:t>
      </w:r>
      <w:r w:rsidR="00EC34A3" w:rsidRPr="00832218">
        <w:rPr>
          <w:lang w:val="en-GB"/>
        </w:rPr>
        <w:t xml:space="preserve"> U.S .</w:t>
      </w:r>
      <w:r w:rsidR="00D7211B" w:rsidRPr="00832218">
        <w:rPr>
          <w:lang w:val="en-GB"/>
        </w:rPr>
        <w:t xml:space="preserve"> </w:t>
      </w:r>
      <w:r w:rsidR="000E11A3" w:rsidRPr="00832218">
        <w:rPr>
          <w:lang w:val="en-GB"/>
        </w:rPr>
        <w:t>After setting negative NDVI values to zero,</w:t>
      </w:r>
      <w:r w:rsidR="000E11A3" w:rsidRPr="00832218" w:rsidDel="000E11A3">
        <w:rPr>
          <w:lang w:val="en-GB"/>
        </w:rPr>
        <w:t xml:space="preserve"> </w:t>
      </w:r>
      <w:r w:rsidR="000E11A3" w:rsidRPr="00832218">
        <w:rPr>
          <w:lang w:val="en-GB"/>
        </w:rPr>
        <w:t>w</w:t>
      </w:r>
      <w:r w:rsidR="00D7211B" w:rsidRPr="00832218">
        <w:rPr>
          <w:lang w:val="en-GB"/>
        </w:rPr>
        <w:t xml:space="preserve">e calculated the </w:t>
      </w:r>
      <w:proofErr w:type="gramStart"/>
      <w:r w:rsidR="00D7211B" w:rsidRPr="00832218">
        <w:rPr>
          <w:lang w:val="en-GB"/>
        </w:rPr>
        <w:t>spatially</w:t>
      </w:r>
      <w:r w:rsidR="002361EC">
        <w:rPr>
          <w:lang w:val="en-GB"/>
        </w:rPr>
        <w:t>-</w:t>
      </w:r>
      <w:r w:rsidR="00D7211B" w:rsidRPr="00832218">
        <w:rPr>
          <w:lang w:val="en-GB"/>
        </w:rPr>
        <w:t>weighted</w:t>
      </w:r>
      <w:proofErr w:type="gramEnd"/>
      <w:r w:rsidR="00D7211B" w:rsidRPr="00832218">
        <w:rPr>
          <w:lang w:val="en-GB"/>
        </w:rPr>
        <w:t xml:space="preserve"> mean summer NDVI for each zip code in the</w:t>
      </w:r>
      <w:r w:rsidR="00EC34A3" w:rsidRPr="00832218">
        <w:rPr>
          <w:lang w:val="en-GB"/>
        </w:rPr>
        <w:t xml:space="preserve"> U.S.</w:t>
      </w:r>
      <w:r w:rsidR="00D7211B" w:rsidRPr="00832218">
        <w:rPr>
          <w:lang w:val="en-GB"/>
        </w:rPr>
        <w:t xml:space="preserve"> for each year.</w:t>
      </w:r>
    </w:p>
    <w:p w14:paraId="23E82D42" w14:textId="34149FCE" w:rsidR="00D7211B" w:rsidRPr="00832218" w:rsidRDefault="001A69A1" w:rsidP="00D7211B">
      <w:pPr>
        <w:jc w:val="both"/>
      </w:pPr>
      <w:r w:rsidRPr="00832218">
        <w:rPr>
          <w:lang w:val="en-GB"/>
        </w:rPr>
        <w:t>We estimated</w:t>
      </w:r>
      <w:r w:rsidR="00D7211B" w:rsidRPr="00832218">
        <w:rPr>
          <w:lang w:val="en-GB"/>
        </w:rPr>
        <w:t xml:space="preserve"> blue space using satellite imagery based on </w:t>
      </w:r>
      <w:r w:rsidR="00D7211B" w:rsidRPr="00832218">
        <w:t>the Joint Research Centre</w:t>
      </w:r>
      <w:r w:rsidR="005654FE" w:rsidRPr="00832218">
        <w:t>'s Global Surface Water Dataset.</w:t>
      </w:r>
      <w:r w:rsidR="00D7211B" w:rsidRPr="00832218">
        <w:fldChar w:fldCharType="begin" w:fldLock="1"/>
      </w:r>
      <w:r w:rsidR="007B1CE3">
        <w:instrText>ADDIN CSL_CITATION {"citationItems":[{"id":"ITEM-1","itemData":{"DOI":"10.1038/nature20584","ISSN":"14764687","PMID":"27926733","abstract":"The location and persistence of surface water (inland and coastal) is both affected by climate and human activity and affects climate, biological diversity and human wellbeing. Global data sets documenting surface water location and seasonality have been produced from inventories and national descriptions, statistical extrapolation of regional data and satellite imagery, but measuring long-term changes at high resolution remains a challenge. Here, using three million Landsat satellite images, we quantify changes in global surface water over the past 32 years at 30-metre resolution. We record the months and years when water was present, where occurrence changed and what form changes took in terms of seasonality and persistence. Between 1984 and 2015 permanent surface water has disappeared from an area of almost 90,000 square kilometres, roughly equivalent to that of Lake Superior, though new permanent bodies of surface water covering 184,000 square kilometres have formed elsewhere. All continental regions show a net increase in permanent water, except Oceania, which has a fractional (one per cent) net loss. Much of the increase is from reservoir filling, although climate change is also implicated. Loss is more geographically concentrated than gain. Over 70 per cent of global net permanent water loss occurred in the Middle East and Central Asia, linked to drought and human actions including river diversion or damming and unregulated withdrawal. Losses in Australia and the USA linked to long-term droughts are also evident. This globally consistent, validated data set shows that impacts of climate change and climate oscillations on surface water occurrence can be measured and that evidence can be gathered to show how surface water is altered by human activities. We anticipate that this freely available data will improve the modelling of surface forcing, provide evidence of state and change in wetland ecotones (the transition areas between biomes), and inform water-management decision-making.","author":[{"dropping-particle":"","family":"Pekel","given":"Jean François","non-dropping-particle":"","parse-names":false,"suffix":""},{"dropping-particle":"","family":"Cottam","given":"Andrew","non-dropping-particle":"","parse-names":false,"suffix":""},{"dropping-particle":"","family":"Gorelick","given":"Noel","non-dropping-particle":"","parse-names":false,"suffix":""},{"dropping-particle":"","family":"Belward","given":"Alan S.","non-dropping-particle":"","parse-names":false,"suffix":""}],"container-title":"Nature","id":"ITEM-1","issue":"7633","issued":{"date-parts":[["2016","12","15"]]},"page":"418-422","publisher":"Nature Publishing Group","title":"High-resolution mapping of global surface water and its long-term changes","type":"article-journal","volume":"540"},"uris":["http://www.mendeley.com/documents/?uuid=7a61ea5b-8837-3ce2-9a25-6db9326c705d"]}],"mendeley":{"formattedCitation":"&lt;sup&gt;26&lt;/sup&gt;","plainTextFormattedCitation":"26","previouslyFormattedCitation":"&lt;sup&gt;26&lt;/sup&gt;"},"properties":{"noteIndex":0},"schema":"https://github.com/citation-style-language/schema/raw/master/csl-citation.json"}</w:instrText>
      </w:r>
      <w:r w:rsidR="00D7211B" w:rsidRPr="00832218">
        <w:fldChar w:fldCharType="separate"/>
      </w:r>
      <w:r w:rsidR="00961FCF" w:rsidRPr="00961FCF">
        <w:rPr>
          <w:noProof/>
          <w:vertAlign w:val="superscript"/>
        </w:rPr>
        <w:t>26</w:t>
      </w:r>
      <w:r w:rsidR="00D7211B" w:rsidRPr="00832218">
        <w:fldChar w:fldCharType="end"/>
      </w:r>
      <w:r w:rsidR="00D7211B" w:rsidRPr="00832218">
        <w:t xml:space="preserve"> This dataset </w:t>
      </w:r>
      <w:r w:rsidR="007365B8" w:rsidRPr="00832218">
        <w:t>contains information about</w:t>
      </w:r>
      <w:r w:rsidR="005B06D1" w:rsidRPr="00832218">
        <w:t xml:space="preserve"> the</w:t>
      </w:r>
      <w:r w:rsidR="00D7211B" w:rsidRPr="00832218">
        <w:t xml:space="preserve"> location of surface water, based </w:t>
      </w:r>
      <w:r w:rsidR="007365B8" w:rsidRPr="00832218">
        <w:t xml:space="preserve">on </w:t>
      </w:r>
      <w:r w:rsidR="00D7211B" w:rsidRPr="00832218">
        <w:t>Landsat 5, 7, and 8</w:t>
      </w:r>
      <w:r w:rsidR="005E4A43" w:rsidRPr="00832218">
        <w:t xml:space="preserve"> images</w:t>
      </w:r>
      <w:r w:rsidR="007365B8" w:rsidRPr="00832218">
        <w:t xml:space="preserve"> from 1984 to 2018</w:t>
      </w:r>
      <w:r w:rsidR="00D7211B" w:rsidRPr="00832218">
        <w:t xml:space="preserve">. </w:t>
      </w:r>
      <w:r w:rsidR="00BD4A3B" w:rsidRPr="00832218">
        <w:t xml:space="preserve">Information was </w:t>
      </w:r>
      <w:r w:rsidR="002361EC">
        <w:t>aggregated over</w:t>
      </w:r>
      <w:r w:rsidR="00BD4A3B" w:rsidRPr="00832218">
        <w:t xml:space="preserve"> the entire </w:t>
      </w:r>
      <w:proofErr w:type="gramStart"/>
      <w:r w:rsidR="00BD4A3B" w:rsidRPr="00832218">
        <w:t>time period</w:t>
      </w:r>
      <w:proofErr w:type="gramEnd"/>
      <w:r w:rsidR="00BD4A3B" w:rsidRPr="00832218">
        <w:t xml:space="preserve"> and not available </w:t>
      </w:r>
      <w:r w:rsidR="00BF3FB6" w:rsidRPr="00832218">
        <w:t xml:space="preserve">for each year. </w:t>
      </w:r>
      <w:r w:rsidR="00D7211B" w:rsidRPr="00832218">
        <w:t xml:space="preserve">As zip codes </w:t>
      </w:r>
      <w:proofErr w:type="gramStart"/>
      <w:r w:rsidR="00D7211B" w:rsidRPr="00832218">
        <w:t>are used</w:t>
      </w:r>
      <w:proofErr w:type="gramEnd"/>
      <w:r w:rsidR="00D7211B" w:rsidRPr="00832218">
        <w:t xml:space="preserve"> for postal services, adjacent water bodies such as rivers, lakes and </w:t>
      </w:r>
      <w:r w:rsidR="007D6470" w:rsidRPr="00832218">
        <w:t>oceans</w:t>
      </w:r>
      <w:r w:rsidR="00D7211B" w:rsidRPr="00832218">
        <w:t xml:space="preserve"> are not always included in zip code areas. Therefore, we calculated spatially weighted mean blue space </w:t>
      </w:r>
      <w:r w:rsidR="0070298F" w:rsidRPr="00832218">
        <w:t xml:space="preserve">cover </w:t>
      </w:r>
      <w:r w:rsidR="00D7211B" w:rsidRPr="00832218">
        <w:t xml:space="preserve">of zip codes with a </w:t>
      </w:r>
      <w:r w:rsidR="00BA2D6C" w:rsidRPr="00832218">
        <w:t>1000 m</w:t>
      </w:r>
      <w:r w:rsidR="00D7211B" w:rsidRPr="00832218">
        <w:t xml:space="preserve"> buffer</w:t>
      </w:r>
      <w:r w:rsidR="002361EC">
        <w:t xml:space="preserve"> around each zip code</w:t>
      </w:r>
      <w:r w:rsidR="00727327" w:rsidRPr="00832218">
        <w:t>.</w:t>
      </w:r>
      <w:r w:rsidR="005314E3" w:rsidRPr="00832218">
        <w:t xml:space="preserve"> </w:t>
      </w:r>
    </w:p>
    <w:p w14:paraId="5125324B" w14:textId="1C72EE88" w:rsidR="00A667EC" w:rsidRPr="00832218" w:rsidRDefault="00A667EC" w:rsidP="00D7211B">
      <w:pPr>
        <w:jc w:val="both"/>
      </w:pPr>
      <w:r w:rsidRPr="00832218">
        <w:rPr>
          <w:lang w:val="en-GB"/>
        </w:rPr>
        <w:t xml:space="preserve">Detailed information about the exposures </w:t>
      </w:r>
      <w:proofErr w:type="gramStart"/>
      <w:r w:rsidRPr="00832218">
        <w:rPr>
          <w:lang w:val="en-GB"/>
        </w:rPr>
        <w:t>can be found</w:t>
      </w:r>
      <w:proofErr w:type="gramEnd"/>
      <w:r w:rsidRPr="00832218">
        <w:rPr>
          <w:lang w:val="en-GB"/>
        </w:rPr>
        <w:t xml:space="preserve"> in the supplementary methods (S1.</w:t>
      </w:r>
      <w:r w:rsidR="0031074C" w:rsidRPr="00832218">
        <w:rPr>
          <w:lang w:val="en-GB"/>
        </w:rPr>
        <w:t xml:space="preserve"> Exposure assessment</w:t>
      </w:r>
      <w:r w:rsidRPr="00832218">
        <w:rPr>
          <w:lang w:val="en-GB"/>
        </w:rPr>
        <w:t>).</w:t>
      </w:r>
    </w:p>
    <w:p w14:paraId="2F61201F" w14:textId="77777777" w:rsidR="002206AF" w:rsidRPr="00832218" w:rsidRDefault="002206AF" w:rsidP="002206AF">
      <w:pPr>
        <w:jc w:val="both"/>
        <w:rPr>
          <w:i/>
          <w:iCs/>
          <w:lang w:val="en-GB"/>
        </w:rPr>
      </w:pPr>
      <w:r w:rsidRPr="00832218">
        <w:rPr>
          <w:i/>
          <w:iCs/>
          <w:lang w:val="en-GB"/>
        </w:rPr>
        <w:t>Covariates</w:t>
      </w:r>
    </w:p>
    <w:p w14:paraId="1C11DAD8" w14:textId="09618B7E" w:rsidR="00C8203B" w:rsidRPr="00832218" w:rsidRDefault="001A69A1" w:rsidP="00C8203B">
      <w:pPr>
        <w:jc w:val="both"/>
      </w:pPr>
      <w:r w:rsidRPr="00832218">
        <w:rPr>
          <w:lang w:val="en-GB"/>
        </w:rPr>
        <w:t>For each beneficiary, i</w:t>
      </w:r>
      <w:r w:rsidR="002206AF" w:rsidRPr="00832218">
        <w:rPr>
          <w:lang w:val="en-GB"/>
        </w:rPr>
        <w:t xml:space="preserve">nformation about year of entry, </w:t>
      </w:r>
      <w:r w:rsidRPr="00832218">
        <w:rPr>
          <w:lang w:val="en-GB"/>
        </w:rPr>
        <w:t xml:space="preserve">age at entry, </w:t>
      </w:r>
      <w:r w:rsidR="002206AF" w:rsidRPr="00832218">
        <w:rPr>
          <w:lang w:val="en-GB"/>
        </w:rPr>
        <w:t xml:space="preserve">sex, race, Medicaid eligibility </w:t>
      </w:r>
      <w:r w:rsidR="00E01AD3">
        <w:rPr>
          <w:lang w:val="en-GB"/>
        </w:rPr>
        <w:t>[</w:t>
      </w:r>
      <w:r w:rsidR="002206AF" w:rsidRPr="00832218">
        <w:rPr>
          <w:lang w:val="en-GB"/>
        </w:rPr>
        <w:t xml:space="preserve">a proxy for low </w:t>
      </w:r>
      <w:r w:rsidR="00E01AD3">
        <w:rPr>
          <w:lang w:val="en-GB"/>
        </w:rPr>
        <w:t>SES]</w:t>
      </w:r>
      <w:r w:rsidR="002206AF" w:rsidRPr="00832218">
        <w:rPr>
          <w:lang w:val="en-GB"/>
        </w:rPr>
        <w:t xml:space="preserve">, and zip code of residence </w:t>
      </w:r>
      <w:r w:rsidRPr="00832218">
        <w:rPr>
          <w:lang w:val="en-GB"/>
        </w:rPr>
        <w:t>w</w:t>
      </w:r>
      <w:r w:rsidR="005B06D1" w:rsidRPr="00832218">
        <w:rPr>
          <w:lang w:val="en-GB"/>
        </w:rPr>
        <w:t>as</w:t>
      </w:r>
      <w:r w:rsidRPr="00832218">
        <w:rPr>
          <w:lang w:val="en-GB"/>
        </w:rPr>
        <w:t xml:space="preserve"> derived from the Medicare beneficiary file</w:t>
      </w:r>
      <w:r w:rsidR="002206AF" w:rsidRPr="00832218">
        <w:rPr>
          <w:lang w:val="en-GB"/>
        </w:rPr>
        <w:t xml:space="preserve">. </w:t>
      </w:r>
      <w:r w:rsidR="00664C4A" w:rsidRPr="00832218">
        <w:rPr>
          <w:lang w:val="en-GB"/>
        </w:rPr>
        <w:t xml:space="preserve">As a proxy for </w:t>
      </w:r>
      <w:proofErr w:type="spellStart"/>
      <w:r w:rsidR="005314E3" w:rsidRPr="00832218">
        <w:rPr>
          <w:lang w:val="en-GB"/>
        </w:rPr>
        <w:t>nSES</w:t>
      </w:r>
      <w:proofErr w:type="spellEnd"/>
      <w:r w:rsidR="00664C4A" w:rsidRPr="00832218">
        <w:rPr>
          <w:lang w:val="en-GB"/>
        </w:rPr>
        <w:t xml:space="preserve">, we used </w:t>
      </w:r>
      <w:r w:rsidR="00D545B5" w:rsidRPr="00832218">
        <w:rPr>
          <w:lang w:val="en-GB"/>
        </w:rPr>
        <w:t xml:space="preserve">eight </w:t>
      </w:r>
      <w:r w:rsidR="00F037F4" w:rsidRPr="00832218">
        <w:rPr>
          <w:lang w:val="en-GB"/>
        </w:rPr>
        <w:t xml:space="preserve">zip code-level covariates </w:t>
      </w:r>
      <w:r w:rsidR="002206AF" w:rsidRPr="00832218">
        <w:rPr>
          <w:lang w:val="en-GB"/>
        </w:rPr>
        <w:t>from the</w:t>
      </w:r>
      <w:r w:rsidR="00EC34A3" w:rsidRPr="00832218">
        <w:rPr>
          <w:lang w:val="en-GB"/>
        </w:rPr>
        <w:t xml:space="preserve"> U.S.</w:t>
      </w:r>
      <w:r w:rsidR="002206AF" w:rsidRPr="00832218">
        <w:rPr>
          <w:lang w:val="en-GB"/>
        </w:rPr>
        <w:t xml:space="preserve"> Census and American Community Survey. </w:t>
      </w:r>
      <w:r w:rsidR="00F037F4" w:rsidRPr="00832218">
        <w:rPr>
          <w:lang w:val="en-GB"/>
        </w:rPr>
        <w:t>W</w:t>
      </w:r>
      <w:r w:rsidR="002206AF" w:rsidRPr="00832218">
        <w:rPr>
          <w:lang w:val="en-GB"/>
        </w:rPr>
        <w:t xml:space="preserve">e </w:t>
      </w:r>
      <w:r w:rsidR="00F037F4" w:rsidRPr="00832218">
        <w:rPr>
          <w:lang w:val="en-GB"/>
        </w:rPr>
        <w:t xml:space="preserve">linked </w:t>
      </w:r>
      <w:r w:rsidR="00CE4566" w:rsidRPr="00832218">
        <w:rPr>
          <w:lang w:val="en-GB"/>
        </w:rPr>
        <w:t xml:space="preserve">percent of the </w:t>
      </w:r>
      <w:r w:rsidR="002206AF" w:rsidRPr="00832218">
        <w:rPr>
          <w:lang w:val="en-GB"/>
        </w:rPr>
        <w:t>population that were ever smokers</w:t>
      </w:r>
      <w:r w:rsidR="00CE4566" w:rsidRPr="00832218">
        <w:rPr>
          <w:lang w:val="en-GB"/>
        </w:rPr>
        <w:t xml:space="preserve"> </w:t>
      </w:r>
      <w:r w:rsidR="00664C4A" w:rsidRPr="00832218">
        <w:rPr>
          <w:lang w:val="en-GB"/>
        </w:rPr>
        <w:t>(</w:t>
      </w:r>
      <w:r w:rsidR="00CE4566" w:rsidRPr="00832218">
        <w:rPr>
          <w:lang w:val="en-GB"/>
        </w:rPr>
        <w:t xml:space="preserve">based on </w:t>
      </w:r>
      <w:r w:rsidR="00EF0FA1" w:rsidRPr="00832218">
        <w:rPr>
          <w:lang w:val="en-GB"/>
        </w:rPr>
        <w:t xml:space="preserve">the </w:t>
      </w:r>
      <w:r w:rsidR="00CE4566" w:rsidRPr="00832218">
        <w:rPr>
          <w:lang w:val="en-GB"/>
        </w:rPr>
        <w:t>county level),</w:t>
      </w:r>
      <w:r w:rsidR="00F037F4" w:rsidRPr="00832218">
        <w:rPr>
          <w:lang w:val="en-GB"/>
        </w:rPr>
        <w:t xml:space="preserve"> derived from the nationwide Behavioural Risk Factor Surveillance System (BRFSS)</w:t>
      </w:r>
      <w:r w:rsidR="002206AF" w:rsidRPr="00832218">
        <w:rPr>
          <w:lang w:val="en-GB"/>
        </w:rPr>
        <w:t xml:space="preserve">. </w:t>
      </w:r>
      <w:r w:rsidR="00A667EC" w:rsidRPr="00832218">
        <w:rPr>
          <w:lang w:val="en-GB"/>
        </w:rPr>
        <w:t xml:space="preserve">Further, we </w:t>
      </w:r>
      <w:r w:rsidR="00767DEC" w:rsidRPr="00832218">
        <w:rPr>
          <w:lang w:val="en-GB"/>
        </w:rPr>
        <w:t>assign</w:t>
      </w:r>
      <w:r w:rsidR="00A667EC" w:rsidRPr="00832218">
        <w:rPr>
          <w:lang w:val="en-GB"/>
        </w:rPr>
        <w:t xml:space="preserve">ed </w:t>
      </w:r>
      <w:r w:rsidR="00012B43" w:rsidRPr="00832218">
        <w:rPr>
          <w:lang w:val="en-GB"/>
        </w:rPr>
        <w:t>US census regions</w:t>
      </w:r>
      <w:r w:rsidR="00E9448F" w:rsidRPr="00832218">
        <w:rPr>
          <w:lang w:val="en-GB"/>
        </w:rPr>
        <w:t xml:space="preserve"> </w:t>
      </w:r>
      <w:r w:rsidR="00E9448F" w:rsidRPr="00832218">
        <w:t>(West, Midwest, Northeast, South)</w:t>
      </w:r>
      <w:r w:rsidR="00012B43" w:rsidRPr="00832218">
        <w:rPr>
          <w:lang w:val="en-GB"/>
        </w:rPr>
        <w:t xml:space="preserve">, </w:t>
      </w:r>
      <w:r w:rsidR="008A5C23">
        <w:rPr>
          <w:lang w:val="en-GB"/>
        </w:rPr>
        <w:t xml:space="preserve">and </w:t>
      </w:r>
      <w:r w:rsidR="003B4188" w:rsidRPr="00832218">
        <w:rPr>
          <w:lang w:val="en-GB"/>
        </w:rPr>
        <w:t>zip code-level</w:t>
      </w:r>
      <w:r w:rsidR="003B4188" w:rsidRPr="00832218">
        <w:t xml:space="preserve"> </w:t>
      </w:r>
      <w:r w:rsidR="00310E8A" w:rsidRPr="00832218">
        <w:t>particulate matter less than 2.5 microns (PM</w:t>
      </w:r>
      <w:r w:rsidR="00310E8A" w:rsidRPr="00832218">
        <w:rPr>
          <w:vertAlign w:val="subscript"/>
        </w:rPr>
        <w:t>2.5</w:t>
      </w:r>
      <w:r w:rsidR="00310E8A" w:rsidRPr="00832218">
        <w:t>), nitrogen dioxide (NO</w:t>
      </w:r>
      <w:r w:rsidR="00310E8A" w:rsidRPr="00832218">
        <w:rPr>
          <w:vertAlign w:val="subscript"/>
        </w:rPr>
        <w:t>2</w:t>
      </w:r>
      <w:r w:rsidR="00310E8A">
        <w:t xml:space="preserve">), </w:t>
      </w:r>
      <w:r w:rsidR="007272C6" w:rsidRPr="00832218">
        <w:rPr>
          <w:lang w:val="en-GB"/>
        </w:rPr>
        <w:t xml:space="preserve">summer </w:t>
      </w:r>
      <w:r w:rsidR="003075C9" w:rsidRPr="00832218">
        <w:rPr>
          <w:lang w:val="en-GB"/>
        </w:rPr>
        <w:t xml:space="preserve">maximum daily temperature, </w:t>
      </w:r>
      <w:r w:rsidR="00A667EC" w:rsidRPr="00832218">
        <w:rPr>
          <w:lang w:val="en-GB"/>
        </w:rPr>
        <w:t xml:space="preserve">ambient </w:t>
      </w:r>
      <w:r w:rsidR="003075C9" w:rsidRPr="00832218">
        <w:rPr>
          <w:lang w:val="en-GB"/>
        </w:rPr>
        <w:t>specific humidity</w:t>
      </w:r>
      <w:r w:rsidR="00EF0FA1" w:rsidRPr="00832218">
        <w:rPr>
          <w:lang w:val="en-GB"/>
        </w:rPr>
        <w:t>,</w:t>
      </w:r>
      <w:r w:rsidR="00310E8A">
        <w:rPr>
          <w:lang w:val="en-GB"/>
        </w:rPr>
        <w:t xml:space="preserve"> and</w:t>
      </w:r>
      <w:r w:rsidR="003075C9" w:rsidRPr="00832218">
        <w:rPr>
          <w:lang w:val="en-GB"/>
        </w:rPr>
        <w:t xml:space="preserve"> </w:t>
      </w:r>
      <w:r w:rsidR="00A667EC" w:rsidRPr="00832218">
        <w:rPr>
          <w:lang w:val="en-GB"/>
        </w:rPr>
        <w:t xml:space="preserve">total </w:t>
      </w:r>
      <w:r w:rsidR="003075C9" w:rsidRPr="00832218">
        <w:rPr>
          <w:lang w:val="en-GB"/>
        </w:rPr>
        <w:t>precipitation</w:t>
      </w:r>
      <w:r w:rsidR="002206AF" w:rsidRPr="00832218">
        <w:rPr>
          <w:lang w:val="en-GB"/>
        </w:rPr>
        <w:t xml:space="preserve">. </w:t>
      </w:r>
      <w:r w:rsidR="003C6474" w:rsidRPr="00832218">
        <w:rPr>
          <w:lang w:val="en-GB"/>
        </w:rPr>
        <w:t>T</w:t>
      </w:r>
      <w:r w:rsidR="00C8203B" w:rsidRPr="00832218">
        <w:rPr>
          <w:lang w:val="en-GB"/>
        </w:rPr>
        <w:t xml:space="preserve">he </w:t>
      </w:r>
      <w:r w:rsidR="00A05084" w:rsidRPr="00832218">
        <w:rPr>
          <w:lang w:val="en-GB"/>
        </w:rPr>
        <w:t>covariates</w:t>
      </w:r>
      <w:r w:rsidR="00C8203B" w:rsidRPr="00832218">
        <w:rPr>
          <w:lang w:val="en-GB"/>
        </w:rPr>
        <w:t xml:space="preserve"> </w:t>
      </w:r>
      <w:proofErr w:type="gramStart"/>
      <w:r w:rsidR="003C6474" w:rsidRPr="00832218">
        <w:rPr>
          <w:lang w:val="en-GB"/>
        </w:rPr>
        <w:t>are described</w:t>
      </w:r>
      <w:proofErr w:type="gramEnd"/>
      <w:r w:rsidR="003C6474" w:rsidRPr="00832218">
        <w:rPr>
          <w:lang w:val="en-GB"/>
        </w:rPr>
        <w:t xml:space="preserve"> in more detail</w:t>
      </w:r>
      <w:r w:rsidR="00C8203B" w:rsidRPr="00832218">
        <w:rPr>
          <w:lang w:val="en-GB"/>
        </w:rPr>
        <w:t xml:space="preserve"> in the supplementary methods (S2. </w:t>
      </w:r>
      <w:r w:rsidR="0031074C" w:rsidRPr="00832218">
        <w:rPr>
          <w:lang w:val="en-GB"/>
        </w:rPr>
        <w:t>Covariates</w:t>
      </w:r>
      <w:r w:rsidR="00C8203B" w:rsidRPr="00832218">
        <w:rPr>
          <w:lang w:val="en-GB"/>
        </w:rPr>
        <w:t>).</w:t>
      </w:r>
    </w:p>
    <w:p w14:paraId="6D63EEAF" w14:textId="0FA1A0DB" w:rsidR="003075C9" w:rsidRPr="00832218" w:rsidRDefault="003075C9" w:rsidP="002206AF">
      <w:pPr>
        <w:jc w:val="both"/>
        <w:rPr>
          <w:i/>
          <w:lang w:val="en-GB"/>
        </w:rPr>
      </w:pPr>
      <w:r w:rsidRPr="00832218">
        <w:rPr>
          <w:i/>
          <w:lang w:val="en-GB"/>
        </w:rPr>
        <w:lastRenderedPageBreak/>
        <w:t>Statistical analyses</w:t>
      </w:r>
    </w:p>
    <w:p w14:paraId="18B34B9E" w14:textId="015897A9" w:rsidR="00E479BC" w:rsidRPr="00832218" w:rsidRDefault="00D40CC8" w:rsidP="00E479BC">
      <w:pPr>
        <w:jc w:val="both"/>
      </w:pPr>
      <w:r w:rsidRPr="00832218">
        <w:t>W</w:t>
      </w:r>
      <w:r w:rsidR="00E479BC" w:rsidRPr="00832218">
        <w:t xml:space="preserve">e applied a Cox-equivalent re-parameterized Poisson </w:t>
      </w:r>
      <w:r w:rsidR="003D20DC" w:rsidRPr="00832218">
        <w:t>model</w:t>
      </w:r>
      <w:r w:rsidRPr="00832218">
        <w:t xml:space="preserve"> to overcome computational challenges due to our large cohort</w:t>
      </w:r>
      <w:r w:rsidR="00E479BC" w:rsidRPr="00832218">
        <w:t xml:space="preserve">. </w:t>
      </w:r>
      <w:r w:rsidR="00FE370D" w:rsidRPr="00832218">
        <w:t xml:space="preserve">We aggregated </w:t>
      </w:r>
      <w:r w:rsidR="00423A6D" w:rsidRPr="00832218">
        <w:t>all beneficiaries within the same zip code in a specific year, with the same age</w:t>
      </w:r>
      <w:r w:rsidR="006763F2">
        <w:t xml:space="preserve"> (</w:t>
      </w:r>
      <w:r w:rsidR="006763F2" w:rsidRPr="00832218">
        <w:t>2-year categories</w:t>
      </w:r>
      <w:r w:rsidR="006763F2">
        <w:t>)</w:t>
      </w:r>
      <w:r w:rsidR="00423A6D" w:rsidRPr="00832218">
        <w:t>, sex, race, Medicaid eligibility and year of follow-up and treated them as one single grid cell</w:t>
      </w:r>
      <w:r w:rsidR="003B1FF2" w:rsidRPr="00832218">
        <w:t>.</w:t>
      </w:r>
      <w:r w:rsidR="00FE370D" w:rsidRPr="00832218">
        <w:t xml:space="preserve"> </w:t>
      </w:r>
      <w:r w:rsidR="00831E6D" w:rsidRPr="00832218">
        <w:t>W</w:t>
      </w:r>
      <w:r w:rsidR="00E479BC" w:rsidRPr="00832218">
        <w:t xml:space="preserve">e fitted a stratified quasi-Poisson model to estimate associations </w:t>
      </w:r>
      <w:r w:rsidR="00831E6D" w:rsidRPr="00832218">
        <w:t xml:space="preserve">with the rate of first CVD </w:t>
      </w:r>
      <w:r w:rsidR="00E479BC" w:rsidRPr="00832218">
        <w:t xml:space="preserve">and </w:t>
      </w:r>
      <w:r w:rsidR="00831E6D" w:rsidRPr="00832218">
        <w:t>RSD</w:t>
      </w:r>
      <w:r w:rsidR="00E479BC" w:rsidRPr="00832218">
        <w:t xml:space="preserve"> hospitalizations.</w:t>
      </w:r>
      <w:r w:rsidR="00CD111B" w:rsidRPr="00832218">
        <w:t xml:space="preserve"> </w:t>
      </w:r>
      <w:r w:rsidR="00831E6D" w:rsidRPr="00832218">
        <w:t>T</w:t>
      </w:r>
      <w:r w:rsidR="00E479BC" w:rsidRPr="00832218">
        <w:t xml:space="preserve">he count of </w:t>
      </w:r>
      <w:r w:rsidR="00CE4566" w:rsidRPr="00832218">
        <w:t xml:space="preserve">CVD and </w:t>
      </w:r>
      <w:r w:rsidR="00831E6D" w:rsidRPr="00832218">
        <w:t xml:space="preserve">RSD </w:t>
      </w:r>
      <w:r w:rsidR="00E479BC" w:rsidRPr="00832218">
        <w:t xml:space="preserve">related first hospitalizations in each </w:t>
      </w:r>
      <w:r w:rsidR="00A05084" w:rsidRPr="00832218">
        <w:t xml:space="preserve">grid cell </w:t>
      </w:r>
      <w:r w:rsidR="00831E6D" w:rsidRPr="00832218">
        <w:t>was the dependent variable</w:t>
      </w:r>
      <w:r w:rsidR="00E479BC" w:rsidRPr="00832218">
        <w:t xml:space="preserve">, using the corresponding total person-time </w:t>
      </w:r>
      <w:r w:rsidR="00362C4B" w:rsidRPr="00832218">
        <w:t xml:space="preserve">in </w:t>
      </w:r>
      <w:r w:rsidR="00C95258" w:rsidRPr="00832218">
        <w:t>each grid cell</w:t>
      </w:r>
      <w:r w:rsidR="00FE370D" w:rsidRPr="00832218">
        <w:t xml:space="preserve"> as the offset. </w:t>
      </w:r>
      <w:r w:rsidR="00E479BC" w:rsidRPr="00832218">
        <w:t xml:space="preserve">To account for within zip code correlated observations across years, an m-out-n bootstrap method using zip code units </w:t>
      </w:r>
      <w:proofErr w:type="gramStart"/>
      <w:r w:rsidR="00FE370D" w:rsidRPr="00832218">
        <w:t>was used</w:t>
      </w:r>
      <w:proofErr w:type="gramEnd"/>
      <w:r w:rsidR="00FE370D" w:rsidRPr="00832218">
        <w:t xml:space="preserve"> </w:t>
      </w:r>
      <w:r w:rsidR="00E479BC" w:rsidRPr="00832218">
        <w:t xml:space="preserve">to calculate statistically robust confidence intervals (CIs). </w:t>
      </w:r>
      <w:r w:rsidRPr="00832218">
        <w:t xml:space="preserve">All hazard ratios (HRs) </w:t>
      </w:r>
      <w:proofErr w:type="gramStart"/>
      <w:r w:rsidRPr="00832218">
        <w:t>were expressed</w:t>
      </w:r>
      <w:proofErr w:type="gramEnd"/>
      <w:r w:rsidRPr="00832218">
        <w:t xml:space="preserve"> per IQR increase (based on the full CVD cohort). </w:t>
      </w:r>
      <w:r w:rsidR="00C95258" w:rsidRPr="00832218">
        <w:t>T</w:t>
      </w:r>
      <w:r w:rsidR="00E479BC" w:rsidRPr="00832218">
        <w:t xml:space="preserve">he Cox-equivalent re-parameterized Poisson approach </w:t>
      </w:r>
      <w:r w:rsidR="00C95258" w:rsidRPr="00832218">
        <w:t xml:space="preserve">is described in more detail </w:t>
      </w:r>
      <w:r w:rsidR="00E479BC" w:rsidRPr="00832218">
        <w:t>else</w:t>
      </w:r>
      <w:r w:rsidR="00727327" w:rsidRPr="00832218">
        <w:t>where.</w:t>
      </w:r>
      <w:r w:rsidR="00837595" w:rsidRPr="00832218">
        <w:fldChar w:fldCharType="begin" w:fldLock="1"/>
      </w:r>
      <w:r w:rsidR="007B1CE3">
        <w:instrText>ADDIN CSL_CITATION {"citationItems":[{"id":"ITEM-1","itemData":{"DOI":"10.1016/s2542-5196(20)30227-8","ISSN":"25425196","PMID":"33091388","abstract":"Background Accumulating evidence links fine particulate matter (PM 2·5) to premature mortality, cardiovascular disease, and respiratory disease. However, less is known about the influence of PM 2·5 on neurological disorders. We aimed to investigate the effect of long-term PM 2·5 exposure on development of Parkinson's disease or Alzheimer's disease and related dementias.","author":[{"dropping-particle":"","family":"Shi","given":"Liuhua","non-dropping-particle":"","parse-names":false,"suffix":""},{"dropping-particle":"","family":"Wu","given":"Xiao","non-dropping-particle":"","parse-names":false,"suffix":""},{"dropping-particle":"","family":"Danesh Yazdi","given":"Mahdieh","non-dropping-particle":"","parse-names":false,"suffix":""},{"dropping-particle":"","family":"Braun","given":"Danielle","non-dropping-particle":"","parse-names":false,"suffix":""},{"dropping-particle":"","family":"Abu Awad","given":"Yara","non-dropping-particle":"","parse-names":false,"suffix":""},{"dropping-particle":"","family":"Wei","given":"Yaguang","non-dropping-particle":"","parse-names":false,"suffix":""},{"dropping-particle":"","family":"Liu","given":"Pengfei","non-dropping-particle":"","parse-names":false,"suffix":""},{"dropping-particle":"","family":"Di","given":"Qian","non-dropping-particle":"","parse-names":false,"suffix":""},{"dropping-particle":"","family":"Wang","given":"Yun","non-dropping-particle":"","parse-names":false,"suffix":""},{"dropping-particle":"","family":"Schwartz","given":"Joel","non-dropping-particle":"","parse-names":false,"suffix":""},{"dropping-particle":"","family":"Dominici","given":"Francesca","non-dropping-particle":"","parse-names":false,"suffix":""},{"dropping-particle":"","family":"Kioumourtzoglou","given":"Marianthi-Anna","non-dropping-particle":"","parse-names":false,"suffix":""},{"dropping-particle":"","family":"Zanobetti","given":"Antonella","non-dropping-particle":"","parse-names":false,"suffix":""}],"container-title":"The Lancet Planetary Health","id":"ITEM-1","issue":"12","issued":{"date-parts":[["2020","10","19"]]},"page":"e557-e565","publisher":"Elsevier BV","title":"Long-term effects of PM2·5 on neurological disorders in the American Medicare population: a longitudinal cohort study","type":"article-journal","volume":"4"},"uris":["http://www.mendeley.com/documents/?uuid=1b6c29de-37fe-362e-8c38-233d08a44603"]}],"mendeley":{"formattedCitation":"&lt;sup&gt;27&lt;/sup&gt;","plainTextFormattedCitation":"27","previouslyFormattedCitation":"&lt;sup&gt;27&lt;/sup&gt;"},"properties":{"noteIndex":0},"schema":"https://github.com/citation-style-language/schema/raw/master/csl-citation.json"}</w:instrText>
      </w:r>
      <w:r w:rsidR="00837595" w:rsidRPr="00832218">
        <w:fldChar w:fldCharType="separate"/>
      </w:r>
      <w:r w:rsidR="00961FCF" w:rsidRPr="00961FCF">
        <w:rPr>
          <w:noProof/>
          <w:vertAlign w:val="superscript"/>
        </w:rPr>
        <w:t>27</w:t>
      </w:r>
      <w:r w:rsidR="00837595" w:rsidRPr="00832218">
        <w:fldChar w:fldCharType="end"/>
      </w:r>
      <w:r w:rsidR="00E479BC" w:rsidRPr="00832218">
        <w:t xml:space="preserve"> </w:t>
      </w:r>
    </w:p>
    <w:p w14:paraId="11215C80" w14:textId="5FCD0DBE" w:rsidR="00E479BC" w:rsidRPr="00832218" w:rsidRDefault="00D40CC8" w:rsidP="00E479BC">
      <w:pPr>
        <w:jc w:val="both"/>
      </w:pPr>
      <w:r w:rsidRPr="00832218">
        <w:t xml:space="preserve">To evaluate the impact of potential confounders, we fitted models with increasing degrees of covariate adjustment. </w:t>
      </w:r>
      <w:r w:rsidR="00EA5DC7" w:rsidRPr="00832218">
        <w:t xml:space="preserve">In our main model we included all three exposures simultaneously and adjusted for calendar year, region, </w:t>
      </w:r>
      <w:proofErr w:type="spellStart"/>
      <w:r w:rsidR="005314E3" w:rsidRPr="00832218">
        <w:t>nSES</w:t>
      </w:r>
      <w:proofErr w:type="spellEnd"/>
      <w:r w:rsidR="00EA5DC7" w:rsidRPr="00832218">
        <w:t>, smoking status, an offset for total person-time and strata for all possible combinations of sex, race, Medicaid Eligibility</w:t>
      </w:r>
      <w:r w:rsidR="005B06D1" w:rsidRPr="00832218">
        <w:t>,</w:t>
      </w:r>
      <w:r w:rsidR="00EA5DC7" w:rsidRPr="00832218">
        <w:t xml:space="preserve"> age, and follow-up year. </w:t>
      </w:r>
      <w:r w:rsidR="00E479BC" w:rsidRPr="00832218">
        <w:t xml:space="preserve">We evaluated the shape of the exposure-response curves for each </w:t>
      </w:r>
      <w:r w:rsidR="00CD111B" w:rsidRPr="00832218">
        <w:t xml:space="preserve">exposure </w:t>
      </w:r>
      <w:r w:rsidR="005B06D1" w:rsidRPr="00832218">
        <w:t>with</w:t>
      </w:r>
      <w:r w:rsidR="00E479BC" w:rsidRPr="00832218">
        <w:t xml:space="preserve"> natural splines with 2 or 3 degrees of freedom. In addition, we estimated associations of public park cover</w:t>
      </w:r>
      <w:r w:rsidR="00AB59CC" w:rsidRPr="00832218">
        <w:t>, greenness</w:t>
      </w:r>
      <w:r w:rsidR="00E479BC" w:rsidRPr="00832218">
        <w:t xml:space="preserve"> and blue space </w:t>
      </w:r>
      <w:r w:rsidR="00D51548" w:rsidRPr="00832218">
        <w:t xml:space="preserve">cover </w:t>
      </w:r>
      <w:r w:rsidR="00E479BC" w:rsidRPr="00832218">
        <w:t xml:space="preserve">for </w:t>
      </w:r>
      <w:r w:rsidR="005143E1" w:rsidRPr="00832218">
        <w:t xml:space="preserve">individuals living in </w:t>
      </w:r>
      <w:r w:rsidR="00E479BC" w:rsidRPr="00832218">
        <w:t xml:space="preserve">urban zip codes (population density </w:t>
      </w:r>
      <w:r w:rsidR="00E479BC" w:rsidRPr="00832218">
        <w:rPr>
          <w:rFonts w:cstheme="minorHAnsi"/>
        </w:rPr>
        <w:t>≥</w:t>
      </w:r>
      <w:r w:rsidR="003E3CD9" w:rsidRPr="00832218">
        <w:rPr>
          <w:rFonts w:cstheme="minorHAnsi"/>
        </w:rPr>
        <w:t xml:space="preserve"> </w:t>
      </w:r>
      <w:r w:rsidR="00E479BC" w:rsidRPr="00832218">
        <w:t>1000 person</w:t>
      </w:r>
      <w:r w:rsidR="003E3CD9" w:rsidRPr="00832218">
        <w:t>s</w:t>
      </w:r>
      <w:r w:rsidR="00E479BC" w:rsidRPr="00832218">
        <w:t>/mile</w:t>
      </w:r>
      <w:r w:rsidR="00E479BC" w:rsidRPr="00832218">
        <w:rPr>
          <w:vertAlign w:val="superscript"/>
        </w:rPr>
        <w:t>2</w:t>
      </w:r>
      <w:r w:rsidR="00E479BC" w:rsidRPr="00832218">
        <w:t xml:space="preserve">). </w:t>
      </w:r>
      <w:bookmarkStart w:id="4" w:name="_Hlk72751374"/>
      <w:r w:rsidR="00E479BC" w:rsidRPr="00832218">
        <w:t>To evaluate whether associations were modified by individual demographics</w:t>
      </w:r>
      <w:r w:rsidR="005143E1" w:rsidRPr="00832218">
        <w:t>, region</w:t>
      </w:r>
      <w:r w:rsidR="00AD6F40" w:rsidRPr="00832218">
        <w:t>,</w:t>
      </w:r>
      <w:r w:rsidR="00C05AB6" w:rsidRPr="00832218">
        <w:t xml:space="preserve"> and</w:t>
      </w:r>
      <w:r w:rsidR="00E479BC" w:rsidRPr="00832218">
        <w:t xml:space="preserve"> </w:t>
      </w:r>
      <w:proofErr w:type="spellStart"/>
      <w:r w:rsidR="00AD6F40" w:rsidRPr="00832218">
        <w:t>n</w:t>
      </w:r>
      <w:r w:rsidR="00E479BC" w:rsidRPr="00832218">
        <w:t>SES</w:t>
      </w:r>
      <w:proofErr w:type="spellEnd"/>
      <w:r w:rsidR="00D51548" w:rsidRPr="00832218">
        <w:t>,</w:t>
      </w:r>
      <w:r w:rsidR="00E479BC" w:rsidRPr="00832218">
        <w:t xml:space="preserve"> we </w:t>
      </w:r>
      <w:bookmarkStart w:id="5" w:name="_Hlk71893547"/>
      <w:r w:rsidR="00251B3B" w:rsidRPr="00832218">
        <w:t>stratified our analyses</w:t>
      </w:r>
      <w:r w:rsidR="00E479BC" w:rsidRPr="00832218">
        <w:t xml:space="preserve"> by sex (ma</w:t>
      </w:r>
      <w:r w:rsidR="007377BC" w:rsidRPr="00832218">
        <w:t>le, female), age (&lt;75 years, 75</w:t>
      </w:r>
      <w:r w:rsidR="00E479BC" w:rsidRPr="00832218">
        <w:t xml:space="preserve">-84 years, </w:t>
      </w:r>
      <w:r w:rsidR="00EB3D20" w:rsidRPr="00832218">
        <w:t>≥</w:t>
      </w:r>
      <w:r w:rsidR="00E479BC" w:rsidRPr="00832218">
        <w:t>85 years), race (</w:t>
      </w:r>
      <w:r w:rsidR="00A80F2C" w:rsidRPr="00832218">
        <w:t>W</w:t>
      </w:r>
      <w:r w:rsidR="00251B3B" w:rsidRPr="00832218">
        <w:t xml:space="preserve">hite, </w:t>
      </w:r>
      <w:r w:rsidR="00A80F2C" w:rsidRPr="00832218">
        <w:t>B</w:t>
      </w:r>
      <w:r w:rsidR="00251B3B" w:rsidRPr="00832218">
        <w:t>lack, other/unknown),</w:t>
      </w:r>
      <w:r w:rsidR="00E479BC" w:rsidRPr="00832218">
        <w:t xml:space="preserve"> Medicaid eligibility</w:t>
      </w:r>
      <w:r w:rsidR="00F034AE" w:rsidRPr="00832218">
        <w:t xml:space="preserve"> (eligible, not eligible)</w:t>
      </w:r>
      <w:r w:rsidR="00EB3D20" w:rsidRPr="00832218">
        <w:t>,</w:t>
      </w:r>
      <w:r w:rsidR="00251B3B" w:rsidRPr="00832218">
        <w:t xml:space="preserve"> region (West, Midwest, Northeast, South)</w:t>
      </w:r>
      <w:r w:rsidRPr="00832218">
        <w:t xml:space="preserve"> and </w:t>
      </w:r>
      <w:proofErr w:type="spellStart"/>
      <w:r w:rsidRPr="00832218">
        <w:t>tertiles</w:t>
      </w:r>
      <w:proofErr w:type="spellEnd"/>
      <w:r w:rsidRPr="00832218">
        <w:t xml:space="preserve"> of</w:t>
      </w:r>
      <w:r w:rsidR="00E479BC" w:rsidRPr="00832218">
        <w:t xml:space="preserve"> zip code</w:t>
      </w:r>
      <w:r w:rsidR="00EB3D20" w:rsidRPr="00832218">
        <w:t>-</w:t>
      </w:r>
      <w:r w:rsidR="00E479BC" w:rsidRPr="00832218">
        <w:t xml:space="preserve">level </w:t>
      </w:r>
      <w:r w:rsidR="00E479BC" w:rsidRPr="00832218">
        <w:rPr>
          <w:lang w:val="en-GB"/>
        </w:rPr>
        <w:t>percent below the poverty level</w:t>
      </w:r>
      <w:r w:rsidR="00E479BC" w:rsidRPr="00832218">
        <w:t xml:space="preserve">, </w:t>
      </w:r>
      <w:r w:rsidR="00E479BC" w:rsidRPr="00832218">
        <w:rPr>
          <w:lang w:val="en-GB"/>
        </w:rPr>
        <w:t>median home value</w:t>
      </w:r>
      <w:r w:rsidR="00EB3D20" w:rsidRPr="00832218">
        <w:rPr>
          <w:lang w:val="en-GB"/>
        </w:rPr>
        <w:t>,</w:t>
      </w:r>
      <w:r w:rsidR="00E479BC" w:rsidRPr="00832218">
        <w:rPr>
          <w:lang w:val="en-GB"/>
        </w:rPr>
        <w:t xml:space="preserve"> and median household income</w:t>
      </w:r>
      <w:r w:rsidR="00251B3B" w:rsidRPr="00832218">
        <w:rPr>
          <w:lang w:val="en-GB"/>
        </w:rPr>
        <w:t>.</w:t>
      </w:r>
      <w:r w:rsidRPr="00832218">
        <w:rPr>
          <w:lang w:val="en-GB"/>
        </w:rPr>
        <w:t xml:space="preserve"> For sensitivity analyses</w:t>
      </w:r>
      <w:bookmarkEnd w:id="4"/>
      <w:bookmarkEnd w:id="5"/>
      <w:r w:rsidRPr="00832218">
        <w:rPr>
          <w:lang w:val="en-GB"/>
        </w:rPr>
        <w:t>,</w:t>
      </w:r>
      <w:r w:rsidR="00E479BC" w:rsidRPr="00832218">
        <w:t xml:space="preserve"> </w:t>
      </w:r>
      <w:r w:rsidRPr="00832218">
        <w:t>w</w:t>
      </w:r>
      <w:r w:rsidR="00E479BC" w:rsidRPr="00832218">
        <w:t xml:space="preserve">e excluded </w:t>
      </w:r>
      <w:r w:rsidR="005C5B5B" w:rsidRPr="00832218">
        <w:t xml:space="preserve">beneficiaries </w:t>
      </w:r>
      <w:r w:rsidR="00E479BC" w:rsidRPr="00832218">
        <w:t xml:space="preserve">who had their first </w:t>
      </w:r>
      <w:r w:rsidR="005C5B5B" w:rsidRPr="00832218">
        <w:t xml:space="preserve">CVD or RSD </w:t>
      </w:r>
      <w:r w:rsidR="00E479BC" w:rsidRPr="00832218">
        <w:t>hospital admission within the first year of their follow-up and all records in the year 2000</w:t>
      </w:r>
      <w:r w:rsidR="002B3F0C" w:rsidRPr="00832218">
        <w:t>, to exclude potential prevalent CVD or RSD cases</w:t>
      </w:r>
      <w:r w:rsidR="00E479BC" w:rsidRPr="00832218">
        <w:t>. W</w:t>
      </w:r>
      <w:r w:rsidR="005143E1" w:rsidRPr="00832218">
        <w:t>e ran single-exposure models</w:t>
      </w:r>
      <w:r w:rsidR="00E479BC" w:rsidRPr="00832218">
        <w:t xml:space="preserve"> </w:t>
      </w:r>
      <w:r w:rsidR="00EB3D20" w:rsidRPr="00832218">
        <w:t xml:space="preserve">and </w:t>
      </w:r>
      <w:r w:rsidR="003E3CD9" w:rsidRPr="00832218">
        <w:t xml:space="preserve">additionally adjusted for </w:t>
      </w:r>
      <w:r w:rsidR="00251B3B" w:rsidRPr="00832218">
        <w:t xml:space="preserve">zip code level </w:t>
      </w:r>
      <w:r w:rsidR="0066661E" w:rsidRPr="00832218">
        <w:t>NO</w:t>
      </w:r>
      <w:r w:rsidR="0066661E" w:rsidRPr="00832218">
        <w:rPr>
          <w:vertAlign w:val="subscript"/>
        </w:rPr>
        <w:t>2</w:t>
      </w:r>
      <w:r w:rsidR="00251B3B" w:rsidRPr="00832218">
        <w:t xml:space="preserve"> and</w:t>
      </w:r>
      <w:r w:rsidR="0066661E" w:rsidRPr="00832218">
        <w:t xml:space="preserve"> PM</w:t>
      </w:r>
      <w:r w:rsidR="0066661E" w:rsidRPr="00832218">
        <w:rPr>
          <w:vertAlign w:val="subscript"/>
        </w:rPr>
        <w:t>2.5</w:t>
      </w:r>
      <w:r w:rsidR="00EB3D20" w:rsidRPr="00832218">
        <w:t>.</w:t>
      </w:r>
      <w:r w:rsidR="005143E1" w:rsidRPr="00832218">
        <w:t xml:space="preserve"> </w:t>
      </w:r>
      <w:r w:rsidR="00EB3D20" w:rsidRPr="00832218">
        <w:t xml:space="preserve">We also examined </w:t>
      </w:r>
      <w:r w:rsidR="007D6470" w:rsidRPr="00832218">
        <w:t xml:space="preserve">percent </w:t>
      </w:r>
      <w:r w:rsidR="005143E1" w:rsidRPr="00832218">
        <w:t xml:space="preserve">blue space </w:t>
      </w:r>
      <w:r w:rsidR="007D6470" w:rsidRPr="00832218">
        <w:t xml:space="preserve">cover </w:t>
      </w:r>
      <w:r w:rsidR="005143E1" w:rsidRPr="00832218">
        <w:t>without a 1000m buffer.</w:t>
      </w:r>
      <w:r w:rsidR="00E479BC" w:rsidRPr="00832218">
        <w:t xml:space="preserve">    </w:t>
      </w:r>
    </w:p>
    <w:p w14:paraId="46A4A915" w14:textId="7992464C" w:rsidR="003075C9" w:rsidRPr="00832218" w:rsidRDefault="005143E1" w:rsidP="00E479BC">
      <w:pPr>
        <w:jc w:val="both"/>
      </w:pPr>
      <w:r w:rsidRPr="00832218">
        <w:t>R software (R Project for Statistical Computing) version 3.6.1</w:t>
      </w:r>
      <w:r w:rsidR="0081464F" w:rsidRPr="00832218">
        <w:t xml:space="preserve"> </w:t>
      </w:r>
      <w:proofErr w:type="gramStart"/>
      <w:r w:rsidR="0081464F" w:rsidRPr="00832218">
        <w:t>were used</w:t>
      </w:r>
      <w:proofErr w:type="gramEnd"/>
      <w:r w:rsidR="0081464F" w:rsidRPr="00832218">
        <w:t xml:space="preserve"> for our analyses</w:t>
      </w:r>
      <w:r w:rsidRPr="00832218">
        <w:t>. The</w:t>
      </w:r>
      <w:r w:rsidR="00E479BC" w:rsidRPr="00832218">
        <w:t xml:space="preserve"> analyses </w:t>
      </w:r>
      <w:proofErr w:type="gramStart"/>
      <w:r w:rsidR="00E479BC" w:rsidRPr="00832218">
        <w:t>were conducted</w:t>
      </w:r>
      <w:proofErr w:type="gramEnd"/>
      <w:r w:rsidR="00E479BC" w:rsidRPr="00832218">
        <w:t xml:space="preserve"> on the Harvard Research Computing Environment, which is supported by the Institute for Quantitative Social Science at Harvard University. </w:t>
      </w:r>
    </w:p>
    <w:p w14:paraId="163116C0" w14:textId="77777777" w:rsidR="00D40CC8" w:rsidRPr="00832218" w:rsidRDefault="00D40CC8" w:rsidP="00D40CC8">
      <w:pPr>
        <w:keepNext/>
        <w:jc w:val="both"/>
        <w:rPr>
          <w:i/>
          <w:iCs/>
          <w:lang w:val="en-GB"/>
        </w:rPr>
      </w:pPr>
      <w:r w:rsidRPr="00832218">
        <w:rPr>
          <w:i/>
          <w:iCs/>
          <w:lang w:val="en-GB"/>
        </w:rPr>
        <w:t>Role of funding source</w:t>
      </w:r>
    </w:p>
    <w:p w14:paraId="744292F2" w14:textId="77777777" w:rsidR="00D40CC8" w:rsidRPr="00832218" w:rsidRDefault="00D40CC8" w:rsidP="00D40CC8">
      <w:pPr>
        <w:keepNext/>
        <w:jc w:val="both"/>
      </w:pPr>
      <w:r w:rsidRPr="00832218">
        <w:t>The funders had no role in the study design; in the collection, analysis and interpretation of data; in the writing of the report; or in the decision to submit the article for publication.</w:t>
      </w:r>
    </w:p>
    <w:p w14:paraId="05AAC54C" w14:textId="77777777" w:rsidR="00A35E7F" w:rsidRPr="00832218" w:rsidRDefault="00A35E7F" w:rsidP="00A35E7F">
      <w:pPr>
        <w:jc w:val="both"/>
        <w:rPr>
          <w:i/>
          <w:iCs/>
          <w:lang w:val="en-GB"/>
        </w:rPr>
      </w:pPr>
      <w:r w:rsidRPr="00832218">
        <w:rPr>
          <w:i/>
          <w:iCs/>
          <w:lang w:val="en-GB"/>
        </w:rPr>
        <w:t>Informed consent</w:t>
      </w:r>
    </w:p>
    <w:p w14:paraId="035FA012" w14:textId="1EDEB354" w:rsidR="00A35E7F" w:rsidRPr="00832218" w:rsidRDefault="00A35E7F" w:rsidP="00A35E7F">
      <w:pPr>
        <w:jc w:val="both"/>
        <w:rPr>
          <w:lang w:val="en-GB"/>
        </w:rPr>
      </w:pPr>
      <w:r w:rsidRPr="00832218">
        <w:rPr>
          <w:lang w:val="en-GB"/>
        </w:rPr>
        <w:t xml:space="preserve">This study </w:t>
      </w:r>
      <w:proofErr w:type="gramStart"/>
      <w:r w:rsidRPr="00832218">
        <w:rPr>
          <w:lang w:val="en-GB"/>
        </w:rPr>
        <w:t>was approved</w:t>
      </w:r>
      <w:proofErr w:type="gramEnd"/>
      <w:r w:rsidRPr="00832218">
        <w:rPr>
          <w:lang w:val="en-GB"/>
        </w:rPr>
        <w:t xml:space="preserve"> by the institutional review board at the Harvard T H Chan School of Public Health and was exempt from informed consent requirements as a study of </w:t>
      </w:r>
      <w:r w:rsidR="00AD6F40" w:rsidRPr="00832218">
        <w:rPr>
          <w:lang w:val="en-GB"/>
        </w:rPr>
        <w:t>existing</w:t>
      </w:r>
      <w:r w:rsidRPr="00832218">
        <w:rPr>
          <w:lang w:val="en-GB"/>
        </w:rPr>
        <w:t xml:space="preserve"> administrative data.</w:t>
      </w:r>
    </w:p>
    <w:p w14:paraId="1AB7D84F" w14:textId="0210693A" w:rsidR="00797EE0" w:rsidRPr="00832218" w:rsidRDefault="003E4AE8" w:rsidP="00AF709B">
      <w:pPr>
        <w:jc w:val="both"/>
        <w:rPr>
          <w:b/>
          <w:bCs/>
        </w:rPr>
      </w:pPr>
      <w:r w:rsidRPr="00832218">
        <w:rPr>
          <w:b/>
          <w:bCs/>
        </w:rPr>
        <w:t>Results</w:t>
      </w:r>
    </w:p>
    <w:p w14:paraId="75F28710" w14:textId="28867C5A" w:rsidR="00D57F94" w:rsidRPr="00832218" w:rsidRDefault="00D57F94" w:rsidP="00AF709B">
      <w:pPr>
        <w:jc w:val="both"/>
      </w:pPr>
      <w:r w:rsidRPr="00832218">
        <w:t xml:space="preserve">In total 63,009,173 </w:t>
      </w:r>
      <w:proofErr w:type="gramStart"/>
      <w:r w:rsidRPr="00832218">
        <w:t>Medicare</w:t>
      </w:r>
      <w:proofErr w:type="gramEnd"/>
      <w:r w:rsidRPr="00832218">
        <w:t xml:space="preserve"> beneficiaries were included in the </w:t>
      </w:r>
      <w:r w:rsidR="008C7BD0" w:rsidRPr="00832218">
        <w:t xml:space="preserve">full </w:t>
      </w:r>
      <w:r w:rsidRPr="00832218">
        <w:t xml:space="preserve">cohort. </w:t>
      </w:r>
      <w:r w:rsidRPr="00832218">
        <w:rPr>
          <w:lang w:val="en-GB"/>
        </w:rPr>
        <w:t>We observed 18,610,833 first CVD hospital admissions in 401,315,016 person years</w:t>
      </w:r>
      <w:r w:rsidRPr="00832218">
        <w:t xml:space="preserve"> and 9,741,9</w:t>
      </w:r>
      <w:r w:rsidR="00D72305" w:rsidRPr="00832218">
        <w:t>92</w:t>
      </w:r>
      <w:r w:rsidRPr="00832218">
        <w:t xml:space="preserve"> first </w:t>
      </w:r>
      <w:r w:rsidR="00C8203B" w:rsidRPr="00832218">
        <w:t>RSD</w:t>
      </w:r>
      <w:r w:rsidRPr="00832218">
        <w:t xml:space="preserve"> hospital admissions in </w:t>
      </w:r>
      <w:r w:rsidR="00D72305" w:rsidRPr="00832218">
        <w:t>453,244</w:t>
      </w:r>
      <w:r w:rsidRPr="00832218">
        <w:t>,75</w:t>
      </w:r>
      <w:r w:rsidR="00D72305" w:rsidRPr="00832218">
        <w:t>6</w:t>
      </w:r>
      <w:r w:rsidRPr="00832218">
        <w:t xml:space="preserve"> person years. The vast majority of the individu</w:t>
      </w:r>
      <w:r w:rsidR="008C7BD0" w:rsidRPr="00832218">
        <w:t xml:space="preserve">als in the </w:t>
      </w:r>
      <w:r w:rsidRPr="00832218">
        <w:t>cohort</w:t>
      </w:r>
      <w:r w:rsidR="008C7BD0" w:rsidRPr="00832218">
        <w:t>s</w:t>
      </w:r>
      <w:r w:rsidRPr="00832218">
        <w:t xml:space="preserve"> w</w:t>
      </w:r>
      <w:r w:rsidR="008C7BD0" w:rsidRPr="00832218">
        <w:t>ere</w:t>
      </w:r>
      <w:r w:rsidRPr="00832218">
        <w:t xml:space="preserve"> </w:t>
      </w:r>
      <w:r w:rsidR="00A80F2C" w:rsidRPr="00832218">
        <w:t>W</w:t>
      </w:r>
      <w:r w:rsidRPr="00832218">
        <w:t xml:space="preserve">hite, not eligible for </w:t>
      </w:r>
      <w:r w:rsidRPr="00832218">
        <w:lastRenderedPageBreak/>
        <w:t>Medicaid</w:t>
      </w:r>
      <w:r w:rsidR="002A576D" w:rsidRPr="00832218">
        <w:t>,</w:t>
      </w:r>
      <w:r w:rsidRPr="00832218">
        <w:t xml:space="preserve"> and between 65-74 years of age when they entered the study</w:t>
      </w:r>
      <w:r w:rsidR="008C7BD0" w:rsidRPr="00832218">
        <w:t xml:space="preserve"> (Table 1)</w:t>
      </w:r>
      <w:r w:rsidRPr="00832218">
        <w:t>.</w:t>
      </w:r>
      <w:r w:rsidR="008C7BD0" w:rsidRPr="00832218">
        <w:t xml:space="preserve"> </w:t>
      </w:r>
      <w:r w:rsidR="00E74EBE" w:rsidRPr="00832218">
        <w:t>Percent p</w:t>
      </w:r>
      <w:r w:rsidR="008C7BD0" w:rsidRPr="00832218">
        <w:t xml:space="preserve">ublic park cover was highest in the </w:t>
      </w:r>
      <w:r w:rsidR="004E7D27" w:rsidRPr="00832218">
        <w:t>western</w:t>
      </w:r>
      <w:r w:rsidR="00EC34A3" w:rsidRPr="00832218">
        <w:t xml:space="preserve"> U.S.</w:t>
      </w:r>
      <w:r w:rsidR="008C7BD0" w:rsidRPr="00832218">
        <w:t>, while greenness was highest in the eastern</w:t>
      </w:r>
      <w:r w:rsidR="00EC34A3" w:rsidRPr="00832218">
        <w:t xml:space="preserve"> U.S.</w:t>
      </w:r>
      <w:r w:rsidR="0043707F" w:rsidRPr="00832218">
        <w:t xml:space="preserve"> (Figure 1)</w:t>
      </w:r>
      <w:r w:rsidR="004C5EC4" w:rsidRPr="00832218">
        <w:t xml:space="preserve">. </w:t>
      </w:r>
      <w:r w:rsidR="00D51548" w:rsidRPr="00832218">
        <w:t>M</w:t>
      </w:r>
      <w:r w:rsidR="0051705E" w:rsidRPr="00832218">
        <w:t xml:space="preserve">edian </w:t>
      </w:r>
      <w:r w:rsidR="00E74EBE" w:rsidRPr="00832218">
        <w:t xml:space="preserve">percent public park cover was </w:t>
      </w:r>
      <w:r w:rsidR="004C5EC4" w:rsidRPr="00832218">
        <w:t>low</w:t>
      </w:r>
      <w:r w:rsidR="00E74EBE" w:rsidRPr="00832218">
        <w:t xml:space="preserve">er </w:t>
      </w:r>
      <w:r w:rsidR="004C5EC4" w:rsidRPr="00832218">
        <w:t>in</w:t>
      </w:r>
      <w:r w:rsidR="00E74EBE" w:rsidRPr="00832218">
        <w:t xml:space="preserve"> the full cohort </w:t>
      </w:r>
      <w:r w:rsidR="0051705E" w:rsidRPr="00832218">
        <w:t>(</w:t>
      </w:r>
      <w:proofErr w:type="gramStart"/>
      <w:r w:rsidR="0051705E" w:rsidRPr="00832218">
        <w:t>7</w:t>
      </w:r>
      <w:r w:rsidR="007377BC" w:rsidRPr="00832218">
        <w:t>·</w:t>
      </w:r>
      <w:proofErr w:type="gramEnd"/>
      <w:r w:rsidR="0051705E" w:rsidRPr="00832218">
        <w:t>5 %</w:t>
      </w:r>
      <w:r w:rsidR="004C5EC4" w:rsidRPr="00832218">
        <w:t xml:space="preserve">) </w:t>
      </w:r>
      <w:r w:rsidR="00D51548" w:rsidRPr="00832218">
        <w:t xml:space="preserve">than </w:t>
      </w:r>
      <w:r w:rsidR="004C5EC4" w:rsidRPr="00832218">
        <w:t>the urban cohort (11</w:t>
      </w:r>
      <w:r w:rsidR="007377BC" w:rsidRPr="00832218">
        <w:t>·</w:t>
      </w:r>
      <w:r w:rsidR="004C5EC4" w:rsidRPr="00832218">
        <w:t>4 %)</w:t>
      </w:r>
      <w:r w:rsidR="00E74EBE" w:rsidRPr="00832218">
        <w:t>, while median greenness was</w:t>
      </w:r>
      <w:r w:rsidR="0051705E" w:rsidRPr="00832218">
        <w:t xml:space="preserve"> </w:t>
      </w:r>
      <w:r w:rsidR="00531657" w:rsidRPr="00832218">
        <w:t>higher in the full cohort (0</w:t>
      </w:r>
      <w:r w:rsidR="007377BC" w:rsidRPr="00832218">
        <w:t>·</w:t>
      </w:r>
      <w:r w:rsidR="00531657" w:rsidRPr="00832218">
        <w:t>52</w:t>
      </w:r>
      <w:r w:rsidR="0051705E" w:rsidRPr="00832218">
        <w:t xml:space="preserve">) </w:t>
      </w:r>
      <w:r w:rsidR="00D51548" w:rsidRPr="00832218">
        <w:t xml:space="preserve">than </w:t>
      </w:r>
      <w:r w:rsidR="0051705E" w:rsidRPr="00832218">
        <w:t>th</w:t>
      </w:r>
      <w:r w:rsidR="00531657" w:rsidRPr="00832218">
        <w:t>e urban cohort (0</w:t>
      </w:r>
      <w:r w:rsidR="007377BC" w:rsidRPr="00832218">
        <w:t>·</w:t>
      </w:r>
      <w:r w:rsidR="00531657" w:rsidRPr="00832218">
        <w:t>39</w:t>
      </w:r>
      <w:r w:rsidR="0051705E" w:rsidRPr="00832218">
        <w:t xml:space="preserve">). </w:t>
      </w:r>
      <w:r w:rsidR="00C928D3" w:rsidRPr="00832218">
        <w:t>Greenness</w:t>
      </w:r>
      <w:r w:rsidR="008C7BD0" w:rsidRPr="00832218">
        <w:t xml:space="preserve"> was</w:t>
      </w:r>
      <w:r w:rsidR="00C928D3" w:rsidRPr="00832218">
        <w:t xml:space="preserve"> weakly negatively correlated with </w:t>
      </w:r>
      <w:r w:rsidR="007D6470" w:rsidRPr="00832218">
        <w:t xml:space="preserve">percent </w:t>
      </w:r>
      <w:r w:rsidR="00C928D3" w:rsidRPr="00832218">
        <w:t xml:space="preserve">public park cover (Spearman rho = </w:t>
      </w:r>
      <w:r w:rsidR="0051705E" w:rsidRPr="00832218">
        <w:t>-</w:t>
      </w:r>
      <w:proofErr w:type="gramStart"/>
      <w:r w:rsidR="0051705E" w:rsidRPr="00832218">
        <w:t>0</w:t>
      </w:r>
      <w:r w:rsidR="007377BC" w:rsidRPr="00832218">
        <w:t>·</w:t>
      </w:r>
      <w:proofErr w:type="gramEnd"/>
      <w:r w:rsidR="0051705E" w:rsidRPr="00832218">
        <w:t>23</w:t>
      </w:r>
      <w:r w:rsidR="00C928D3" w:rsidRPr="00832218">
        <w:t xml:space="preserve">) and not correlated with </w:t>
      </w:r>
      <w:r w:rsidR="007D6470" w:rsidRPr="00832218">
        <w:t xml:space="preserve">percent </w:t>
      </w:r>
      <w:r w:rsidR="00C928D3" w:rsidRPr="00832218">
        <w:t>blue space</w:t>
      </w:r>
      <w:r w:rsidR="007D6470" w:rsidRPr="00832218">
        <w:t xml:space="preserve"> cover </w:t>
      </w:r>
      <w:r w:rsidR="00C928D3" w:rsidRPr="00832218">
        <w:t>(Spearman Rho = 0</w:t>
      </w:r>
      <w:r w:rsidR="007377BC" w:rsidRPr="00832218">
        <w:t>·</w:t>
      </w:r>
      <w:r w:rsidR="00C928D3" w:rsidRPr="00832218">
        <w:t>0</w:t>
      </w:r>
      <w:r w:rsidR="0051705E" w:rsidRPr="00832218">
        <w:t>0</w:t>
      </w:r>
      <w:r w:rsidR="00FE58EC" w:rsidRPr="00832218">
        <w:t>, Figure S1</w:t>
      </w:r>
      <w:r w:rsidR="00C928D3" w:rsidRPr="00832218">
        <w:t>).</w:t>
      </w:r>
      <w:r w:rsidR="008C7BD0" w:rsidRPr="00832218">
        <w:t xml:space="preserve"> </w:t>
      </w:r>
      <w:r w:rsidR="00251B3B" w:rsidRPr="00832218">
        <w:t xml:space="preserve">In </w:t>
      </w:r>
      <w:r w:rsidR="004C5EC4" w:rsidRPr="00832218">
        <w:t xml:space="preserve">the </w:t>
      </w:r>
      <w:r w:rsidR="00251B3B" w:rsidRPr="00832218">
        <w:t xml:space="preserve">urban </w:t>
      </w:r>
      <w:r w:rsidR="004C5EC4" w:rsidRPr="00832218">
        <w:t>cohort</w:t>
      </w:r>
      <w:r w:rsidR="00251B3B" w:rsidRPr="00832218">
        <w:t xml:space="preserve">, greenness was </w:t>
      </w:r>
      <w:r w:rsidR="00C22817" w:rsidRPr="00832218">
        <w:t>not</w:t>
      </w:r>
      <w:r w:rsidR="0051705E" w:rsidRPr="00832218">
        <w:t xml:space="preserve"> </w:t>
      </w:r>
      <w:r w:rsidR="00251B3B" w:rsidRPr="00832218">
        <w:t xml:space="preserve">correlated with </w:t>
      </w:r>
      <w:r w:rsidR="007D6470" w:rsidRPr="00832218">
        <w:t xml:space="preserve">percent </w:t>
      </w:r>
      <w:r w:rsidR="00251B3B" w:rsidRPr="00832218">
        <w:t>public park</w:t>
      </w:r>
      <w:r w:rsidR="007D6470" w:rsidRPr="00832218">
        <w:t xml:space="preserve"> cover</w:t>
      </w:r>
      <w:r w:rsidR="00251B3B" w:rsidRPr="00832218">
        <w:t xml:space="preserve"> (Spearman rho = </w:t>
      </w:r>
      <w:proofErr w:type="gramStart"/>
      <w:r w:rsidR="00251B3B" w:rsidRPr="00832218">
        <w:t>0</w:t>
      </w:r>
      <w:r w:rsidR="007377BC" w:rsidRPr="00832218">
        <w:t>·</w:t>
      </w:r>
      <w:proofErr w:type="gramEnd"/>
      <w:r w:rsidR="00251B3B" w:rsidRPr="00832218">
        <w:t>03).</w:t>
      </w:r>
      <w:r w:rsidR="008C7BD0" w:rsidRPr="00832218">
        <w:t xml:space="preserve"> </w:t>
      </w:r>
    </w:p>
    <w:p w14:paraId="59F6BB0F" w14:textId="64D456B3" w:rsidR="00DA64CE" w:rsidRPr="00832218" w:rsidRDefault="00DA64CE" w:rsidP="00AF709B">
      <w:pPr>
        <w:jc w:val="both"/>
        <w:rPr>
          <w:i/>
        </w:rPr>
      </w:pPr>
      <w:r w:rsidRPr="00832218">
        <w:rPr>
          <w:i/>
        </w:rPr>
        <w:t>Associations in the full cohort</w:t>
      </w:r>
    </w:p>
    <w:p w14:paraId="07432CE5" w14:textId="38D78305" w:rsidR="00E4474E" w:rsidRPr="00832218" w:rsidRDefault="0082527D" w:rsidP="00AF709B">
      <w:pPr>
        <w:jc w:val="both"/>
      </w:pPr>
      <w:r w:rsidRPr="00832218">
        <w:t>Spline</w:t>
      </w:r>
      <w:r w:rsidR="00133431" w:rsidRPr="00832218">
        <w:t>s</w:t>
      </w:r>
      <w:r w:rsidRPr="00832218">
        <w:t xml:space="preserve"> showed no or small deviations from linearity for </w:t>
      </w:r>
      <w:r w:rsidR="00133431" w:rsidRPr="00832218">
        <w:t>the exposure-response curves</w:t>
      </w:r>
      <w:r w:rsidR="007D6470" w:rsidRPr="00832218">
        <w:t xml:space="preserve"> </w:t>
      </w:r>
      <w:r w:rsidRPr="00832218">
        <w:t>(Figure S</w:t>
      </w:r>
      <w:r w:rsidR="00FE58EC" w:rsidRPr="00832218">
        <w:t>2</w:t>
      </w:r>
      <w:r w:rsidRPr="00832218">
        <w:t xml:space="preserve">). </w:t>
      </w:r>
      <w:r w:rsidR="004635AB" w:rsidRPr="00832218">
        <w:t>W</w:t>
      </w:r>
      <w:r w:rsidR="00C928D3" w:rsidRPr="00832218">
        <w:t xml:space="preserve">e observed negative associations of </w:t>
      </w:r>
      <w:r w:rsidR="0051705E" w:rsidRPr="00832218">
        <w:t xml:space="preserve">percent </w:t>
      </w:r>
      <w:r w:rsidR="00DE299E" w:rsidRPr="00832218">
        <w:t xml:space="preserve">public park </w:t>
      </w:r>
      <w:r w:rsidR="0051705E" w:rsidRPr="00832218">
        <w:t xml:space="preserve">cover </w:t>
      </w:r>
      <w:r w:rsidR="00DE299E" w:rsidRPr="00832218">
        <w:t xml:space="preserve">with CVD and </w:t>
      </w:r>
      <w:r w:rsidR="008E4BC8" w:rsidRPr="00832218">
        <w:t>RSD</w:t>
      </w:r>
      <w:r w:rsidR="00DE299E" w:rsidRPr="00832218">
        <w:t xml:space="preserve"> hospitalizations </w:t>
      </w:r>
      <w:r w:rsidR="004635AB" w:rsidRPr="00832218">
        <w:t>in our minimally adjusted model</w:t>
      </w:r>
      <w:r w:rsidR="00DE299E" w:rsidRPr="00832218">
        <w:t xml:space="preserve"> (</w:t>
      </w:r>
      <w:r w:rsidR="004635AB" w:rsidRPr="00832218">
        <w:t xml:space="preserve">Model 1, </w:t>
      </w:r>
      <w:r w:rsidR="00DE299E" w:rsidRPr="00832218">
        <w:t>Figure S</w:t>
      </w:r>
      <w:r w:rsidR="00FE58EC" w:rsidRPr="00832218">
        <w:t>3</w:t>
      </w:r>
      <w:r w:rsidR="00DE299E" w:rsidRPr="00832218">
        <w:t xml:space="preserve">). After </w:t>
      </w:r>
      <w:r w:rsidR="004635AB" w:rsidRPr="00832218">
        <w:t>adjustment for potential confounders</w:t>
      </w:r>
      <w:r w:rsidR="002A576D" w:rsidRPr="00832218">
        <w:t>,</w:t>
      </w:r>
      <w:r w:rsidR="00DE299E" w:rsidRPr="00832218">
        <w:t xml:space="preserve"> associations </w:t>
      </w:r>
      <w:r w:rsidR="006763F2" w:rsidRPr="00832218">
        <w:t xml:space="preserve">of percent public park cover </w:t>
      </w:r>
      <w:r w:rsidR="00FF1DED" w:rsidRPr="00832218">
        <w:t>attenuate</w:t>
      </w:r>
      <w:r w:rsidR="00431A3E" w:rsidRPr="00832218">
        <w:t>d</w:t>
      </w:r>
      <w:r w:rsidR="00FF1DED" w:rsidRPr="00832218">
        <w:t xml:space="preserve"> to null</w:t>
      </w:r>
      <w:r w:rsidR="004635AB" w:rsidRPr="00832218">
        <w:t xml:space="preserve"> </w:t>
      </w:r>
      <w:r w:rsidR="005F585D" w:rsidRPr="00832218">
        <w:t>(Table 2)</w:t>
      </w:r>
      <w:r w:rsidR="00CE2C60" w:rsidRPr="00832218">
        <w:t>.</w:t>
      </w:r>
      <w:r w:rsidR="00251B3B" w:rsidRPr="00832218">
        <w:t xml:space="preserve"> </w:t>
      </w:r>
      <w:r w:rsidR="00891174" w:rsidRPr="00832218" w:rsidDel="00484498">
        <w:t xml:space="preserve">For greenness, </w:t>
      </w:r>
      <w:r w:rsidR="00251B3B" w:rsidRPr="00832218" w:rsidDel="00484498">
        <w:t xml:space="preserve">we observed </w:t>
      </w:r>
      <w:r w:rsidR="00CF3920" w:rsidRPr="00832218" w:rsidDel="00484498">
        <w:t xml:space="preserve">weak </w:t>
      </w:r>
      <w:r w:rsidR="00251B3B" w:rsidRPr="00832218" w:rsidDel="00484498">
        <w:t>positive associations</w:t>
      </w:r>
      <w:r w:rsidR="00803607" w:rsidRPr="00832218" w:rsidDel="00484498">
        <w:t xml:space="preserve"> </w:t>
      </w:r>
      <w:r w:rsidR="008E4BC8" w:rsidRPr="00832218" w:rsidDel="00484498">
        <w:t>with CVD and R</w:t>
      </w:r>
      <w:r w:rsidR="00251B3B" w:rsidRPr="00832218" w:rsidDel="00484498">
        <w:t>S</w:t>
      </w:r>
      <w:r w:rsidR="008E4BC8" w:rsidRPr="00832218" w:rsidDel="00484498">
        <w:t>D</w:t>
      </w:r>
      <w:r w:rsidR="00251B3B" w:rsidRPr="00832218" w:rsidDel="00484498">
        <w:t xml:space="preserve"> hospitalization </w:t>
      </w:r>
      <w:r w:rsidR="008E4BC8" w:rsidRPr="00832218" w:rsidDel="00484498">
        <w:t xml:space="preserve">in </w:t>
      </w:r>
      <w:r w:rsidR="004635AB" w:rsidRPr="00832218" w:rsidDel="00484498">
        <w:t>our minimally adjusted model</w:t>
      </w:r>
      <w:r w:rsidR="00251B3B" w:rsidRPr="00832218" w:rsidDel="00484498">
        <w:t>.</w:t>
      </w:r>
      <w:r w:rsidR="00981B42" w:rsidRPr="00832218" w:rsidDel="00484498">
        <w:t xml:space="preserve"> </w:t>
      </w:r>
      <w:r w:rsidR="00CF3920" w:rsidRPr="00832218" w:rsidDel="00484498">
        <w:t xml:space="preserve">In the fully adjusted model (Model 5), we </w:t>
      </w:r>
      <w:r w:rsidR="00965C0F" w:rsidRPr="00832218" w:rsidDel="00484498">
        <w:t>foun</w:t>
      </w:r>
      <w:r w:rsidR="00CF3920" w:rsidRPr="00832218" w:rsidDel="00484498">
        <w:t xml:space="preserve">d </w:t>
      </w:r>
      <w:r w:rsidR="00965C0F" w:rsidRPr="00832218" w:rsidDel="00484498">
        <w:t xml:space="preserve">negative </w:t>
      </w:r>
      <w:r w:rsidR="00CF3920" w:rsidRPr="00832218" w:rsidDel="00484498">
        <w:t>a</w:t>
      </w:r>
      <w:r w:rsidR="008E4BC8" w:rsidRPr="00832218" w:rsidDel="00484498">
        <w:t>ssociations of greenness with CVD</w:t>
      </w:r>
      <w:r w:rsidR="00D51548" w:rsidRPr="00832218" w:rsidDel="00484498">
        <w:t xml:space="preserve"> hospitalization</w:t>
      </w:r>
      <w:r w:rsidR="008E4BC8" w:rsidRPr="00832218" w:rsidDel="00484498">
        <w:t xml:space="preserve"> </w:t>
      </w:r>
      <w:r w:rsidR="00D51978" w:rsidRPr="00832218" w:rsidDel="00484498">
        <w:t>(</w:t>
      </w:r>
      <w:r w:rsidR="00533D42" w:rsidRPr="00832218" w:rsidDel="00484498">
        <w:t xml:space="preserve">HR: </w:t>
      </w:r>
      <w:proofErr w:type="gramStart"/>
      <w:r w:rsidR="00533D42" w:rsidRPr="00832218" w:rsidDel="00484498">
        <w:t>0·</w:t>
      </w:r>
      <w:proofErr w:type="gramEnd"/>
      <w:r w:rsidR="00533D42" w:rsidRPr="00832218" w:rsidDel="00484498">
        <w:t xml:space="preserve">97, 95%CI: 0·96, 0·97, per IQR increase) </w:t>
      </w:r>
      <w:r w:rsidR="00CF3920" w:rsidRPr="00832218" w:rsidDel="00484498">
        <w:t xml:space="preserve">but not </w:t>
      </w:r>
      <w:r w:rsidR="00430859" w:rsidRPr="00832218" w:rsidDel="00484498">
        <w:t xml:space="preserve">with </w:t>
      </w:r>
      <w:r w:rsidR="00CF3920" w:rsidRPr="00832218" w:rsidDel="00484498">
        <w:t>RSD hospitalization</w:t>
      </w:r>
      <w:r w:rsidR="00031B31" w:rsidRPr="00832218" w:rsidDel="00484498">
        <w:t xml:space="preserve"> </w:t>
      </w:r>
      <w:r w:rsidR="00AB5B22" w:rsidRPr="00832218" w:rsidDel="00484498">
        <w:t>(HR: 0·99, 95%CI: 0·98, 1·00, per IQR increase)</w:t>
      </w:r>
      <w:r w:rsidR="008E4BC8" w:rsidRPr="00832218" w:rsidDel="00484498">
        <w:t xml:space="preserve">. </w:t>
      </w:r>
      <w:r w:rsidR="00965C0F" w:rsidRPr="00832218">
        <w:t>P</w:t>
      </w:r>
      <w:r w:rsidR="007D6470" w:rsidRPr="00832218">
        <w:t xml:space="preserve">ercent </w:t>
      </w:r>
      <w:r w:rsidR="00803607" w:rsidRPr="00832218">
        <w:t xml:space="preserve">blue space </w:t>
      </w:r>
      <w:r w:rsidR="007D6470" w:rsidRPr="00832218">
        <w:t xml:space="preserve">cover </w:t>
      </w:r>
      <w:r w:rsidR="00965C0F" w:rsidRPr="00832218">
        <w:t xml:space="preserve">was not associated </w:t>
      </w:r>
      <w:r w:rsidR="00803607" w:rsidRPr="00832218">
        <w:t>with CVD or RS</w:t>
      </w:r>
      <w:r w:rsidR="008E4BC8" w:rsidRPr="00832218">
        <w:t>D</w:t>
      </w:r>
      <w:r w:rsidR="00803607" w:rsidRPr="00832218">
        <w:t xml:space="preserve"> hospit</w:t>
      </w:r>
      <w:r w:rsidR="00E4474E" w:rsidRPr="00832218">
        <w:t xml:space="preserve">alization. </w:t>
      </w:r>
    </w:p>
    <w:p w14:paraId="38343B5B" w14:textId="6AA35C03" w:rsidR="00C5548F" w:rsidRPr="00832218" w:rsidRDefault="00C55E24" w:rsidP="00AF709B">
      <w:pPr>
        <w:jc w:val="both"/>
      </w:pPr>
      <w:r w:rsidRPr="00832218">
        <w:t xml:space="preserve">In general, </w:t>
      </w:r>
      <w:r w:rsidR="006D20FB" w:rsidRPr="00832218">
        <w:t>for percent public park</w:t>
      </w:r>
      <w:r w:rsidR="007D6470" w:rsidRPr="00832218">
        <w:t xml:space="preserve"> cover</w:t>
      </w:r>
      <w:r w:rsidR="00DE1653" w:rsidRPr="00832218">
        <w:t xml:space="preserve"> and percent blue space cover</w:t>
      </w:r>
      <w:r w:rsidR="006D20FB" w:rsidRPr="00832218">
        <w:t xml:space="preserve">, we did not observe </w:t>
      </w:r>
      <w:r w:rsidR="00312D2E" w:rsidRPr="00832218">
        <w:t xml:space="preserve">a clear </w:t>
      </w:r>
      <w:r w:rsidR="0087167C" w:rsidRPr="00832218">
        <w:t xml:space="preserve">pattern of </w:t>
      </w:r>
      <w:r w:rsidR="006D20FB" w:rsidRPr="00832218">
        <w:t>effect modification</w:t>
      </w:r>
      <w:r w:rsidR="00DE1653" w:rsidRPr="00832218">
        <w:t xml:space="preserve"> by individual demographics (Figure 2) or </w:t>
      </w:r>
      <w:proofErr w:type="spellStart"/>
      <w:r w:rsidR="00DE1653" w:rsidRPr="00832218">
        <w:t>nSES</w:t>
      </w:r>
      <w:proofErr w:type="spellEnd"/>
      <w:r w:rsidR="00DE1653" w:rsidRPr="00832218">
        <w:t xml:space="preserve"> (Figure 3)</w:t>
      </w:r>
      <w:r w:rsidR="00B461FC" w:rsidRPr="00832218">
        <w:t xml:space="preserve"> for CVD </w:t>
      </w:r>
      <w:r w:rsidR="00A510B0" w:rsidRPr="00832218">
        <w:t>and RSD hospitalization</w:t>
      </w:r>
      <w:r w:rsidR="002F7349" w:rsidRPr="00832218">
        <w:t xml:space="preserve">. </w:t>
      </w:r>
      <w:r w:rsidR="00BF24C6" w:rsidRPr="00832218">
        <w:t>Negative a</w:t>
      </w:r>
      <w:r w:rsidR="00E42C8F" w:rsidRPr="00832218">
        <w:t xml:space="preserve">ssociations of greenness with CVD hospitalization were </w:t>
      </w:r>
      <w:r w:rsidR="00415643" w:rsidRPr="00832218">
        <w:t xml:space="preserve">stronger </w:t>
      </w:r>
      <w:r w:rsidR="009A2127" w:rsidRPr="00832218">
        <w:t>for</w:t>
      </w:r>
      <w:r w:rsidR="00415643" w:rsidRPr="00832218">
        <w:t xml:space="preserve"> individuals 85+ compared to 65+ or 75+ years</w:t>
      </w:r>
      <w:r w:rsidR="009A2127" w:rsidRPr="00832218">
        <w:t xml:space="preserve">, </w:t>
      </w:r>
      <w:r w:rsidR="00415643" w:rsidRPr="00832218">
        <w:t xml:space="preserve">and for </w:t>
      </w:r>
      <w:r w:rsidR="009A2127" w:rsidRPr="00832218">
        <w:t>individua</w:t>
      </w:r>
      <w:r w:rsidR="008F17ED" w:rsidRPr="00832218">
        <w:t>ls not eligible for Medicaid</w:t>
      </w:r>
      <w:r w:rsidR="00415643" w:rsidRPr="00832218">
        <w:t xml:space="preserve"> compared to individuals eligible. We observed negative</w:t>
      </w:r>
      <w:r w:rsidR="009A2127" w:rsidRPr="00832218">
        <w:t xml:space="preserve"> associations </w:t>
      </w:r>
      <w:r w:rsidR="007D6470" w:rsidRPr="00832218">
        <w:t xml:space="preserve">of greenness </w:t>
      </w:r>
      <w:r w:rsidR="009A2127" w:rsidRPr="00832218">
        <w:t xml:space="preserve">with CVD hospitalization </w:t>
      </w:r>
      <w:r w:rsidR="00415643" w:rsidRPr="00832218">
        <w:t xml:space="preserve">for White and Black individuals, but positive associations for </w:t>
      </w:r>
      <w:r w:rsidR="009A2127" w:rsidRPr="00832218">
        <w:t xml:space="preserve">individuals </w:t>
      </w:r>
      <w:r w:rsidR="00DE1653" w:rsidRPr="00832218">
        <w:t xml:space="preserve">of </w:t>
      </w:r>
      <w:r w:rsidR="009A2127" w:rsidRPr="00832218">
        <w:t>unknown</w:t>
      </w:r>
      <w:r w:rsidR="00DE1653" w:rsidRPr="00832218">
        <w:t>/</w:t>
      </w:r>
      <w:r w:rsidR="009A2127" w:rsidRPr="00832218">
        <w:t xml:space="preserve">other race. </w:t>
      </w:r>
      <w:r w:rsidR="00415643" w:rsidRPr="00832218">
        <w:t xml:space="preserve">Further, negative associations </w:t>
      </w:r>
      <w:proofErr w:type="gramStart"/>
      <w:r w:rsidR="00415643" w:rsidRPr="00832218">
        <w:t>were observed</w:t>
      </w:r>
      <w:proofErr w:type="gramEnd"/>
      <w:r w:rsidR="00415643" w:rsidRPr="00832218">
        <w:t xml:space="preserve"> for individuals living in the West and Northeast and positive in the South. </w:t>
      </w:r>
      <w:r w:rsidR="008562A7" w:rsidRPr="00832218">
        <w:t xml:space="preserve">For RSD hospitalization, we </w:t>
      </w:r>
      <w:r w:rsidR="008F17ED" w:rsidRPr="00832218">
        <w:t xml:space="preserve">observed </w:t>
      </w:r>
      <w:r w:rsidR="00415643" w:rsidRPr="00832218">
        <w:t xml:space="preserve">negative </w:t>
      </w:r>
      <w:r w:rsidR="00E42C8F" w:rsidRPr="00832218">
        <w:t>associations</w:t>
      </w:r>
      <w:r w:rsidR="007D6470" w:rsidRPr="00832218">
        <w:t xml:space="preserve"> of greenness </w:t>
      </w:r>
      <w:r w:rsidR="008562A7" w:rsidRPr="00832218">
        <w:t xml:space="preserve">for </w:t>
      </w:r>
      <w:r w:rsidR="00415643" w:rsidRPr="00832218">
        <w:t>fe</w:t>
      </w:r>
      <w:r w:rsidR="008562A7" w:rsidRPr="00832218">
        <w:t xml:space="preserve">males, </w:t>
      </w:r>
      <w:r w:rsidR="00415643" w:rsidRPr="00832218">
        <w:t xml:space="preserve">Black </w:t>
      </w:r>
      <w:r w:rsidR="008562A7" w:rsidRPr="00832218">
        <w:t>individuals</w:t>
      </w:r>
      <w:r w:rsidR="00A80B0D" w:rsidRPr="00832218">
        <w:t>,</w:t>
      </w:r>
      <w:r w:rsidR="00C5548F" w:rsidRPr="00832218">
        <w:t xml:space="preserve"> and individuals living in the </w:t>
      </w:r>
      <w:r w:rsidR="00415643" w:rsidRPr="00832218">
        <w:t>West</w:t>
      </w:r>
      <w:r w:rsidR="00C5548F" w:rsidRPr="00832218">
        <w:t xml:space="preserve"> or </w:t>
      </w:r>
      <w:r w:rsidR="0046326F" w:rsidRPr="00832218">
        <w:t>Midwest</w:t>
      </w:r>
      <w:r w:rsidR="008562A7" w:rsidRPr="00832218">
        <w:t xml:space="preserve">. </w:t>
      </w:r>
      <w:r w:rsidR="00EF2AC4" w:rsidRPr="00832218">
        <w:t>A</w:t>
      </w:r>
      <w:r w:rsidR="002F7349" w:rsidRPr="00832218">
        <w:t>ssociations of greenness with</w:t>
      </w:r>
      <w:r w:rsidR="0046326F" w:rsidRPr="00832218">
        <w:t xml:space="preserve"> CVD hospitalization became stronger with decreasing </w:t>
      </w:r>
      <w:r w:rsidR="002F7349" w:rsidRPr="00832218">
        <w:rPr>
          <w:lang w:val="en-GB"/>
        </w:rPr>
        <w:t>percent below the poverty level</w:t>
      </w:r>
      <w:r w:rsidR="0046326F" w:rsidRPr="00832218">
        <w:rPr>
          <w:lang w:val="en-GB"/>
        </w:rPr>
        <w:t xml:space="preserve">s </w:t>
      </w:r>
      <w:r w:rsidR="002F7349" w:rsidRPr="00832218">
        <w:rPr>
          <w:lang w:val="en-GB"/>
        </w:rPr>
        <w:t>(Figure 3)</w:t>
      </w:r>
      <w:r w:rsidR="002F7349" w:rsidRPr="00832218">
        <w:t xml:space="preserve">. </w:t>
      </w:r>
    </w:p>
    <w:p w14:paraId="78D004B7" w14:textId="47680F1D" w:rsidR="00DA64CE" w:rsidRPr="00832218" w:rsidRDefault="00DA64CE" w:rsidP="00AF709B">
      <w:pPr>
        <w:jc w:val="both"/>
        <w:rPr>
          <w:i/>
        </w:rPr>
      </w:pPr>
      <w:r w:rsidRPr="00832218">
        <w:rPr>
          <w:i/>
        </w:rPr>
        <w:t>Associations in the urban cohort</w:t>
      </w:r>
    </w:p>
    <w:p w14:paraId="3BE5D964" w14:textId="77777777" w:rsidR="001D6765" w:rsidRPr="00832218" w:rsidRDefault="00542FAC" w:rsidP="00AF709B">
      <w:pPr>
        <w:jc w:val="both"/>
      </w:pPr>
      <w:r w:rsidRPr="00832218">
        <w:t xml:space="preserve">Associations of </w:t>
      </w:r>
      <w:r w:rsidR="005F585D" w:rsidRPr="00832218">
        <w:t xml:space="preserve">percent public park cover </w:t>
      </w:r>
      <w:r w:rsidRPr="00832218">
        <w:t>with CVD and RSD hospitalization</w:t>
      </w:r>
      <w:r w:rsidR="00413723" w:rsidRPr="00832218">
        <w:t xml:space="preserve"> in urban areas</w:t>
      </w:r>
      <w:r w:rsidRPr="00832218">
        <w:t xml:space="preserve"> </w:t>
      </w:r>
      <w:r w:rsidR="00FE58EC" w:rsidRPr="00832218">
        <w:t xml:space="preserve">were negative in </w:t>
      </w:r>
      <w:r w:rsidR="00006FE7" w:rsidRPr="00832218">
        <w:t>our minimally adjusted model</w:t>
      </w:r>
      <w:r w:rsidR="000002F3" w:rsidRPr="00832218">
        <w:t xml:space="preserve"> </w:t>
      </w:r>
      <w:r w:rsidR="00EF2AC4" w:rsidRPr="00832218">
        <w:t xml:space="preserve">and </w:t>
      </w:r>
      <w:r w:rsidR="00C60DEE" w:rsidRPr="00832218">
        <w:t xml:space="preserve">attenuated </w:t>
      </w:r>
      <w:r w:rsidR="003245C0" w:rsidRPr="00832218">
        <w:t>after adju</w:t>
      </w:r>
      <w:r w:rsidR="00FE58EC" w:rsidRPr="00832218">
        <w:t>stment for potential confounder</w:t>
      </w:r>
      <w:r w:rsidR="008C6719" w:rsidRPr="00832218">
        <w:t>s</w:t>
      </w:r>
      <w:r w:rsidR="00006FE7" w:rsidRPr="00832218">
        <w:t xml:space="preserve"> </w:t>
      </w:r>
      <w:r w:rsidR="005F585D" w:rsidRPr="00832218">
        <w:t>(</w:t>
      </w:r>
      <w:r w:rsidR="00FE58EC" w:rsidRPr="00832218">
        <w:t>Figure S3, Table 2</w:t>
      </w:r>
      <w:r w:rsidR="005F585D" w:rsidRPr="00832218">
        <w:t>)</w:t>
      </w:r>
      <w:r w:rsidRPr="00832218">
        <w:t xml:space="preserve">. </w:t>
      </w:r>
      <w:r w:rsidR="00006FE7" w:rsidRPr="00832218">
        <w:t>G</w:t>
      </w:r>
      <w:r w:rsidR="00DD5F95" w:rsidRPr="00832218">
        <w:t>reenness was negatively associated with CVD hospitalization and positively associated with RSD hospitalization</w:t>
      </w:r>
      <w:r w:rsidR="00006FE7" w:rsidRPr="00832218">
        <w:t xml:space="preserve"> in our fully adjusted model</w:t>
      </w:r>
      <w:r w:rsidR="00DD5F95" w:rsidRPr="00832218">
        <w:t xml:space="preserve">. </w:t>
      </w:r>
      <w:r w:rsidR="008C6719" w:rsidRPr="00832218">
        <w:t>N</w:t>
      </w:r>
      <w:r w:rsidRPr="00832218">
        <w:t xml:space="preserve">o associations for </w:t>
      </w:r>
      <w:r w:rsidR="00FE58EC" w:rsidRPr="00832218">
        <w:t xml:space="preserve">percent </w:t>
      </w:r>
      <w:r w:rsidRPr="00832218">
        <w:t xml:space="preserve">blue space </w:t>
      </w:r>
      <w:r w:rsidR="007D6470" w:rsidRPr="00832218">
        <w:t xml:space="preserve">cover </w:t>
      </w:r>
      <w:proofErr w:type="gramStart"/>
      <w:r w:rsidRPr="00832218">
        <w:t>were observed</w:t>
      </w:r>
      <w:proofErr w:type="gramEnd"/>
      <w:r w:rsidRPr="00832218">
        <w:t xml:space="preserve"> in urban areas.</w:t>
      </w:r>
      <w:r w:rsidR="00C54768" w:rsidRPr="00832218">
        <w:t xml:space="preserve"> </w:t>
      </w:r>
    </w:p>
    <w:p w14:paraId="790FDC5A" w14:textId="4E876977" w:rsidR="00542FAC" w:rsidRPr="00832218" w:rsidRDefault="000002F3" w:rsidP="00AF709B">
      <w:pPr>
        <w:jc w:val="both"/>
      </w:pPr>
      <w:r w:rsidRPr="00832218">
        <w:t>P</w:t>
      </w:r>
      <w:r w:rsidR="007D6470" w:rsidRPr="00832218">
        <w:t xml:space="preserve">ercent </w:t>
      </w:r>
      <w:r w:rsidR="00542FAC" w:rsidRPr="00832218">
        <w:t>public park</w:t>
      </w:r>
      <w:r w:rsidR="007D6470" w:rsidRPr="00832218">
        <w:t xml:space="preserve"> cover</w:t>
      </w:r>
      <w:r w:rsidR="00542FAC" w:rsidRPr="00832218">
        <w:t xml:space="preserve"> </w:t>
      </w:r>
      <w:r w:rsidRPr="00832218">
        <w:t xml:space="preserve">was negatively associated </w:t>
      </w:r>
      <w:r w:rsidR="00542FAC" w:rsidRPr="00832218">
        <w:t xml:space="preserve">with CVD and RSD hospitalization </w:t>
      </w:r>
      <w:r w:rsidR="002D2CA2" w:rsidRPr="00832218">
        <w:t>for Medicaid eligible individuals, individuals with an unknown or other race</w:t>
      </w:r>
      <w:r w:rsidR="00413723" w:rsidRPr="00832218">
        <w:t>,</w:t>
      </w:r>
      <w:r w:rsidR="002D2CA2" w:rsidRPr="00832218">
        <w:t xml:space="preserve"> and individuals living in the lowest median household income </w:t>
      </w:r>
      <w:proofErr w:type="spellStart"/>
      <w:r w:rsidR="002D2CA2" w:rsidRPr="00832218">
        <w:t>tertile</w:t>
      </w:r>
      <w:proofErr w:type="spellEnd"/>
      <w:r w:rsidR="002D2CA2" w:rsidRPr="00832218">
        <w:t xml:space="preserve"> and in the highest percent below poverty </w:t>
      </w:r>
      <w:proofErr w:type="spellStart"/>
      <w:r w:rsidR="002D2CA2" w:rsidRPr="00832218">
        <w:t>tertile</w:t>
      </w:r>
      <w:proofErr w:type="spellEnd"/>
      <w:r w:rsidR="005F585D" w:rsidRPr="00832218">
        <w:t xml:space="preserve"> (Figure S</w:t>
      </w:r>
      <w:r w:rsidR="008F34E8" w:rsidRPr="00832218">
        <w:t>4</w:t>
      </w:r>
      <w:r w:rsidR="005F585D" w:rsidRPr="00832218">
        <w:t xml:space="preserve"> and S</w:t>
      </w:r>
      <w:r w:rsidR="008F34E8" w:rsidRPr="00832218">
        <w:t>5</w:t>
      </w:r>
      <w:r w:rsidR="005F585D" w:rsidRPr="00832218">
        <w:t>)</w:t>
      </w:r>
      <w:r w:rsidR="00542FAC" w:rsidRPr="00832218">
        <w:t>. In urban areas,</w:t>
      </w:r>
      <w:r w:rsidR="00D37ABA" w:rsidRPr="00832218">
        <w:t xml:space="preserve"> negative</w:t>
      </w:r>
      <w:r w:rsidR="00542FAC" w:rsidRPr="00832218">
        <w:t xml:space="preserve"> associations </w:t>
      </w:r>
      <w:r w:rsidR="005F585D" w:rsidRPr="00832218">
        <w:t xml:space="preserve">of greenness </w:t>
      </w:r>
      <w:r w:rsidR="00542FAC" w:rsidRPr="00832218">
        <w:t xml:space="preserve">with CVD hospitalization </w:t>
      </w:r>
      <w:r w:rsidR="00DD5F95" w:rsidRPr="00832218">
        <w:t>were stronge</w:t>
      </w:r>
      <w:r w:rsidR="00700889" w:rsidRPr="00832218">
        <w:t>r</w:t>
      </w:r>
      <w:r w:rsidR="00DD5F95" w:rsidRPr="00832218">
        <w:t xml:space="preserve"> for the elderly and individuals not eligible for Medicaid, no association </w:t>
      </w:r>
      <w:proofErr w:type="gramStart"/>
      <w:r w:rsidR="00DD5F95" w:rsidRPr="00832218">
        <w:t>was observed</w:t>
      </w:r>
      <w:proofErr w:type="gramEnd"/>
      <w:r w:rsidR="00DD5F95" w:rsidRPr="00832218">
        <w:t xml:space="preserve"> for individuals eligible for Medicaid.</w:t>
      </w:r>
      <w:r w:rsidR="00542FAC" w:rsidRPr="00832218">
        <w:t xml:space="preserve"> </w:t>
      </w:r>
      <w:r w:rsidR="008F34E8" w:rsidRPr="00832218">
        <w:t>W</w:t>
      </w:r>
      <w:r w:rsidR="005F585D" w:rsidRPr="00832218">
        <w:t xml:space="preserve">e observed positive </w:t>
      </w:r>
      <w:r w:rsidR="00542FAC" w:rsidRPr="00832218">
        <w:t xml:space="preserve">associations </w:t>
      </w:r>
      <w:r w:rsidR="008F34E8" w:rsidRPr="00832218">
        <w:t xml:space="preserve">of greenness </w:t>
      </w:r>
      <w:r w:rsidR="00542FAC" w:rsidRPr="00832218">
        <w:t>with RSD hospitalization for males, younger</w:t>
      </w:r>
      <w:r w:rsidR="007A4170" w:rsidRPr="00832218">
        <w:t>,</w:t>
      </w:r>
      <w:r w:rsidR="00542FAC" w:rsidRPr="00832218">
        <w:t xml:space="preserve"> </w:t>
      </w:r>
      <w:r w:rsidR="00C07492" w:rsidRPr="00832218">
        <w:t xml:space="preserve">Medicaid </w:t>
      </w:r>
      <w:proofErr w:type="gramStart"/>
      <w:r w:rsidR="00C07492" w:rsidRPr="00832218">
        <w:t>eligible,</w:t>
      </w:r>
      <w:proofErr w:type="gramEnd"/>
      <w:r w:rsidR="00C07492" w:rsidRPr="00832218">
        <w:t xml:space="preserve"> </w:t>
      </w:r>
      <w:r w:rsidR="00542FAC" w:rsidRPr="00832218">
        <w:t xml:space="preserve">and White individuals. </w:t>
      </w:r>
      <w:r w:rsidR="00486AAB" w:rsidRPr="00832218">
        <w:t>W</w:t>
      </w:r>
      <w:r w:rsidR="0062104D" w:rsidRPr="00832218">
        <w:t xml:space="preserve">e observed </w:t>
      </w:r>
      <w:r w:rsidR="00D85754" w:rsidRPr="00832218">
        <w:t>negative</w:t>
      </w:r>
      <w:r w:rsidR="0062104D" w:rsidRPr="00832218">
        <w:t xml:space="preserve"> associations </w:t>
      </w:r>
      <w:r w:rsidR="00512AB4" w:rsidRPr="00832218">
        <w:t xml:space="preserve">of greenness </w:t>
      </w:r>
      <w:r w:rsidR="0062104D" w:rsidRPr="00832218">
        <w:t xml:space="preserve">in the </w:t>
      </w:r>
      <w:r w:rsidR="00D85754" w:rsidRPr="00832218">
        <w:t>West</w:t>
      </w:r>
      <w:r w:rsidR="005B57C2" w:rsidRPr="00832218">
        <w:t xml:space="preserve"> </w:t>
      </w:r>
      <w:r w:rsidR="00D85754" w:rsidRPr="00832218">
        <w:t>(for CVD and RSD hospitalization) and in the Midwest</w:t>
      </w:r>
      <w:r w:rsidR="0062104D" w:rsidRPr="00832218">
        <w:t xml:space="preserve"> (for CVD hospitalization)</w:t>
      </w:r>
      <w:r w:rsidR="00D85754" w:rsidRPr="00832218">
        <w:t xml:space="preserve">. </w:t>
      </w:r>
      <w:r w:rsidR="00700889" w:rsidRPr="00832218">
        <w:t>No</w:t>
      </w:r>
      <w:r w:rsidR="008F34E8" w:rsidRPr="00832218">
        <w:t xml:space="preserve"> </w:t>
      </w:r>
      <w:r w:rsidR="008F34E8" w:rsidRPr="00832218">
        <w:rPr>
          <w:lang w:val="en-GB"/>
        </w:rPr>
        <w:t>associations</w:t>
      </w:r>
      <w:r w:rsidR="00C54768" w:rsidRPr="00832218">
        <w:rPr>
          <w:lang w:val="en-GB"/>
        </w:rPr>
        <w:t xml:space="preserve"> of greenness with RSD </w:t>
      </w:r>
      <w:r w:rsidR="00C54768" w:rsidRPr="00832218">
        <w:rPr>
          <w:lang w:val="en-GB"/>
        </w:rPr>
        <w:lastRenderedPageBreak/>
        <w:t xml:space="preserve">hospitalization </w:t>
      </w:r>
      <w:proofErr w:type="gramStart"/>
      <w:r w:rsidR="00C54768" w:rsidRPr="00832218">
        <w:rPr>
          <w:lang w:val="en-GB"/>
        </w:rPr>
        <w:t xml:space="preserve">were </w:t>
      </w:r>
      <w:r w:rsidR="00700889" w:rsidRPr="00832218">
        <w:rPr>
          <w:lang w:val="en-GB"/>
        </w:rPr>
        <w:t>observed</w:t>
      </w:r>
      <w:proofErr w:type="gramEnd"/>
      <w:r w:rsidR="00C54768" w:rsidRPr="00832218">
        <w:rPr>
          <w:lang w:val="en-GB"/>
        </w:rPr>
        <w:t xml:space="preserve"> in zip codes with a </w:t>
      </w:r>
      <w:r w:rsidR="00700889" w:rsidRPr="00832218">
        <w:rPr>
          <w:lang w:val="en-GB"/>
        </w:rPr>
        <w:t>high</w:t>
      </w:r>
      <w:r w:rsidR="00C54768" w:rsidRPr="00832218">
        <w:rPr>
          <w:lang w:val="en-GB"/>
        </w:rPr>
        <w:t xml:space="preserve"> median household income and </w:t>
      </w:r>
      <w:r w:rsidR="00700889" w:rsidRPr="00832218">
        <w:rPr>
          <w:lang w:val="en-GB"/>
        </w:rPr>
        <w:t>low</w:t>
      </w:r>
      <w:r w:rsidR="00C54768" w:rsidRPr="00832218">
        <w:rPr>
          <w:lang w:val="en-GB"/>
        </w:rPr>
        <w:t xml:space="preserve"> percent below the poverty level. </w:t>
      </w:r>
      <w:r w:rsidR="00542FAC" w:rsidRPr="00832218">
        <w:t xml:space="preserve">  </w:t>
      </w:r>
    </w:p>
    <w:p w14:paraId="70BA730E" w14:textId="7E2870B9" w:rsidR="0082527D" w:rsidRPr="00832218" w:rsidRDefault="0082527D" w:rsidP="00AF709B">
      <w:pPr>
        <w:jc w:val="both"/>
        <w:rPr>
          <w:bCs/>
          <w:i/>
        </w:rPr>
      </w:pPr>
      <w:r w:rsidRPr="00832218">
        <w:rPr>
          <w:bCs/>
          <w:i/>
        </w:rPr>
        <w:t>Sensitivity analyses</w:t>
      </w:r>
    </w:p>
    <w:p w14:paraId="32BEBAC5" w14:textId="55FF3C10" w:rsidR="00550426" w:rsidRPr="00832218" w:rsidRDefault="0082527D" w:rsidP="0082527D">
      <w:pPr>
        <w:jc w:val="both"/>
      </w:pPr>
      <w:r w:rsidRPr="00832218">
        <w:rPr>
          <w:bCs/>
        </w:rPr>
        <w:t>In the full and urban cohort, we observed that associations were generally robust to additional adjustment</w:t>
      </w:r>
      <w:r w:rsidR="00EF2AC4" w:rsidRPr="00832218">
        <w:rPr>
          <w:bCs/>
        </w:rPr>
        <w:t>s</w:t>
      </w:r>
      <w:r w:rsidRPr="00832218">
        <w:rPr>
          <w:bCs/>
        </w:rPr>
        <w:t xml:space="preserve"> for PM</w:t>
      </w:r>
      <w:r w:rsidRPr="00832218">
        <w:rPr>
          <w:bCs/>
          <w:vertAlign w:val="subscript"/>
        </w:rPr>
        <w:t>2.5</w:t>
      </w:r>
      <w:r w:rsidRPr="00832218">
        <w:rPr>
          <w:bCs/>
        </w:rPr>
        <w:t>, exclusion of potentially prevalent cases</w:t>
      </w:r>
      <w:r w:rsidR="00141339" w:rsidRPr="00832218">
        <w:rPr>
          <w:bCs/>
        </w:rPr>
        <w:t>,</w:t>
      </w:r>
      <w:r w:rsidRPr="00832218">
        <w:rPr>
          <w:bCs/>
        </w:rPr>
        <w:t xml:space="preserve"> and </w:t>
      </w:r>
      <w:r w:rsidR="00C60DEE" w:rsidRPr="00832218">
        <w:rPr>
          <w:bCs/>
        </w:rPr>
        <w:t xml:space="preserve">parameterizations of </w:t>
      </w:r>
      <w:r w:rsidRPr="00832218">
        <w:rPr>
          <w:bCs/>
        </w:rPr>
        <w:t>blue space (Table S</w:t>
      </w:r>
      <w:r w:rsidR="00A7733A" w:rsidRPr="00832218">
        <w:rPr>
          <w:bCs/>
        </w:rPr>
        <w:t>2</w:t>
      </w:r>
      <w:r w:rsidRPr="00832218">
        <w:rPr>
          <w:bCs/>
        </w:rPr>
        <w:t>). Associations of single-exposure models were</w:t>
      </w:r>
      <w:r w:rsidR="00C60DEE" w:rsidRPr="00832218">
        <w:rPr>
          <w:bCs/>
        </w:rPr>
        <w:t xml:space="preserve"> also</w:t>
      </w:r>
      <w:r w:rsidRPr="00832218">
        <w:rPr>
          <w:bCs/>
        </w:rPr>
        <w:t xml:space="preserve"> similar. Additional adjustment for NO</w:t>
      </w:r>
      <w:r w:rsidRPr="00832218">
        <w:rPr>
          <w:bCs/>
          <w:vertAlign w:val="subscript"/>
        </w:rPr>
        <w:t>2</w:t>
      </w:r>
      <w:r w:rsidR="003E785F" w:rsidRPr="00832218">
        <w:rPr>
          <w:bCs/>
        </w:rPr>
        <w:t xml:space="preserve"> substantially</w:t>
      </w:r>
      <w:r w:rsidRPr="00832218">
        <w:rPr>
          <w:bCs/>
          <w:vertAlign w:val="subscript"/>
        </w:rPr>
        <w:t xml:space="preserve"> </w:t>
      </w:r>
      <w:r w:rsidR="00550426" w:rsidRPr="00832218">
        <w:rPr>
          <w:bCs/>
        </w:rPr>
        <w:t>attenuated</w:t>
      </w:r>
      <w:r w:rsidRPr="00832218">
        <w:rPr>
          <w:bCs/>
        </w:rPr>
        <w:t xml:space="preserve"> associations of greenness with CVD and </w:t>
      </w:r>
      <w:r w:rsidR="00550426" w:rsidRPr="00832218">
        <w:rPr>
          <w:bCs/>
        </w:rPr>
        <w:t xml:space="preserve">resulted in positive associations of greenness with </w:t>
      </w:r>
      <w:r w:rsidRPr="00832218">
        <w:rPr>
          <w:bCs/>
        </w:rPr>
        <w:t>RSD hospitalizations.</w:t>
      </w:r>
      <w:r w:rsidR="00550426" w:rsidRPr="00832218">
        <w:rPr>
          <w:bCs/>
        </w:rPr>
        <w:t xml:space="preserve"> </w:t>
      </w:r>
    </w:p>
    <w:p w14:paraId="75559DFD" w14:textId="423E7279" w:rsidR="00797EE0" w:rsidRPr="00832218" w:rsidRDefault="00B85339" w:rsidP="00AF709B">
      <w:pPr>
        <w:jc w:val="both"/>
        <w:rPr>
          <w:b/>
          <w:bCs/>
        </w:rPr>
      </w:pPr>
      <w:r w:rsidRPr="00832218">
        <w:rPr>
          <w:b/>
          <w:bCs/>
        </w:rPr>
        <w:t>Discussion</w:t>
      </w:r>
    </w:p>
    <w:p w14:paraId="5830783B" w14:textId="23BC872B" w:rsidR="008C6719" w:rsidRPr="00832218" w:rsidRDefault="00CD111B" w:rsidP="0070772D">
      <w:pPr>
        <w:jc w:val="both"/>
        <w:rPr>
          <w:bCs/>
        </w:rPr>
      </w:pPr>
      <w:r w:rsidRPr="00832218">
        <w:rPr>
          <w:bCs/>
        </w:rPr>
        <w:t xml:space="preserve">In this study of over 63 million Medicare </w:t>
      </w:r>
      <w:r w:rsidR="00F84843" w:rsidRPr="00832218">
        <w:rPr>
          <w:bCs/>
        </w:rPr>
        <w:t>beneficiaries,</w:t>
      </w:r>
      <w:r w:rsidRPr="00832218">
        <w:rPr>
          <w:bCs/>
        </w:rPr>
        <w:t xml:space="preserve"> we </w:t>
      </w:r>
      <w:r w:rsidR="00AE6784" w:rsidRPr="00832218">
        <w:rPr>
          <w:bCs/>
        </w:rPr>
        <w:t xml:space="preserve">observed </w:t>
      </w:r>
      <w:r w:rsidR="00F84843" w:rsidRPr="00832218">
        <w:rPr>
          <w:bCs/>
        </w:rPr>
        <w:t>protective</w:t>
      </w:r>
      <w:r w:rsidR="00C62E62" w:rsidRPr="00832218">
        <w:rPr>
          <w:bCs/>
        </w:rPr>
        <w:t xml:space="preserve"> </w:t>
      </w:r>
      <w:r w:rsidR="009A2150">
        <w:rPr>
          <w:bCs/>
        </w:rPr>
        <w:t xml:space="preserve">associations between </w:t>
      </w:r>
      <w:r w:rsidR="00AE6784" w:rsidRPr="00832218">
        <w:rPr>
          <w:bCs/>
        </w:rPr>
        <w:t>greenness</w:t>
      </w:r>
      <w:r w:rsidR="00F84843" w:rsidRPr="00832218">
        <w:rPr>
          <w:bCs/>
        </w:rPr>
        <w:t xml:space="preserve"> </w:t>
      </w:r>
      <w:r w:rsidR="009A2150">
        <w:rPr>
          <w:bCs/>
        </w:rPr>
        <w:t xml:space="preserve">and </w:t>
      </w:r>
      <w:r w:rsidR="00AE6784" w:rsidRPr="00832218">
        <w:rPr>
          <w:bCs/>
        </w:rPr>
        <w:t>CVD</w:t>
      </w:r>
      <w:r w:rsidR="00C60DEE" w:rsidRPr="00832218">
        <w:rPr>
          <w:bCs/>
        </w:rPr>
        <w:t>, but not RSD,</w:t>
      </w:r>
      <w:r w:rsidR="00AE6784" w:rsidRPr="00832218">
        <w:rPr>
          <w:bCs/>
        </w:rPr>
        <w:t xml:space="preserve"> </w:t>
      </w:r>
      <w:r w:rsidR="00F84843" w:rsidRPr="00832218">
        <w:rPr>
          <w:bCs/>
        </w:rPr>
        <w:t>hospitalization</w:t>
      </w:r>
      <w:r w:rsidR="00C60DEE" w:rsidRPr="00832218">
        <w:rPr>
          <w:bCs/>
        </w:rPr>
        <w:t>s</w:t>
      </w:r>
      <w:r w:rsidR="00AE6784" w:rsidRPr="00832218">
        <w:rPr>
          <w:bCs/>
        </w:rPr>
        <w:t xml:space="preserve">. </w:t>
      </w:r>
      <w:r w:rsidR="00C62E62" w:rsidRPr="00832218">
        <w:rPr>
          <w:bCs/>
        </w:rPr>
        <w:t xml:space="preserve">In the </w:t>
      </w:r>
      <w:r w:rsidR="00F84843" w:rsidRPr="00832218">
        <w:rPr>
          <w:bCs/>
        </w:rPr>
        <w:t>urban</w:t>
      </w:r>
      <w:r w:rsidR="00C62E62" w:rsidRPr="00832218">
        <w:rPr>
          <w:bCs/>
        </w:rPr>
        <w:t xml:space="preserve"> cohort, associations of </w:t>
      </w:r>
      <w:r w:rsidR="00531657" w:rsidRPr="00832218">
        <w:rPr>
          <w:bCs/>
        </w:rPr>
        <w:t xml:space="preserve">greenness </w:t>
      </w:r>
      <w:r w:rsidR="00F84843" w:rsidRPr="00832218">
        <w:rPr>
          <w:bCs/>
        </w:rPr>
        <w:t xml:space="preserve">with RSD hospitalization </w:t>
      </w:r>
      <w:r w:rsidR="00C62E62" w:rsidRPr="00832218">
        <w:rPr>
          <w:bCs/>
        </w:rPr>
        <w:t xml:space="preserve">were </w:t>
      </w:r>
      <w:r w:rsidR="00AE6784" w:rsidRPr="00832218">
        <w:rPr>
          <w:bCs/>
        </w:rPr>
        <w:t xml:space="preserve">positive. </w:t>
      </w:r>
      <w:r w:rsidR="00C60DEE" w:rsidRPr="00832218">
        <w:rPr>
          <w:bCs/>
        </w:rPr>
        <w:t>There was no</w:t>
      </w:r>
      <w:r w:rsidR="00F84843" w:rsidRPr="00832218">
        <w:rPr>
          <w:bCs/>
        </w:rPr>
        <w:t xml:space="preserve"> protective </w:t>
      </w:r>
      <w:r w:rsidR="009A2150">
        <w:rPr>
          <w:bCs/>
        </w:rPr>
        <w:t>association</w:t>
      </w:r>
      <w:r w:rsidR="009A2150" w:rsidRPr="00832218">
        <w:rPr>
          <w:bCs/>
        </w:rPr>
        <w:t xml:space="preserve"> </w:t>
      </w:r>
      <w:r w:rsidR="009A2150">
        <w:rPr>
          <w:bCs/>
        </w:rPr>
        <w:t xml:space="preserve">between </w:t>
      </w:r>
      <w:proofErr w:type="gramStart"/>
      <w:r w:rsidR="00F84843" w:rsidRPr="00832218">
        <w:rPr>
          <w:bCs/>
        </w:rPr>
        <w:t>public park</w:t>
      </w:r>
      <w:proofErr w:type="gramEnd"/>
      <w:r w:rsidR="00F84843" w:rsidRPr="00832218">
        <w:rPr>
          <w:bCs/>
        </w:rPr>
        <w:t xml:space="preserve"> or blue space cover </w:t>
      </w:r>
      <w:r w:rsidR="009A2150">
        <w:rPr>
          <w:bCs/>
        </w:rPr>
        <w:t xml:space="preserve">and </w:t>
      </w:r>
      <w:r w:rsidR="00F84843" w:rsidRPr="00832218">
        <w:rPr>
          <w:bCs/>
        </w:rPr>
        <w:t xml:space="preserve">CVD or RSD hospitalization </w:t>
      </w:r>
      <w:r w:rsidR="00745A4D" w:rsidRPr="00832218">
        <w:rPr>
          <w:bCs/>
        </w:rPr>
        <w:t>in the full cohort</w:t>
      </w:r>
      <w:r w:rsidR="00F84843" w:rsidRPr="00832218">
        <w:rPr>
          <w:bCs/>
        </w:rPr>
        <w:t>. However, p</w:t>
      </w:r>
      <w:r w:rsidR="00AE6018" w:rsidRPr="00832218">
        <w:rPr>
          <w:bCs/>
        </w:rPr>
        <w:t>ercent public park cover</w:t>
      </w:r>
      <w:r w:rsidR="00C22A16" w:rsidRPr="00832218">
        <w:rPr>
          <w:bCs/>
        </w:rPr>
        <w:t xml:space="preserve"> was</w:t>
      </w:r>
      <w:r w:rsidR="00AE6018" w:rsidRPr="00832218">
        <w:rPr>
          <w:bCs/>
        </w:rPr>
        <w:t xml:space="preserve"> </w:t>
      </w:r>
      <w:r w:rsidR="00072BFD" w:rsidRPr="00832218">
        <w:rPr>
          <w:bCs/>
        </w:rPr>
        <w:t xml:space="preserve">negatively associated with CVD and RSD hospitalization for </w:t>
      </w:r>
      <w:r w:rsidR="00201FE9" w:rsidRPr="00832218">
        <w:rPr>
          <w:bCs/>
        </w:rPr>
        <w:t xml:space="preserve">low-SES </w:t>
      </w:r>
      <w:r w:rsidR="00072BFD" w:rsidRPr="00832218">
        <w:rPr>
          <w:bCs/>
        </w:rPr>
        <w:t>individuals</w:t>
      </w:r>
      <w:r w:rsidR="00C22A16" w:rsidRPr="00832218">
        <w:rPr>
          <w:bCs/>
        </w:rPr>
        <w:t xml:space="preserve"> </w:t>
      </w:r>
      <w:r w:rsidR="00E32644" w:rsidRPr="00832218">
        <w:rPr>
          <w:bCs/>
        </w:rPr>
        <w:t>in urban areas</w:t>
      </w:r>
      <w:r w:rsidR="00072BFD" w:rsidRPr="00832218">
        <w:rPr>
          <w:bCs/>
        </w:rPr>
        <w:t>.</w:t>
      </w:r>
    </w:p>
    <w:p w14:paraId="777DDFE3" w14:textId="2D1F3D36" w:rsidR="00574B04" w:rsidRPr="00832218" w:rsidRDefault="00574B04" w:rsidP="00574B04">
      <w:pPr>
        <w:jc w:val="both"/>
      </w:pPr>
      <w:r w:rsidRPr="00832218">
        <w:rPr>
          <w:bCs/>
        </w:rPr>
        <w:t>We observed a weak negative correlation between percent public park cover and greenness</w:t>
      </w:r>
      <w:r w:rsidRPr="00832218">
        <w:t>,</w:t>
      </w:r>
      <w:r w:rsidR="000D0FEF" w:rsidRPr="00832218">
        <w:t xml:space="preserve"> </w:t>
      </w:r>
      <w:r w:rsidRPr="00832218">
        <w:t>indicat</w:t>
      </w:r>
      <w:r w:rsidR="000D0FEF" w:rsidRPr="00832218">
        <w:t>ing</w:t>
      </w:r>
      <w:r w:rsidRPr="00832218">
        <w:t xml:space="preserve"> that greenness</w:t>
      </w:r>
      <w:r w:rsidRPr="00832218">
        <w:rPr>
          <w:bCs/>
        </w:rPr>
        <w:t xml:space="preserve"> does not represent public parks well</w:t>
      </w:r>
      <w:r w:rsidR="00C60DEE" w:rsidRPr="00832218">
        <w:rPr>
          <w:bCs/>
        </w:rPr>
        <w:t xml:space="preserve"> at the zip code level</w:t>
      </w:r>
      <w:r w:rsidRPr="00832218">
        <w:rPr>
          <w:bCs/>
        </w:rPr>
        <w:t xml:space="preserve">. This is likely because NDVI captures total greenness, and therefore includes all types of green areas, such as </w:t>
      </w:r>
      <w:r w:rsidRPr="00832218">
        <w:t>agricultu</w:t>
      </w:r>
      <w:r w:rsidR="00C60DEE" w:rsidRPr="00832218">
        <w:t>re</w:t>
      </w:r>
      <w:r w:rsidRPr="00832218">
        <w:t xml:space="preserve">, forests, </w:t>
      </w:r>
      <w:r w:rsidR="00EF2AC4" w:rsidRPr="00832218">
        <w:t xml:space="preserve">lawns, </w:t>
      </w:r>
      <w:r w:rsidRPr="00832218">
        <w:t xml:space="preserve">and </w:t>
      </w:r>
      <w:r w:rsidR="007D5D1E" w:rsidRPr="00832218">
        <w:t>yards</w:t>
      </w:r>
      <w:r w:rsidRPr="00832218">
        <w:t>. Moreover, not all public</w:t>
      </w:r>
      <w:r w:rsidR="00486AAB" w:rsidRPr="00832218">
        <w:t xml:space="preserve"> parks contain dense vegetation</w:t>
      </w:r>
      <w:r w:rsidRPr="00832218">
        <w:t xml:space="preserve">. In urban areas, the correlation between percent public park cover and greenness was </w:t>
      </w:r>
      <w:r w:rsidR="0002435D" w:rsidRPr="00832218">
        <w:t xml:space="preserve">close to </w:t>
      </w:r>
      <w:r w:rsidR="00C22817" w:rsidRPr="00832218">
        <w:t>null</w:t>
      </w:r>
      <w:r w:rsidR="00CF7DC9" w:rsidRPr="00832218">
        <w:t xml:space="preserve">. This </w:t>
      </w:r>
      <w:r w:rsidRPr="00832218">
        <w:t xml:space="preserve">was somewhat unexpected as </w:t>
      </w:r>
      <w:r w:rsidR="004650BA" w:rsidRPr="00832218">
        <w:t xml:space="preserve">some </w:t>
      </w:r>
      <w:r w:rsidRPr="00832218">
        <w:t>urban green</w:t>
      </w:r>
      <w:r w:rsidR="00DA67BD" w:rsidRPr="00832218">
        <w:t>ness</w:t>
      </w:r>
      <w:r w:rsidRPr="00832218">
        <w:t xml:space="preserve"> </w:t>
      </w:r>
      <w:proofErr w:type="gramStart"/>
      <w:r w:rsidRPr="00832218">
        <w:t>can be found</w:t>
      </w:r>
      <w:proofErr w:type="gramEnd"/>
      <w:r w:rsidRPr="00832218">
        <w:t xml:space="preserve"> in parks</w:t>
      </w:r>
      <w:r w:rsidR="00CF7DC9" w:rsidRPr="00832218">
        <w:t>; h</w:t>
      </w:r>
      <w:r w:rsidRPr="00832218">
        <w:t>owever, urban parks may include paved paths</w:t>
      </w:r>
      <w:r w:rsidR="00486AAB" w:rsidRPr="00832218">
        <w:t xml:space="preserve"> and</w:t>
      </w:r>
      <w:r w:rsidRPr="00832218">
        <w:t xml:space="preserve"> </w:t>
      </w:r>
      <w:r w:rsidR="00E54A33" w:rsidRPr="00832218">
        <w:t>playgrounds that</w:t>
      </w:r>
      <w:r w:rsidRPr="00832218">
        <w:t xml:space="preserve"> </w:t>
      </w:r>
      <w:r w:rsidR="00141339" w:rsidRPr="00832218">
        <w:t>do not contain vegetation</w:t>
      </w:r>
      <w:r w:rsidRPr="00832218">
        <w:t xml:space="preserve">. Moreover, NDVI captures street and private greenery, which may </w:t>
      </w:r>
      <w:r w:rsidR="00141339" w:rsidRPr="00832218">
        <w:t xml:space="preserve">constitute </w:t>
      </w:r>
      <w:r w:rsidRPr="00832218">
        <w:t xml:space="preserve">a large portion of the total greenness in urban areas. Not all types of greenery contribute equally to the NDVI, as it depends </w:t>
      </w:r>
      <w:r w:rsidR="008353EC" w:rsidRPr="00832218">
        <w:t xml:space="preserve">on the amount of </w:t>
      </w:r>
      <w:r w:rsidR="00EF2AC4" w:rsidRPr="00832218">
        <w:t>aboveground photosynthetic biomass</w:t>
      </w:r>
      <w:r w:rsidR="008353EC" w:rsidRPr="00832218">
        <w:t>.</w:t>
      </w:r>
      <w:r w:rsidR="001B69D7" w:rsidRPr="00832218">
        <w:t xml:space="preserve"> Further, we note that correlations of percent public park cover and NDVI with </w:t>
      </w:r>
      <w:r w:rsidR="00754112" w:rsidRPr="00832218">
        <w:t>some</w:t>
      </w:r>
      <w:r w:rsidR="001B69D7" w:rsidRPr="00832218">
        <w:t xml:space="preserve"> covariates, such as median home value, population density and NO</w:t>
      </w:r>
      <w:r w:rsidR="001B69D7" w:rsidRPr="00832218">
        <w:rPr>
          <w:vertAlign w:val="subscript"/>
        </w:rPr>
        <w:t>2</w:t>
      </w:r>
      <w:r w:rsidR="001B69D7" w:rsidRPr="00832218">
        <w:t>, differ in direction.</w:t>
      </w:r>
    </w:p>
    <w:p w14:paraId="76BB19E9" w14:textId="1ED55E04" w:rsidR="00C77A2C" w:rsidRPr="00832218" w:rsidRDefault="00AF763D" w:rsidP="00047677">
      <w:pPr>
        <w:jc w:val="both"/>
      </w:pPr>
      <w:r w:rsidRPr="00832218">
        <w:t>We observed negative associations of greenness</w:t>
      </w:r>
      <w:r w:rsidR="00C81AF3" w:rsidRPr="00832218">
        <w:t xml:space="preserve"> with CVD hospitalization</w:t>
      </w:r>
      <w:r w:rsidR="009C14F0" w:rsidRPr="00832218">
        <w:t>,</w:t>
      </w:r>
      <w:r w:rsidR="00C81AF3" w:rsidRPr="00832218">
        <w:t xml:space="preserve"> in line with</w:t>
      </w:r>
      <w:r w:rsidR="009C14F0" w:rsidRPr="00832218">
        <w:t xml:space="preserve"> </w:t>
      </w:r>
      <w:r w:rsidR="00C60DEE" w:rsidRPr="00832218">
        <w:t>previous</w:t>
      </w:r>
      <w:r w:rsidR="00727327" w:rsidRPr="00832218">
        <w:t xml:space="preserve"> studies.</w:t>
      </w:r>
      <w:r w:rsidR="008353EC" w:rsidRPr="00832218">
        <w:fldChar w:fldCharType="begin" w:fldLock="1"/>
      </w:r>
      <w:r w:rsidR="00B966BB" w:rsidRPr="00832218">
        <w:instrText>ADDIN CSL_CITATION {"citationItems":[{"id":"ITEM-1","itemData":{"DOI":"10.1289/EHP6161","abstract":"Background: Living in greener areas of cities was linked to increased physical activity levels, improved mental well-being, and lowered harmful environmental exposures, all of which may affect huma...","author":[{"dropping-particle":"","family":"Chen","given":"Hong","non-dropping-particle":"","parse-names":false,"suffix":""},{"dropping-particle":"","family":"Burnett","given":"Richard T.","non-dropping-particle":"","parse-names":false,"suffix":""},{"dropping-particle":"","family":"Bai","given":"Li","non-dropping-particle":"","parse-names":false,"suffix":""},{"dropping-particle":"","family":"Kwong","given":"Jeffrey C.","non-dropping-particle":"","parse-names":false,"suffix":""},{"dropping-particle":"","family":"Crouse","given":"Dan L.","non-dropping-particle":"","parse-names":false,"suffix":""},{"dropping-particle":"","family":"Lavigne","given":"Eric","non-dropping-particle":"","parse-names":false,"suffix":""},{"dropping-particle":"","family":"Goldberg","given":"Mark S.","non-dropping-particle":"","parse-names":false,"suffix":""},{"dropping-particle":"","family":"Copes","given":"Ray","non-dropping-particle":"","parse-names":false,"suffix":""},{"dropping-particle":"","family":"Benmarhnia","given":"Tarik","non-dropping-particle":"","parse-names":false,"suffix":""},{"dropping-particle":"","family":"Ilango","given":"Sindana D.","non-dropping-particle":"","parse-names":false,"suffix":""},{"dropping-particle":"van","family":"Donkelaar","given":"Aaron","non-dropping-particle":"","parse-names":false,"suffix":""},{"dropping-particle":"V.","family":"Martin","given":"Randall","non-dropping-particle":"","parse-names":false,"suffix":""},{"dropping-particle":"","family":"Hystad","given":"Perry","non-dropping-particle":"","parse-names":false,"suffix":""}],"container-title":"Environmental Health Perspectives","id":"ITEM-1","issue":"8","issued":{"date-parts":[["2020","8","1"]]},"page":"1-11","publisher":"\nEnvironmental Health Perspectives\n","title":"Residential Greenness and Cardiovascular Disease Incidence, Readmission, and Mortality","type":"article-journal","volume":"128"},"uris":["http://www.mendeley.com/documents/?uuid=808f44ca-7849-3134-b53d-ef36a55b82dc"]},{"id":"ITEM-2","itemData":{"DOI":"10.1016/J.ENVINT.2019.01.038","ISSN":"0160-4120","abstract":"Purpose: Few previous studies have investigated the association between urban green space and cardiovascular disease (CVD) within Asian populations. We aimed to determine the relationship between amount of green space in the residential environment and CVD within a large general Asian population in this population-based longitudinal study. Methods: The study population consisted of 351,409 participants aged over 20 years extracted from the National Health Insurance Service National Sample Cohort. Data on newly-occurred CVD events were collected from hospital admission records for the period 1 January 2006 to 31 December 2013. Cox proportional hazards regression analysis was used for determining the risk of developing CVD according to urban green space coverage (% area), adjusting for a number of relevant confounders. Results: Compared to those within the lowest quartile of green space coverage, those within the highest quartile of urban space had a reduced risk of total CVD (hazard ratio, HR 0.85, 95% confidence interval, CI 0.81–0.89), coronary heart disease (HR 0.83, 95% CI 0.78–0.89), acute myocardial infarction (HR 0.77, 95% CI 0.68–0.88), total stroke (HR 0.87, 95% CI 0.82–0.93) and ischemic stroke (HR 0.86, 95% CI 0.80–0.94), but not hemorrhagic stroke (HR 0.98, 95% CI 0.86–1.12). The risk-reducing effect of green space coverage was preserved after stratification according to sex, household income, and Charlson comorbidity index. Conclusion: Residing in urban regions with greater green space coverage may lead to a reduced risk of CVD. Urban planning intervention policies that increase urban green space coverage could help to reduce the risk of CVD.","author":[{"dropping-particle":"","family":"Seo","given":"Sumin","non-dropping-particle":"","parse-names":false,"suffix":""},{"dropping-particle":"","family":"Choi","given":"Seulggie","non-dropping-particle":"","parse-names":false,"suffix":""},{"dropping-particle":"","family":"Kim","given":"Kyuwoong","non-dropping-particle":"","parse-names":false,"suffix":""},{"dropping-particle":"","family":"Kim","given":"Sung Min","non-dropping-particle":"","parse-names":false,"suffix":""},{"dropping-particle":"","family":"Park","given":"Sang Min","non-dropping-particle":"","parse-names":false,"suffix":""}],"container-title":"Environment International","id":"ITEM-2","issued":{"date-parts":[["2019","4","1"]]},"page":"51-57","publisher":"Pergamon","title":"Association between urban green space and the risk of cardiovascular disease: A longitudinal study in seven Korean metropolitan areas","type":"article-journal","volume":"125"},"uris":["http://www.mendeley.com/documents/?uuid=1707f3e9-fe29-37fb-9321-a4ac9dfd7394"]},{"id":"ITEM-3","itemData":{"DOI":"10.1371/JOURNAL.PONE.0226524","ISSN":"1932-6203","abstract":"Background Living in a greener neighbourhood may reduce the risk of developing incident cardiovascular disease, but evidence is limited by reliance on cross-sectional comparisons. We use data from a longitudinal study with a time-independent measure of risk to explore the association between exposure to greenspace and cardiovascular disease.   Methods Data was from the European Prospective Investigation of Cancer Norfolk UK cohort, baseline 1993–1997 (n = 24,420). Neighbourhoods were defined as 800m radius zones around participants’ home, according to their home postcode (zip code) in the year 2000. Greenspace exposure was identified using classified satellite imagery. Adjusted Cox proportional hazards regression examined associations between greenspace and incident cardiovascular disease. Mediation analysis assessed if physical activity mediated associations, whilst modification by rurality, socio-economic status and age was explored.   Results The mean age of participants was 59.2 years at baseline, 54.7% were female, and mean follow-up time was 14.5 years. Individuals living in the greenest neighbourhood quartile had a 7% lower relative hazard of developing cardiovascular disease than other neighbourhoods (HR 0.93; 95% CI 0.88, 0.97; p = 0.003) after adjusting for age, sex, BMI, prevalent diabetes and socio-economic status (SES). Physical activity did not mediate the relationship (greenest compared to the least green quartile HR 0.99; 95% CI 0.97, 1.01; p = 0.416). Models predicted incidence of cardiovascular disease in the least green neighbourhoods (19.4% greenspace on average) would fall by 4.8% (95% CI 1.6%, 8.2% p = 0.003) if they were as green as the average neighbourhood (59.0% greenspace). Occupation moderated the relationship, whereby exposure to greenspace was not associated with incident CVD for participants engaged in manual occupations.   Conclusions Greener home neighbourhoods may protect against risk of cardiovascular disease even after accounting for SES, whilst the mechanism does not appear to be strongly associated with physical activity. Putative causal mechanisms require investigation.","author":[{"dropping-particle":"","family":"Dalton","given":"Alice M.","non-dropping-particle":"","parse-names":false,"suffix":""},{"dropping-particle":"","family":"Jones","given":"Andrew P.","non-dropping-particle":"","parse-names":false,"suffix":""}],"container-title":"PLOS ONE","id":"ITEM-3","issue":"1","issued":{"date-parts":[["2020","1","1"]]},"page":"e0226524","publisher":"Public Library of Science","title":"Residential neighbourhood greenspace is associated with reduced risk of cardiovascular disease: A prospective cohort study","type":"article-journal","volume":"15"},"uris":["http://www.mendeley.com/documents/?uuid=21904557-5373-3b05-8cb0-7fed2d11f6f0"]}],"mendeley":{"formattedCitation":"&lt;sup&gt;12–14&lt;/sup&gt;","plainTextFormattedCitation":"12–14","previouslyFormattedCitation":"&lt;sup&gt;12–14&lt;/sup&gt;"},"properties":{"noteIndex":0},"schema":"https://github.com/citation-style-language/schema/raw/master/csl-citation.json"}</w:instrText>
      </w:r>
      <w:r w:rsidR="008353EC" w:rsidRPr="00832218">
        <w:fldChar w:fldCharType="separate"/>
      </w:r>
      <w:r w:rsidR="008F397C" w:rsidRPr="00832218">
        <w:rPr>
          <w:noProof/>
          <w:vertAlign w:val="superscript"/>
        </w:rPr>
        <w:t>12–14</w:t>
      </w:r>
      <w:r w:rsidR="008353EC" w:rsidRPr="00832218">
        <w:fldChar w:fldCharType="end"/>
      </w:r>
      <w:r w:rsidR="00C81AF3" w:rsidRPr="00832218">
        <w:t xml:space="preserve"> Public park cover</w:t>
      </w:r>
      <w:r w:rsidR="00CB5409" w:rsidRPr="00832218">
        <w:t xml:space="preserve"> </w:t>
      </w:r>
      <w:r w:rsidR="00C81AF3" w:rsidRPr="00832218">
        <w:t xml:space="preserve">was not associated </w:t>
      </w:r>
      <w:r w:rsidRPr="00832218">
        <w:t xml:space="preserve">with CVD hospitalization. </w:t>
      </w:r>
      <w:r w:rsidR="009C14F0" w:rsidRPr="00832218">
        <w:t xml:space="preserve">This </w:t>
      </w:r>
      <w:r w:rsidR="0096196D" w:rsidRPr="00832218">
        <w:t>i</w:t>
      </w:r>
      <w:r w:rsidR="009C14F0" w:rsidRPr="00832218">
        <w:t xml:space="preserve">s </w:t>
      </w:r>
      <w:r w:rsidR="0096196D" w:rsidRPr="00832218">
        <w:t>contrary to</w:t>
      </w:r>
      <w:r w:rsidR="009C14F0" w:rsidRPr="00832218">
        <w:t xml:space="preserve"> our expectations as public park cover </w:t>
      </w:r>
      <w:proofErr w:type="gramStart"/>
      <w:r w:rsidR="00EF2AC4" w:rsidRPr="00832218">
        <w:t xml:space="preserve">could </w:t>
      </w:r>
      <w:r w:rsidR="00C60DEE" w:rsidRPr="00832218">
        <w:t>be expected</w:t>
      </w:r>
      <w:proofErr w:type="gramEnd"/>
      <w:r w:rsidR="00C60DEE" w:rsidRPr="00832218">
        <w:t xml:space="preserve"> to be a</w:t>
      </w:r>
      <w:r w:rsidR="009C14F0" w:rsidRPr="00832218">
        <w:t xml:space="preserve"> better indicator for </w:t>
      </w:r>
      <w:r w:rsidR="00EF2AC4" w:rsidRPr="00832218">
        <w:t xml:space="preserve">green </w:t>
      </w:r>
      <w:r w:rsidR="009C14F0" w:rsidRPr="00832218">
        <w:t xml:space="preserve">spaces suitable for physical </w:t>
      </w:r>
      <w:r w:rsidR="00EF2AC4" w:rsidRPr="00832218">
        <w:t xml:space="preserve">activity </w:t>
      </w:r>
      <w:r w:rsidR="009C14F0" w:rsidRPr="00832218">
        <w:t>and social gathering</w:t>
      </w:r>
      <w:r w:rsidR="00134BEA">
        <w:t>s</w:t>
      </w:r>
      <w:r w:rsidR="009C14F0" w:rsidRPr="00832218">
        <w:t>, and therefore may have a stronge</w:t>
      </w:r>
      <w:r w:rsidR="00A4797B" w:rsidRPr="00832218">
        <w:t>r impact on health</w:t>
      </w:r>
      <w:r w:rsidR="009C14F0" w:rsidRPr="00832218">
        <w:t xml:space="preserve">. </w:t>
      </w:r>
      <w:r w:rsidR="00C60DEE" w:rsidRPr="00832218">
        <w:t>However, a</w:t>
      </w:r>
      <w:r w:rsidR="00E54A33" w:rsidRPr="00832218">
        <w:t>fter adjustment for NO</w:t>
      </w:r>
      <w:r w:rsidR="00E54A33" w:rsidRPr="00832218">
        <w:rPr>
          <w:vertAlign w:val="subscript"/>
        </w:rPr>
        <w:t>2</w:t>
      </w:r>
      <w:r w:rsidR="00E54A33" w:rsidRPr="00832218">
        <w:t>,</w:t>
      </w:r>
      <w:r w:rsidR="00E54A33" w:rsidRPr="00832218">
        <w:rPr>
          <w:vertAlign w:val="subscript"/>
        </w:rPr>
        <w:t xml:space="preserve"> </w:t>
      </w:r>
      <w:r w:rsidR="00E54A33" w:rsidRPr="00832218">
        <w:t xml:space="preserve">the </w:t>
      </w:r>
      <w:r w:rsidR="00810659" w:rsidRPr="00832218">
        <w:t>negative association</w:t>
      </w:r>
      <w:r w:rsidR="00E54A33" w:rsidRPr="00832218">
        <w:t xml:space="preserve"> of greenness </w:t>
      </w:r>
      <w:r w:rsidR="00810659" w:rsidRPr="00832218">
        <w:t>with</w:t>
      </w:r>
      <w:r w:rsidR="00E54A33" w:rsidRPr="00832218">
        <w:t xml:space="preserve"> CVD hospitalization almost completely disappeared.</w:t>
      </w:r>
      <w:r w:rsidR="008E4352">
        <w:t xml:space="preserve"> </w:t>
      </w:r>
      <w:proofErr w:type="gramStart"/>
      <w:r w:rsidR="00CC6CA0">
        <w:t>So</w:t>
      </w:r>
      <w:proofErr w:type="gramEnd"/>
      <w:r w:rsidR="00CC6CA0">
        <w:t xml:space="preserve">, there may not be true differences in associations </w:t>
      </w:r>
      <w:r w:rsidR="00066661">
        <w:t xml:space="preserve">with these exposures, but we also note that </w:t>
      </w:r>
      <w:r w:rsidR="008E4352">
        <w:t>NO</w:t>
      </w:r>
      <w:r w:rsidR="008E4352" w:rsidRPr="003B4188">
        <w:rPr>
          <w:vertAlign w:val="subscript"/>
        </w:rPr>
        <w:t>2</w:t>
      </w:r>
      <w:r w:rsidR="008E4352">
        <w:t xml:space="preserve"> could be a mediator </w:t>
      </w:r>
      <w:r w:rsidR="003B4188">
        <w:t>in the greenness-CVD hospitalization relation.</w:t>
      </w:r>
    </w:p>
    <w:p w14:paraId="59304029" w14:textId="56E8A6B0" w:rsidR="008353EC" w:rsidRPr="00832218" w:rsidRDefault="008353EC" w:rsidP="00047677">
      <w:pPr>
        <w:jc w:val="both"/>
      </w:pPr>
      <w:r w:rsidRPr="00832218">
        <w:rPr>
          <w:bCs/>
        </w:rPr>
        <w:t xml:space="preserve">We observed positive associations of greenness with RSD hospitalization in the urban </w:t>
      </w:r>
      <w:proofErr w:type="gramStart"/>
      <w:r w:rsidRPr="00832218">
        <w:rPr>
          <w:bCs/>
        </w:rPr>
        <w:t>cohort,</w:t>
      </w:r>
      <w:proofErr w:type="gramEnd"/>
      <w:r w:rsidRPr="00832218">
        <w:rPr>
          <w:bCs/>
        </w:rPr>
        <w:t xml:space="preserve"> and in the full cohort after adjustment for NO</w:t>
      </w:r>
      <w:r w:rsidRPr="00832218">
        <w:rPr>
          <w:bCs/>
          <w:vertAlign w:val="subscript"/>
        </w:rPr>
        <w:t>2</w:t>
      </w:r>
      <w:r w:rsidRPr="00832218">
        <w:rPr>
          <w:bCs/>
        </w:rPr>
        <w:t>. This is in contrast to findings of some</w:t>
      </w:r>
      <w:r w:rsidR="00727327" w:rsidRPr="00832218">
        <w:rPr>
          <w:bCs/>
        </w:rPr>
        <w:t>,</w:t>
      </w:r>
      <w:r w:rsidRPr="00832218">
        <w:rPr>
          <w:bCs/>
        </w:rPr>
        <w:fldChar w:fldCharType="begin" w:fldLock="1"/>
      </w:r>
      <w:r w:rsidR="0056487A" w:rsidRPr="00832218">
        <w:rPr>
          <w:bCs/>
        </w:rPr>
        <w:instrText>ADDIN CSL_CITATION {"citationItems":[{"id":"ITEM-1","itemData":{"DOI":"10.1016/S2542-5196(19)30214-1","ISSN":"2542-5196","abstract":"Background: The role of environmental exposures in chronic obstructive pulmonary disease (COPD) remains inconclusive. We examined the association between environmental exposures (PM2·5, greenness, and urbanicity) and COPD prevalence using the UK Biobank cohort data to identify key built environment correlates of COPD. Methods: In this cross-sectional, observational study we used baseline data for UK Biobank participants. Included participants were aged 39 years and older, white, had available spirometry data, and had complete data for phenotypes and exposures. COPD was defined by spirometry with the 2017 Global Initiative for Chronic Obstructive Lung Disease criteria. Environmental exposures were PM2·5 derived from monitoring data and interpolated using land-use regression at the participants' geocoded residential addresses. Built environment metrics of residential greenness were modelled in terms of normalised difference vegetation index from remotely sensed colour infrared data within a 500 m residential catchment, and an urbanicity index derived from spatial analyses and measured with a 1 km buffer around each participant's residential address. Logistic regression models examined the associations between environmental exposures and COPD prevalence adjusting for a range of confounders. Subgroup analyses by urbanicity and effect modification by white blood cell count as an inflammatory marker were also done. Findings: We assessed 96 779 participants recruited between April 4, 2006, and Oct 1, 2010, of which 5391 participants had COPD with a prevalence of 5·6%. Each 10 μg/m3 increment in ambient PM2·5 exposure at a participant's residential location was associated with higher odds of COPD (odds ratio 1·55, 95% CI 1·14–2·10). Among the built environment metrics, urbanicity was associated with higher odds of COPD (1·05, 1·01–1·08 per interquartile increment), whereas residential greenness was protective, being associated with lower odds of COPD (0·89, 0·84–0·93 for each interquartile increment in greenness). The results remained consistent in models of COPD defined as per lower limit of normal criteria. The highest quartile of white blood cell count was associated with lower lung function and higher COPD risk with a significant interaction between PM2·5 and white blood cell count only in the model of lung function (p=0·0003). Interpretation: In this study of the built environment and COPD, to our knowledge the largest done in the UK, we found that exposur…","author":[{"dropping-particle":"","family":"Sarkar","given":"Chinmoy","non-dropping-particle":"","parse-names":false,"suffix":""},{"dropping-particle":"","family":"Zhang","given":"Bing","non-dropping-particle":"","parse-names":false,"suffix":""},{"dropping-particle":"","family":"Ni","given":"Michael","non-dropping-particle":"","parse-names":false,"suffix":""},{"dropping-particle":"","family":"Kumari","given":"Sarika","non-dropping-particle":"","parse-names":false,"suffix":""},{"dropping-particle":"","family":"Bauermeister","given":"Sarah","non-dropping-particle":"","parse-names":false,"suffix":""},{"dropping-particle":"","family":"Gallacher","given":"John","non-dropping-particle":"","parse-names":false,"suffix":""},{"dropping-particle":"","family":"Webster","given":"Chris","non-dropping-particle":"","parse-names":false,"suffix":""}],"container-title":"The Lancet Planetary Health","id":"ITEM-1","issue":"11","issued":{"date-parts":[["2019","11","1"]]},"page":"e478-e490","publisher":"Elsevier","title":"Environmental correlates of chronic obstructive pulmonary disease in 96 779 participants from the UK Biobank: a cross-sectional, observational study","type":"article-journal","volume":"3"},"uris":["http://www.mendeley.com/documents/?uuid=1bf00dcb-5df7-370a-8c93-eaebf23b1ba3"]},{"id":"ITEM-2","itemData":{"DOI":"10.1136/JECH.2008.079038","ISSN":"0143-005X","PMID":"19833605","abstract":"Background: As a result of increasing urbanisation, people face the prospect of living in environments with few green spaces. There is increasing evidence for a positive relation between green space in people’s living environment and self-reported indicators of physical and mental health. This study investigates whether physician-assessed morbidity is also related to green space in people’s living environment.\n\nMethods: Morbidity data were derived from electronic medical records of 195 general practitioners in 96 Dutch practices, serving a population of 345 143 people. Morbidity was classified by the general practitioners according to the International Classification of Primary Care. The percentage of green space within a 1 km and 3 km radius around the postal code coordinates was derived from an existing database and was calculated for each household. Multilevel logistic regression analyses were performed, controlling for demographic and socioeconomic characteristics.\n\nResults: The annual prevalence rate of 15 of the 24 disease clusters was lower in living environments with more green space in a 1 km radius. The relation was strongest for anxiety disorder and depression. The relation was stronger for children and people with a lower socioeconomic status. Furthermore, the relation was strongest in slightly urban areas and not apparent in very strongly urban areas.\n\nConclusion: This study indicates that the previously established relation between green space and a number of self-reported general indicators of physical and mental health can also be found for clusters of specific physician-assessed morbidity. The study stresses the importance of green space close to home for children and lower socioeconomic groups.","author":[{"dropping-particle":"","family":"Maas","given":"J.","non-dropping-particle":"","parse-names":false,"suffix":""},{"dropping-particle":"","family":"Verheij","given":"R. A.","non-dropping-particle":"","parse-names":false,"suffix":""},{"dropping-particle":"","family":"Vries","given":"S.","non-dropping-particle":"De","parse-names":false,"suffix":""},{"dropping-particle":"","family":"Spreeuwenberg","given":"P.","non-dropping-particle":"","parse-names":false,"suffix":""},{"dropping-particle":"","family":"Schellevis","given":"F. G.","non-dropping-particle":"","parse-names":false,"suffix":""},{"dropping-particle":"","family":"Groenewegen","given":"P. P.","non-dropping-particle":"","parse-names":false,"suffix":""}],"container-title":"Journal of Epidemiology &amp; Community Health","id":"ITEM-2","issue":"12","issued":{"date-parts":[["2009","12","1"]]},"page":"967-973","publisher":"BMJ Publishing Group Ltd","title":"Morbidity is related to a green living environment","type":"article-journal","volume":"63"},"uris":["http://www.mendeley.com/documents/?uuid=294764ac-5234-320f-9172-834f3967102a"]},{"id":"ITEM-3","itemData":{"DOI":"10.1016/J.ENVINT.2017.08.009","ISSN":"0160-4120","PMID":"28926750","abstract":"Background There is increasing policy interest in the potential for vegetation in urban areas to mitigate harmful effects of air pollution on respiratory health. We aimed to quantify relationships between tree and green space density and asthma-related hospitalisations, and explore how these varied with exposure to background air pollution concentrations. Methods Population standardised asthma hospitalisation rates (1997–2012) for 26,455 urban residential areas of England were merged with area-level data on vegetation and background air pollutant concentrations. We fitted negative binomial regression models using maximum likelihood estimation to obtain estimates of asthma-vegetation relationships at different levels of pollutant exposure. Results Green space and gardens were associated with reductions in asthma hospitalisation when pollutant exposures were lower but had no significant association when pollutant exposures were higher. In contrast, tree density was associated with reduced asthma hospitalisation when pollutant exposures were higher but had no significant association when pollutant exposures were lower. Conclusions We found differential effects of natural environments at high and low background pollutant concentrations. These findings can provide evidence for urban planning decisions which aim to leverage health co-benefits from environmental improvements.","author":[{"dropping-particle":"","family":"Alcock","given":"Ian","non-dropping-particle":"","parse-names":false,"suffix":""},{"dropping-particle":"","family":"White","given":"Mathew","non-dropping-particle":"","parse-names":false,"suffix":""},{"dropping-particle":"","family":"Cherrie","given":"Mark","non-dropping-particle":"","parse-names":false,"suffix":""},{"dropping-particle":"","family":"Wheeler","given":"Benedict","non-dropping-particle":"","parse-names":false,"suffix":""},{"dropping-particle":"","family":"Taylor","given":"Jonathon","non-dropping-particle":"","parse-names":false,"suffix":""},{"dropping-particle":"","family":"McInnes","given":"Rachel","non-dropping-particle":"","parse-names":false,"suffix":""},{"dropping-particle":"","family":"Otte im Kampe","given":"Eveline","non-dropping-particle":"","parse-names":false,"suffix":""},{"dropping-particle":"","family":"Vardoulakis","given":"Sotiris","non-dropping-particle":"","parse-names":false,"suffix":""},{"dropping-particle":"","family":"Sarran","given":"Christophe","non-dropping-particle":"","parse-names":false,"suffix":""},{"dropping-particle":"","family":"Soyiri","given":"Ireneous","non-dropping-particle":"","parse-names":false,"suffix":""},{"dropping-particle":"","family":"Fleming","given":"Lora","non-dropping-particle":"","parse-names":false,"suffix":""}],"container-title":"Environment International","id":"ITEM-3","issued":{"date-parts":[["2017","12","1"]]},"page":"29-41","publisher":"Pergamon","title":"Land cover and air pollution are associated with asthma hospitalisations: A cross-sectional study","type":"article-journal","volume":"109"},"uris":["http://www.mendeley.com/documents/?uuid=fc3abc1d-9b30-317e-a9a0-b9360d9aa657"]},{"id":"ITEM-4","itemData":{"DOI":"10.1016/J.ENVRES.2022.112877","ISSN":"0013-9351","PMID":"35131324","abstract":"Background: Studies on the association of greenness with respiratory health are scarce in developing countries, and previous studies in China have focused on only one or two indicators of lung function. Objective: The study aims to evaluate the associations of residential greenness with full-spectrum lung function indicators and prevalence of chronic obstructive pulmonary disease (COPD). Methods: This nationwide cross-sectional survey included 50,991 participants from the China Pulmonary Health study. Lung function indicators included four categories: indicators of obstructive ventilatory dysfunction (FEV1, FVC and FEV1/FVC); an indicator of large-airway dysfunction (PEF); indicators of small-airway dysfunction (FEF25–75% and FEV3/FEV6); and other indicators. Residential greenness was assessed by the Normalized Difference Vegetation Index (NDVI). Multivariable linear regression models and logistic regression models were used to analyze associations of greenness with lung function and COPD prevalence. Results: Within the 500 m buffer, an interquartile range (IQR) increase in NDVI was associated with higher FEV1 (24.76 mL), FVC (16.52 mL), FEV1/FVC (0.38), FEF50% (56.34 mL/s), FEF75% (33.43 mL/s), FEF25–75% (60.73 mL/s), FEV3 (18.59 mL), and FEV6 (21.85 mL). However, NDVI was associated with lower PEF. In addition, NDVI was significantly associated with 10% lower odds of COPD. The stratified analyses found that the associations were only significant in middle-young people, females, and nonsmokers. The associations were influenced by geographic regions. Conclusions: Residential greenness was associated with better lung function and lower odds of COPD in China. These findings provide a scientific basis for healthy community planning.","author":[{"dropping-particle":"","family":"Xiao","given":"Yalan","non-dropping-particle":"","parse-names":false,"suffix":""},{"dropping-particle":"","family":"Gu","given":"Xiaoying","non-dropping-particle":"","parse-names":false,"suffix":""},{"dropping-particle":"","family":"Niu","given":"Hongtao","non-dropping-particle":"","parse-names":false,"suffix":""},{"dropping-particle":"","family":"Meng","given":"Xia","non-dropping-particle":"","parse-names":false,"suffix":""},{"dropping-particle":"","family":"Zhang","given":"Lina","non-dropping-particle":"","parse-names":false,"suffix":""},{"dropping-particle":"","family":"Xu","given":"Jianying","non-dropping-particle":"","parse-names":false,"suffix":""},{"dropping-particle":"","family":"Yang","given":"Lan","non-dropping-particle":"","parse-names":false,"suffix":""},{"dropping-particle":"","family":"Zhao","given":"Jianping","non-dropping-particle":"","parse-names":false,"suffix":""},{"dropping-particle":"","family":"Zhang","given":"Xiangyan","non-dropping-particle":"","parse-names":false,"suffix":""},{"dropping-particle":"","family":"Bai","given":"Chunxue","non-dropping-particle":"","parse-names":false,"suffix":""},{"dropping-particle":"","family":"Kang","given":"Jian","non-dropping-particle":"","parse-names":false,"suffix":""},{"dropping-particle":"","family":"Ran","given":"Pixin","non-dropping-particle":"","parse-names":false,"suffix":""},{"dropping-particle":"","family":"Shen","given":"Huahao","non-dropping-particle":"","parse-names":false,"suffix":""},{"dropping-particle":"","family":"Wen","given":"Fuqiang","non-dropping-particle":"","parse-names":false,"suffix":""},{"dropping-particle":"","family":"Huang","given":"Kewu","non-dropping-particle":"","parse-names":false,"suffix":""},{"dropping-particle":"","family":"Chen","given":"Yahong","non-dropping-particle":"","parse-names":false,"suffix":""},{"dropping-particle":"","family":"Sun","given":"Tieying","non-dropping-particle":"","parse-names":false,"suffix":""},{"dropping-particle":"","family":"Shan","given":"Guangliang","non-dropping-particle":"","parse-names":false,"suffix":""},{"dropping-particle":"","family":"Lin","given":"Yingxiang","non-dropping-particle":"","parse-names":false,"suffix":""},{"dropping-particle":"","family":"Wu","given":"Sinan","non-dropping-particle":"","parse-names":false,"suffix":""},{"dropping-particle":"","family":"Zhu","given":"Jianguo","non-dropping-particle":"","parse-names":false,"suffix":""},{"dropping-particle":"","family":"Wang","given":"Ruiying","non-dropping-particle":"","parse-names":false,"suffix":""},{"dropping-particle":"","family":"Shi","given":"Zhihong","non-dropping-particle":"","parse-names":false,"suffix":""},{"dropping-particle":"","family":"Xu","given":"Yongjian","non-dropping-particle":"","parse-names":false,"suffix":""},{"dropping-particle":"","family":"Ye","given":"Xianwei","non-dropping-particle":"","parse-names":false,"suffix":""},{"dropping-particle":"","family":"Song","given":"Yuanlin","non-dropping-particle":"","parse-names":false,"suffix":""},{"dropping-particle":"","family":"Wang","given":"Qiuyue","non-dropping-particle":"","parse-names":false,"suffix":""},{"dropping-particle":"","family":"Zhou","given":"Yumin","non-dropping-particle":"","parse-names":false,"suffix":""},{"dropping-particle":"","family":"Ding","given":"Liren","non-dropping-particle":"","parse-names":false,"suffix":""},{"dropping-particle":"","family":"Li","given":"Diandian","non-dropping-particle":"","parse-names":false,"suffix":""},{"dropping-particle":"","family":"Yao","given":"Wanzhen","non-dropping-particle":"","parse-names":false,"suffix":""},{"dropping-particle":"","family":"Guo","given":"Yanfei","non-dropping-particle":"","parse-names":false,"suffix":""},{"dropping-particle":"","family":"Xiao","given":"Fei","non-dropping-particle":"","parse-names":false,"suffix":""},{"dropping-particle":"","family":"Lu","given":"Yong","non-dropping-particle":"","parse-names":false,"suffix":""},{"dropping-particle":"","family":"Peng","given":"Xiaoxia","non-dropping-particle":"","parse-names":false,"suffix":""},{"dropping-particle":"","family":"Zhang","given":"Biao","non-dropping-particle":"","parse-names":false,"suffix":""},{"dropping-particle":"","family":"Xiao","given":"Dan","non-dropping-particle":"","parse-names":false,"suffix":""},{"dropping-particle":"","family":"Wang","given":"Zuomin","non-dropping-particle":"","parse-names":false,"suffix":""},{"dropping-particle":"","family":"Zhang","given":"Hong","non-dropping-particle":"","parse-names":false,"suffix":""},{"dropping-particle":"","family":"Bu","given":"Xiaoning","non-dropping-particle":"","parse-names":false,"suffix":""},{"dropping-particle":"","family":"Zhang","given":"Xiaolei","non-dropping-particle":"","parse-names":false,"suffix":""},{"dropping-particle":"","family":"An","given":"Li","non-dropping-particle":"","parse-names":false,"suffix":""},{"dropping-particle":"","family":"Zhang","given":"Shu","non-dropping-particle":"","parse-names":false,"suffix":""},{"dropping-particle":"","family":"Cao","given":"Zhixin","non-dropping-particle":"","parse-names":false,"suffix":""},{"dropping-particle":"","family":"Zhan","given":"Qingyuan","non-dropping-particle":"","parse-names":false,"suffix":""},{"dropping-particle":"","family":"Yang","given":"Yuanhua","non-dropping-particle":"","parse-names":false,"suffix":""},{"dropping-particle":"","family":"Liang","given":"Lirong","non-dropping-particle":"","parse-names":false,"suffix":""},{"dropping-particle":"","family":"Cao","given":"Bin","non-dropping-particle":"","parse-names":false,"suffix":""},{"dropping-particle":"","family":"Dai","given":"Huaping","non-dropping-particle":"","parse-names":false,"suffix":""},{"dropping-particle":"","family":"Wu","given":"Tangchun","non-dropping-particle":"","parse-names":false,"suffix":""},{"dropping-particle":"","family":"He","given":"Jiang","non-dropping-particle":"","parse-names":false,"suffix":""},{"dropping-particle":"","family":"Kan","given":"Haidong","non-dropping-particle":"","parse-names":false,"suffix":""},{"dropping-particle":"","family":"Chen","given":"Renjie","non-dropping-particle":"","parse-names":false,"suffix":""},{"dropping-particle":"","family":"Yang","given":"Ting","non-dropping-particle":"","parse-names":false,"suffix":""},{"dropping-particle":"","family":"Wang","given":"Chen","non-dropping-particle":"","parse-names":false,"suffix":""}],"container-title":"Environmental Research","id":"ITEM-4","issued":{"date-parts":[["2022","6","1"]]},"page":"112877","publisher":"Academic Press","title":"Associations of residential greenness with lung function and chronic obstructive pulmonary disease in China","type":"article-journal","volume":"209"},"uris":["http://www.mendeley.com/documents/?uuid=4e6e0aca-403e-301a-b2db-39e768321c13"]}],"mendeley":{"formattedCitation":"&lt;sup&gt;15–18&lt;/sup&gt;","plainTextFormattedCitation":"15–18","previouslyFormattedCitation":"&lt;sup&gt;15–18&lt;/sup&gt;"},"properties":{"noteIndex":0},"schema":"https://github.com/citation-style-language/schema/raw/master/csl-citation.json"}</w:instrText>
      </w:r>
      <w:r w:rsidRPr="00832218">
        <w:rPr>
          <w:bCs/>
        </w:rPr>
        <w:fldChar w:fldCharType="separate"/>
      </w:r>
      <w:r w:rsidR="00B966BB" w:rsidRPr="00832218">
        <w:rPr>
          <w:bCs/>
          <w:noProof/>
          <w:vertAlign w:val="superscript"/>
        </w:rPr>
        <w:t>15–18</w:t>
      </w:r>
      <w:r w:rsidRPr="00832218">
        <w:rPr>
          <w:bCs/>
        </w:rPr>
        <w:fldChar w:fldCharType="end"/>
      </w:r>
      <w:r w:rsidRPr="00832218">
        <w:rPr>
          <w:bCs/>
        </w:rPr>
        <w:t xml:space="preserve"> but not all stu</w:t>
      </w:r>
      <w:r w:rsidR="00727327" w:rsidRPr="00832218">
        <w:rPr>
          <w:bCs/>
        </w:rPr>
        <w:t>dies.</w:t>
      </w:r>
      <w:r w:rsidRPr="00832218">
        <w:rPr>
          <w:bCs/>
        </w:rPr>
        <w:fldChar w:fldCharType="begin" w:fldLock="1"/>
      </w:r>
      <w:r w:rsidR="00AE4BAE" w:rsidRPr="00832218">
        <w:rPr>
          <w:bCs/>
        </w:rPr>
        <w:instrText>ADDIN CSL_CITATION {"citationItems":[{"id":"ITEM-1","itemData":{"DOI":"10.1016/J.ENVINT.2020.106042","ISSN":"0160-4120","abstract":"Differential findings have been reported on the association between neighborhood greenness and chronic obstructive pulmonary disease (COPD). The underlying reasons might be the different types of vegetation and the diagnosis methods used in different studies. In this nationwide cross-sectional study in China, we examined the linkage between neighborhood greenness and COPD prevalence among 66,752 adults aged 40 years and above. Neighborhood greenness was estimated using the normalized difference vegetation index (NDVI) based on satellite imagery within buffers of 100, 300, 500, 1000, 2000, 3000 and 5000 m of residential community of the participants. COPD was defined according to the 2017 Global Initiative for Chronic Obstructive Lung Disease lung function criteria. A two-level logistic regression model was applied to estimate the associations. Finally, 9134 adults were classified as COPD. We observed significant positive associations between neighborhood greenness and COPD prevalence. The odds ratio for each interquartile range increase in NDVI within 100 m buffer was 1.08 (95% CI: 1.01, 1.15) after adjustment for potential confounders. Consistent associations were observed across all other NDVI buffer sizes. Stratified analyses revealed that younger adults (40–65 years) and urban residents might be the vulnerable subpopulations. Further regional analyses found that residents from the Northeastern and Northern China were more likely to have this association. Our results indicated that neighborhood greenness might be one risk factor of COPD prevalence. Our study have important public health implications for allocating the surrounding green spaces among living areas, especially for those with respiratory illness; however, the findings and the underlying mechanisms warrant further examinations in longitudinal settings.","author":[{"dropping-particle":"","family":"Fan","given":"Jing","non-dropping-particle":"","parse-names":false,"suffix":""},{"dropping-particle":"","family":"Guo","given":"Yawei","non-dropping-particle":"","parse-names":false,"suffix":""},{"dropping-particle":"","family":"Cao","given":"Zheng","non-dropping-particle":"","parse-names":false,"suffix":""},{"dropping-particle":"","family":"Cong","given":"Shu","non-dropping-particle":"","parse-names":false,"suffix":""},{"dropping-particle":"","family":"Wang","given":"Ning","non-dropping-particle":"","parse-names":false,"suffix":""},{"dropping-particle":"","family":"Lin","given":"Hualiang","non-dropping-particle":"","parse-names":false,"suffix":""},{"dropping-particle":"","family":"Wang","given":"Chongjian","non-dropping-particle":"","parse-names":false,"suffix":""},{"dropping-particle":"","family":"Bao","given":"Heling","non-dropping-particle":"","parse-names":false,"suffix":""},{"dropping-particle":"","family":"Lv","given":"Xueli","non-dropping-particle":"","parse-names":false,"suffix":""},{"dropping-particle":"","family":"Wang","given":"Baohua","non-dropping-particle":"","parse-names":false,"suffix":""},{"dropping-particle":"","family":"Gao","given":"Yi","non-dropping-particle":"","parse-names":false,"suffix":""},{"dropping-particle":"","family":"Chen","given":"Yahong","non-dropping-particle":"","parse-names":false,"suffix":""},{"dropping-particle":"","family":"Yang","given":"Ting","non-dropping-particle":"","parse-names":false,"suffix":""},{"dropping-particle":"","family":"Wang","given":"Linhong","non-dropping-particle":"","parse-names":false,"suffix":""},{"dropping-particle":"","family":"Wang","given":"Chen","non-dropping-particle":"","parse-names":false,"suffix":""},{"dropping-particle":"","family":"Ruan","given":"Zengliang","non-dropping-particle":"","parse-names":false,"suffix":""},{"dropping-particle":"","family":"Fang","given":"Liwen","non-dropping-particle":"","parse-names":false,"suffix":""}],"container-title":"Environment International","id":"ITEM-1","issued":{"date-parts":[["2020","11","1"]]},"page":"106042","publisher":"Pergamon","title":"Neighborhood greenness associated with chronic obstructive pulmonary disease: A nationwide cross-sectional study in China","type":"article-journal","volume":"144"},"uris":["http://www.mendeley.com/documents/?uuid=fb48cba6-09e7-3eac-9cc8-0fceb2aae1a5"]}],"mendeley":{"formattedCitation":"&lt;sup&gt;4&lt;/sup&gt;","plainTextFormattedCitation":"4","previouslyFormattedCitation":"&lt;sup&gt;4&lt;/sup&gt;"},"properties":{"noteIndex":0},"schema":"https://github.com/citation-style-language/schema/raw/master/csl-citation.json"}</w:instrText>
      </w:r>
      <w:r w:rsidRPr="00832218">
        <w:rPr>
          <w:bCs/>
        </w:rPr>
        <w:fldChar w:fldCharType="separate"/>
      </w:r>
      <w:r w:rsidR="00AE4BAE" w:rsidRPr="00832218">
        <w:rPr>
          <w:bCs/>
          <w:noProof/>
          <w:vertAlign w:val="superscript"/>
        </w:rPr>
        <w:t>4</w:t>
      </w:r>
      <w:r w:rsidRPr="00832218">
        <w:rPr>
          <w:bCs/>
        </w:rPr>
        <w:fldChar w:fldCharType="end"/>
      </w:r>
      <w:r w:rsidRPr="00832218">
        <w:rPr>
          <w:bCs/>
        </w:rPr>
        <w:t xml:space="preserve"> The positive association with RSD hospitalization might be because vegetation can be a source of pollen </w:t>
      </w:r>
      <w:r w:rsidR="00C60DEE" w:rsidRPr="00832218">
        <w:rPr>
          <w:bCs/>
        </w:rPr>
        <w:t>and other respiratory irritants</w:t>
      </w:r>
      <w:r w:rsidR="004C4B0B" w:rsidRPr="00832218">
        <w:rPr>
          <w:bCs/>
        </w:rPr>
        <w:t>, such as VOCs</w:t>
      </w:r>
      <w:r w:rsidR="00727327" w:rsidRPr="00832218">
        <w:rPr>
          <w:bCs/>
        </w:rPr>
        <w:t>.</w:t>
      </w:r>
      <w:r w:rsidRPr="00832218">
        <w:rPr>
          <w:bCs/>
        </w:rPr>
        <w:fldChar w:fldCharType="begin" w:fldLock="1"/>
      </w:r>
      <w:r w:rsidR="007B1CE3">
        <w:rPr>
          <w:bCs/>
        </w:rPr>
        <w:instrText>ADDIN CSL_CITATION {"citationItems":[{"id":"ITEM-1","itemData":{"DOI":"10.1111/J.1365-2222.2007.02800.X","ISSN":"1365-2222","PMID":"17883735","abstract":"Background: Although the role of pollen and fungus in specific allergic disorders has been well established, the public health impacts of ambient concentrations of airborne pollen and fungal spores; the shapes of concentration-response relationships; and the relative effects of different taxa are gaps in current knowledge. Objective: To investigate associations between daily average ambient pollen and fungal spore concentrations with hospital admissions for total respiratory diseases; asthma; chronic obstructive pulmonary disease (COPD); and respiratory infections in Darwin, Australia, during the period from April 2004 to November 2005. Methods: We assessed these relationships in a two-stage modelling approach designed to quantify potential non-linear relationships. First, generalized additive models determined the shapes of concentration-response relationships. Second, linear associations were examined using generalized linear models. Non-linear relationships were analysed by categorizing pollen and fungal spore concentrations based on their distributions. Results: Positive linear associations were found between total pollen concentrations and hospital admissions for total respiratory diseases and COPD. While our exploratory first-stage analysis suggested non-linear relationships for total pollen with asthma and respiratory infections, no convincing evidence for these relationships was found in the second-stage analysis. When individual taxa were investigated, associations were the strongest in relation to Myrtaceae pollen (the dominant tree taxa in the region), while positive associations not attaining statistical significance were observed for Poaceae, Cyperaceae and Arecaceae. No associations were evident for any conditions with fungal spores. Conclusions: Our finding of an association between pollen count and respiratory hospital admissions that could not be explained by asthma admissions suggests that ambient airborne pollens might have a wider public health impact than previously recognized. © 2007 Blackwell Publishing Ltd.","author":[{"dropping-particle":"","family":"Hanigan","given":"I. C.","non-dropping-particle":"","parse-names":false,"suffix":""},{"dropping-particle":"","family":"Johnston","given":"F. H.","non-dropping-particle":"","parse-names":false,"suffix":""}],"container-title":"Clinical &amp; Experimental Allergy","id":"ITEM-1","issue":"10","issued":{"date-parts":[["2007","10","1"]]},"page":"1556-1565","publisher":"John Wiley &amp; Sons, Ltd","title":"Respiratory hospital admissions were associated with ambient airborne pollen in Darwin, Australia, 2004–2005","type":"article-journal","volume":"37"},"uris":["http://www.mendeley.com/documents/?uuid=1107f7e7-702f-35fb-b6e8-421a63043120"]}],"mendeley":{"formattedCitation":"&lt;sup&gt;28&lt;/sup&gt;","plainTextFormattedCitation":"28","previouslyFormattedCitation":"&lt;sup&gt;28&lt;/sup&gt;"},"properties":{"noteIndex":0},"schema":"https://github.com/citation-style-language/schema/raw/master/csl-citation.json"}</w:instrText>
      </w:r>
      <w:r w:rsidRPr="00832218">
        <w:rPr>
          <w:bCs/>
        </w:rPr>
        <w:fldChar w:fldCharType="separate"/>
      </w:r>
      <w:r w:rsidR="00961FCF" w:rsidRPr="00961FCF">
        <w:rPr>
          <w:bCs/>
          <w:noProof/>
          <w:vertAlign w:val="superscript"/>
        </w:rPr>
        <w:t>28</w:t>
      </w:r>
      <w:r w:rsidRPr="00832218">
        <w:rPr>
          <w:bCs/>
        </w:rPr>
        <w:fldChar w:fldCharType="end"/>
      </w:r>
      <w:r w:rsidRPr="00832218">
        <w:rPr>
          <w:bCs/>
        </w:rPr>
        <w:t xml:space="preserve"> </w:t>
      </w:r>
      <w:r w:rsidRPr="00832218">
        <w:t>Emission of VOC</w:t>
      </w:r>
      <w:r w:rsidR="00C60DEE" w:rsidRPr="00832218">
        <w:t>s</w:t>
      </w:r>
      <w:r w:rsidRPr="00832218">
        <w:t xml:space="preserve"> </w:t>
      </w:r>
      <w:proofErr w:type="gramStart"/>
      <w:r w:rsidRPr="00832218">
        <w:t>might be more strongly related</w:t>
      </w:r>
      <w:proofErr w:type="gramEnd"/>
      <w:r w:rsidRPr="00832218">
        <w:t xml:space="preserve"> to greenness compared to percent public park cover. </w:t>
      </w:r>
      <w:r w:rsidR="00837A9C" w:rsidRPr="00832218">
        <w:t>D</w:t>
      </w:r>
      <w:r w:rsidRPr="00832218">
        <w:rPr>
          <w:bCs/>
        </w:rPr>
        <w:t xml:space="preserve">ominant vegetation types </w:t>
      </w:r>
      <w:r w:rsidR="00837A9C" w:rsidRPr="00832218">
        <w:rPr>
          <w:bCs/>
        </w:rPr>
        <w:t xml:space="preserve">likely </w:t>
      </w:r>
      <w:r w:rsidRPr="00832218">
        <w:rPr>
          <w:bCs/>
        </w:rPr>
        <w:t>differ between</w:t>
      </w:r>
      <w:r w:rsidR="005B6578" w:rsidRPr="00832218">
        <w:rPr>
          <w:bCs/>
        </w:rPr>
        <w:t xml:space="preserve"> region</w:t>
      </w:r>
      <w:r w:rsidR="0045363E" w:rsidRPr="00832218">
        <w:rPr>
          <w:bCs/>
        </w:rPr>
        <w:t>s</w:t>
      </w:r>
      <w:r w:rsidR="005B6578" w:rsidRPr="00832218">
        <w:rPr>
          <w:bCs/>
        </w:rPr>
        <w:t>;</w:t>
      </w:r>
      <w:r w:rsidRPr="00832218">
        <w:rPr>
          <w:bCs/>
        </w:rPr>
        <w:t xml:space="preserve"> this may explain the differences </w:t>
      </w:r>
      <w:r w:rsidR="00597AC8">
        <w:rPr>
          <w:bCs/>
        </w:rPr>
        <w:t xml:space="preserve">of our findings </w:t>
      </w:r>
      <w:r w:rsidR="00837A9C" w:rsidRPr="00832218">
        <w:rPr>
          <w:bCs/>
        </w:rPr>
        <w:t xml:space="preserve">with other studies </w:t>
      </w:r>
      <w:proofErr w:type="gramStart"/>
      <w:r w:rsidR="00837A9C" w:rsidRPr="00832218">
        <w:rPr>
          <w:bCs/>
        </w:rPr>
        <w:t>and also</w:t>
      </w:r>
      <w:proofErr w:type="gramEnd"/>
      <w:r w:rsidR="00837A9C" w:rsidRPr="00832218">
        <w:rPr>
          <w:bCs/>
        </w:rPr>
        <w:t xml:space="preserve"> </w:t>
      </w:r>
      <w:r w:rsidR="000B754E" w:rsidRPr="00832218">
        <w:rPr>
          <w:bCs/>
        </w:rPr>
        <w:t xml:space="preserve">the differences </w:t>
      </w:r>
      <w:r w:rsidRPr="00832218">
        <w:rPr>
          <w:bCs/>
        </w:rPr>
        <w:t xml:space="preserve">between the regional effect estimates </w:t>
      </w:r>
      <w:r w:rsidR="00C60DEE" w:rsidRPr="00832218">
        <w:rPr>
          <w:bCs/>
        </w:rPr>
        <w:t xml:space="preserve">for </w:t>
      </w:r>
      <w:r w:rsidRPr="00832218">
        <w:rPr>
          <w:bCs/>
        </w:rPr>
        <w:t>greenness. I</w:t>
      </w:r>
      <w:r w:rsidRPr="00832218">
        <w:t>n the eastern</w:t>
      </w:r>
      <w:r w:rsidR="00EC34A3" w:rsidRPr="00832218">
        <w:t xml:space="preserve"> U.S.</w:t>
      </w:r>
      <w:r w:rsidRPr="00832218">
        <w:t>, isoprene and monoterpene emission fr</w:t>
      </w:r>
      <w:r w:rsidR="00E54A33" w:rsidRPr="00832218">
        <w:t xml:space="preserve">om vegetation </w:t>
      </w:r>
      <w:r w:rsidR="00E54A33" w:rsidRPr="00832218">
        <w:lastRenderedPageBreak/>
        <w:t>is generally high,</w:t>
      </w:r>
      <w:r w:rsidRPr="00832218">
        <w:fldChar w:fldCharType="begin" w:fldLock="1"/>
      </w:r>
      <w:r w:rsidR="007B1CE3">
        <w:instrText>ADDIN CSL_CITATION {"citationItems":[{"id":"ITEM-1","itemData":{"DOI":"10.1126/science.abb3221","ISSN":"10959203","PMID":"32179701","abstract":"Estimation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author":[{"dropping-particle":"","family":"Li","given":"Ruiyun","non-dropping-particle":"","parse-names":false,"suffix":""},{"dropping-particle":"","family":"Pei","given":"Sen","non-dropping-particle":"","parse-names":false,"suffix":""},{"dropping-particle":"","family":"Chen","given":"Bin","non-dropping-particle":"","parse-names":false,"suffix":""},{"dropping-particle":"","family":"Song","given":"Yimeng","non-dropping-particle":"","parse-names":false,"suffix":""},{"dropping-particle":"","family":"Zhang","given":"Tao","non-dropping-particle":"","parse-names":false,"suffix":""},{"dropping-particle":"","family":"Yang","given":"Wan","non-dropping-particle":"","parse-names":false,"suffix":""},{"dropping-particle":"","family":"Shaman","given":"Jeffrey","non-dropping-particle":"","parse-names":false,"suffix":""}],"container-title":"Science","id":"ITEM-1","issue":"6490","issued":{"date-parts":[["2020","5","1"]]},"page":"489-493","publisher":"American Association for the Advancement of Science","title":"Substantial undocumented infection facilitates the rapid dissemination of novel coronavirus (SARS-CoV-2)","type":"article-journal","volume":"368"},"uris":["http://www.mendeley.com/documents/?uuid=c6de9316-5665-36bd-95ca-9c33084f0e2e"]},{"id":"ITEM-2","itemData":{"DOI":"10.1029/2007JD008950","ISSN":"2156-2202","abstract":"Space-borne formaldehyde (HCHO) column measurements from the Ozone Monitoring Instrument (OMI), with 13 × 24 km&lt;sup&gt;2&lt;/sup&gt; nadir footprint and daily global coverage, provide new constraints on the spatial distribution of biogenic isoprene emission from North America. OMI HCHO columns for June-August 2006 are consistent with measurements from the earlier GOME satellite sensor (1996-2001) but OMI is 2-14% lower. The spatial distribution of OMI HCHO columns follows that of isoprene emission; anthropogenic hydrocarbon emissions are undetectable except in Houston. We develop updated relationships between HCHO columns and isoprene emission from a chemical transport model (GEOS-Chem), and use these to infer top-down constraints on isoprene emissions from the OMI data. We compare the OMI-derived emissions to a state-of-science bottom-up isoprene emission inventory (MEGAN) driven by two land cover databases, and use the results to optimize the MEGAN emission factors (EFs) for broadleaf trees (the main isoprene source). The OMI-derived isoprene emissions in North America (June-August 2006) with 1° × 1° resolution are spatially consistent with MEGAN (R&lt;sup&gt;2&lt;/sup&gt; = 0.48-0.68) but are lower (by 4-25% on average). MEGAN overestimates emissions in the Ozarks and the Upper South. A better fit to OMI (R&lt;sup&gt;2&lt;/sup&gt; = 0.73) is obtained in MEGAN by using a uniform isoprene EF from broadleaf trees rather than variable EFs. Thus MEGAN may overestimate emissions in areas where it specifies particularly high EFs. Within-canopy isoprene oxidation may also lead to significant differences between the effective isoprene emission to the atmosphere seen by OMI and the actual isoprene emission determined by MEGAN. Copyright 2008 by the American Geophysical Union.","author":[{"dropping-particle":"","family":"Millet","given":"Dylan B","non-dropping-particle":"","parse-names":false,"suffix":""},{"dropping-particle":"","family":"Jacob","given":"Daniel J","non-dropping-particle":"","parse-names":false,"suffix":""},{"dropping-particle":"","family":"Folkert Boersma","given":"K","non-dropping-particle":"","parse-names":false,"suffix":""},{"dropping-particle":"","family":"Fu","given":"Tzung-May","non-dropping-particle":"","parse-names":false,"suffix":""},{"dropping-particle":"","family":"Kurosu","given":"Thomas P","non-dropping-particle":"","parse-names":false,"suffix":""},{"dropping-particle":"","family":"Chance","given":"Kelly","non-dropping-particle":"","parse-names":false,"suffix":""},{"dropping-particle":"","family":"Heald","given":"Colette L","non-dropping-particle":"","parse-names":false,"suffix":""},{"dropping-particle":"","family":"Guenther","given":"Alex","non-dropping-particle":"","parse-names":false,"suffix":""},{"dropping-particle":"","family":"Jacob","given":"D B J","non-dropping-particle":"","parse-names":false,"suffix":""},{"dropping-particle":"","family":"Boersma","given":"K F","non-dropping-particle":"","parse-names":false,"suffix":""},{"dropping-particle":"","family":"Fu","given":"T M","non-dropping-particle":"","parse-names":false,"suffix":""},{"dropping-particle":"","family":"Kurosu","given":"T P","non-dropping-particle":"","parse-names":false,"suffix":""},{"dropping-particle":"","family":"Chance","given":"K","non-dropping-particle":"","parse-names":false,"suffix":""},{"dropping-particle":"","family":"Heald","given":"C L","non-dropping-particle":"","parse-names":false,"suffix":""},{"dropping-particle":"","family":"Guenther","given":"A","non-dropping-particle":"","parse-names":false,"suffix":""}],"container-title":"Journal of Geophysical Research: Atmospheres","id":"ITEM-2","issue":"D2","issued":{"date-parts":[["2008","1","27"]]},"page":"2307","publisher":"John Wiley &amp; Sons, Ltd","title":"Spatial distribution of isoprene emissions from North America derived from formaldehyde column measurements by the OMI satellite sensor","type":"article-journal","volume":"113"},"uris":["http://www.mendeley.com/documents/?uuid=c011ca46-f663-3e2c-b80a-7fd421d98733"]}],"mendeley":{"formattedCitation":"&lt;sup&gt;29,30&lt;/sup&gt;","plainTextFormattedCitation":"29,30","previouslyFormattedCitation":"&lt;sup&gt;29,30&lt;/sup&gt;"},"properties":{"noteIndex":0},"schema":"https://github.com/citation-style-language/schema/raw/master/csl-citation.json"}</w:instrText>
      </w:r>
      <w:r w:rsidRPr="00832218">
        <w:fldChar w:fldCharType="separate"/>
      </w:r>
      <w:r w:rsidR="00961FCF" w:rsidRPr="00961FCF">
        <w:rPr>
          <w:noProof/>
          <w:vertAlign w:val="superscript"/>
        </w:rPr>
        <w:t>29,30</w:t>
      </w:r>
      <w:r w:rsidRPr="00832218">
        <w:fldChar w:fldCharType="end"/>
      </w:r>
      <w:r w:rsidRPr="00832218">
        <w:t xml:space="preserve"> and could </w:t>
      </w:r>
      <w:r w:rsidR="00C60DEE" w:rsidRPr="00832218">
        <w:t>explain the</w:t>
      </w:r>
      <w:r w:rsidRPr="00832218">
        <w:t xml:space="preserve"> positive associations of greenness with RSD hospitalization in the South and Northeast.</w:t>
      </w:r>
    </w:p>
    <w:p w14:paraId="4B9EB320" w14:textId="41539721" w:rsidR="00353794" w:rsidRPr="00832218" w:rsidRDefault="00E462C3" w:rsidP="00047677">
      <w:pPr>
        <w:jc w:val="both"/>
      </w:pPr>
      <w:r w:rsidRPr="00832218">
        <w:t xml:space="preserve">We observed no protective </w:t>
      </w:r>
      <w:r w:rsidR="006D409F">
        <w:t>association</w:t>
      </w:r>
      <w:r w:rsidR="006D409F" w:rsidRPr="00832218">
        <w:t xml:space="preserve"> </w:t>
      </w:r>
      <w:r w:rsidR="006D409F">
        <w:t xml:space="preserve">between </w:t>
      </w:r>
      <w:r w:rsidRPr="00832218">
        <w:t>p</w:t>
      </w:r>
      <w:r w:rsidR="00DD462F" w:rsidRPr="00832218">
        <w:t xml:space="preserve">ercent public park cover </w:t>
      </w:r>
      <w:r w:rsidRPr="00832218">
        <w:t xml:space="preserve">or blue space </w:t>
      </w:r>
      <w:r w:rsidR="006D409F">
        <w:t>and</w:t>
      </w:r>
      <w:r w:rsidR="006D409F" w:rsidRPr="00832218">
        <w:t xml:space="preserve"> </w:t>
      </w:r>
      <w:r w:rsidRPr="00832218">
        <w:t>CVD or RSD hospitalization.</w:t>
      </w:r>
      <w:r w:rsidR="00DD462F" w:rsidRPr="00832218">
        <w:t xml:space="preserve"> </w:t>
      </w:r>
      <w:r w:rsidR="00F25E6D" w:rsidRPr="00832218">
        <w:rPr>
          <w:bCs/>
        </w:rPr>
        <w:t>This</w:t>
      </w:r>
      <w:r w:rsidR="00047677" w:rsidRPr="00832218">
        <w:t xml:space="preserve"> could be due to the absence of true associations in this study population, or methodological issues, s</w:t>
      </w:r>
      <w:r w:rsidR="00E12800" w:rsidRPr="00832218">
        <w:t xml:space="preserve">uch as </w:t>
      </w:r>
      <w:r w:rsidR="00DA67BD" w:rsidRPr="00832218">
        <w:t xml:space="preserve">our use of </w:t>
      </w:r>
      <w:r w:rsidR="00E12800" w:rsidRPr="00832218">
        <w:t>zip code</w:t>
      </w:r>
      <w:r w:rsidR="00D024FF" w:rsidRPr="00832218">
        <w:t>-</w:t>
      </w:r>
      <w:r w:rsidR="00E12800" w:rsidRPr="00832218">
        <w:t>level exposure</w:t>
      </w:r>
      <w:r w:rsidR="0027449C" w:rsidRPr="00832218">
        <w:t>,</w:t>
      </w:r>
      <w:r w:rsidR="00047677" w:rsidRPr="00832218">
        <w:t xml:space="preserve"> characteristics of our study population</w:t>
      </w:r>
      <w:r w:rsidR="00D024FF" w:rsidRPr="00832218">
        <w:t>,</w:t>
      </w:r>
      <w:r w:rsidR="0027449C" w:rsidRPr="00832218">
        <w:t xml:space="preserve"> and adjustment for potential confounders</w:t>
      </w:r>
      <w:r w:rsidR="00047677" w:rsidRPr="00832218">
        <w:t>. As we do not have information about the exact residential address of each beneficiary, we used zip code</w:t>
      </w:r>
      <w:r w:rsidR="00D024FF" w:rsidRPr="00832218">
        <w:t>-</w:t>
      </w:r>
      <w:r w:rsidR="00047677" w:rsidRPr="00832218">
        <w:t xml:space="preserve">level exposures. The </w:t>
      </w:r>
      <w:r w:rsidR="00E75682" w:rsidRPr="00832218">
        <w:t>median</w:t>
      </w:r>
      <w:r w:rsidR="00047677" w:rsidRPr="00832218">
        <w:t xml:space="preserve"> </w:t>
      </w:r>
      <w:r w:rsidR="009015FE" w:rsidRPr="00832218">
        <w:t>area</w:t>
      </w:r>
      <w:r w:rsidR="00047677" w:rsidRPr="00832218">
        <w:t xml:space="preserve"> of a zip code in the </w:t>
      </w:r>
      <w:r w:rsidR="00703D2F" w:rsidRPr="00832218">
        <w:t>contiguous</w:t>
      </w:r>
      <w:r w:rsidR="00EC34A3" w:rsidRPr="00832218">
        <w:t xml:space="preserve"> U.S.</w:t>
      </w:r>
      <w:r w:rsidR="00047677" w:rsidRPr="00832218">
        <w:t xml:space="preserve"> </w:t>
      </w:r>
      <w:r w:rsidR="00703D2F" w:rsidRPr="00832218">
        <w:t>(</w:t>
      </w:r>
      <w:r w:rsidR="00047677" w:rsidRPr="00832218">
        <w:t>in 2016</w:t>
      </w:r>
      <w:r w:rsidR="00703D2F" w:rsidRPr="00832218">
        <w:t>)</w:t>
      </w:r>
      <w:r w:rsidR="00047677" w:rsidRPr="00832218">
        <w:t xml:space="preserve"> was</w:t>
      </w:r>
      <w:r w:rsidR="00E75682" w:rsidRPr="00832218">
        <w:t xml:space="preserve"> </w:t>
      </w:r>
      <w:r w:rsidR="00194AE7" w:rsidRPr="00832218">
        <w:t xml:space="preserve">about </w:t>
      </w:r>
      <w:r w:rsidR="00E75682" w:rsidRPr="00832218">
        <w:t>107 km</w:t>
      </w:r>
      <w:r w:rsidR="00E75682" w:rsidRPr="00832218">
        <w:rPr>
          <w:vertAlign w:val="superscript"/>
        </w:rPr>
        <w:t>2</w:t>
      </w:r>
      <w:r w:rsidR="00047677" w:rsidRPr="00832218">
        <w:t xml:space="preserve"> and in urban </w:t>
      </w:r>
      <w:proofErr w:type="gramStart"/>
      <w:r w:rsidR="00047677" w:rsidRPr="00832218">
        <w:t>areas</w:t>
      </w:r>
      <w:proofErr w:type="gramEnd"/>
      <w:r w:rsidR="00047677" w:rsidRPr="00832218">
        <w:t xml:space="preserve"> it was </w:t>
      </w:r>
      <w:r w:rsidR="00194AE7" w:rsidRPr="00832218">
        <w:t xml:space="preserve">about </w:t>
      </w:r>
      <w:r w:rsidR="00BD7614" w:rsidRPr="00832218">
        <w:t>1</w:t>
      </w:r>
      <w:r w:rsidR="00531657" w:rsidRPr="00832218">
        <w:t>8</w:t>
      </w:r>
      <w:r w:rsidR="004A1E7D" w:rsidRPr="00832218">
        <w:t xml:space="preserve"> km</w:t>
      </w:r>
      <w:r w:rsidR="004A1E7D" w:rsidRPr="00832218">
        <w:rPr>
          <w:vertAlign w:val="superscript"/>
        </w:rPr>
        <w:t>2</w:t>
      </w:r>
      <w:r w:rsidR="004A1E7D" w:rsidRPr="00832218">
        <w:t>.</w:t>
      </w:r>
      <w:r w:rsidR="00047677" w:rsidRPr="00832218">
        <w:t xml:space="preserve"> This is substantially larger than the 300</w:t>
      </w:r>
      <w:r w:rsidR="00D024FF" w:rsidRPr="00832218">
        <w:t>m</w:t>
      </w:r>
      <w:r w:rsidR="00703D2F" w:rsidRPr="00832218">
        <w:t xml:space="preserve"> (</w:t>
      </w:r>
      <w:r w:rsidR="009015FE" w:rsidRPr="00832218">
        <w:t xml:space="preserve">area: </w:t>
      </w:r>
      <w:r w:rsidR="00703D2F" w:rsidRPr="00832218">
        <w:t>0.28 km</w:t>
      </w:r>
      <w:r w:rsidR="00703D2F" w:rsidRPr="00832218">
        <w:rPr>
          <w:vertAlign w:val="superscript"/>
        </w:rPr>
        <w:t>2</w:t>
      </w:r>
      <w:r w:rsidR="00703D2F" w:rsidRPr="00832218">
        <w:t>)</w:t>
      </w:r>
      <w:r w:rsidR="00047677" w:rsidRPr="00832218">
        <w:t xml:space="preserve">, </w:t>
      </w:r>
      <w:r w:rsidR="00C13BEB" w:rsidRPr="00832218">
        <w:t>and</w:t>
      </w:r>
      <w:r w:rsidR="00047677" w:rsidRPr="00832218">
        <w:t xml:space="preserve"> 1000</w:t>
      </w:r>
      <w:r w:rsidR="00D024FF" w:rsidRPr="00832218">
        <w:t>m</w:t>
      </w:r>
      <w:r w:rsidR="00047677" w:rsidRPr="00832218">
        <w:t xml:space="preserve"> </w:t>
      </w:r>
      <w:r w:rsidR="00703D2F" w:rsidRPr="00832218">
        <w:t>(</w:t>
      </w:r>
      <w:r w:rsidR="009015FE" w:rsidRPr="00832218">
        <w:t xml:space="preserve">area: </w:t>
      </w:r>
      <w:r w:rsidR="00703D2F" w:rsidRPr="00832218">
        <w:t>3.14 km</w:t>
      </w:r>
      <w:r w:rsidR="00703D2F" w:rsidRPr="00832218">
        <w:rPr>
          <w:vertAlign w:val="superscript"/>
        </w:rPr>
        <w:t>2</w:t>
      </w:r>
      <w:r w:rsidR="00703D2F" w:rsidRPr="00832218">
        <w:t xml:space="preserve">) </w:t>
      </w:r>
      <w:r w:rsidR="00047677" w:rsidRPr="00832218">
        <w:t>buffer</w:t>
      </w:r>
      <w:r w:rsidR="00C13BEB" w:rsidRPr="00832218">
        <w:t>s</w:t>
      </w:r>
      <w:r w:rsidR="006D409F">
        <w:t xml:space="preserve"> commonly used in natural environment and health studies</w:t>
      </w:r>
      <w:r w:rsidR="00047677" w:rsidRPr="00832218">
        <w:t xml:space="preserve">. Moreover, greenness and </w:t>
      </w:r>
      <w:r w:rsidR="00CD66D5" w:rsidRPr="00832218">
        <w:t xml:space="preserve">percent </w:t>
      </w:r>
      <w:r w:rsidR="00047677" w:rsidRPr="00832218">
        <w:t xml:space="preserve">public park cover can differ substantially within a zip code, and beneficiaries living close to the border of their zip code </w:t>
      </w:r>
      <w:proofErr w:type="gramStart"/>
      <w:r w:rsidR="00047677" w:rsidRPr="00832218">
        <w:t>can be exposed</w:t>
      </w:r>
      <w:proofErr w:type="gramEnd"/>
      <w:r w:rsidR="00047677" w:rsidRPr="00832218">
        <w:t xml:space="preserve"> to greenness in neighboring zip codes.</w:t>
      </w:r>
      <w:r w:rsidR="009015FE" w:rsidRPr="00832218">
        <w:t xml:space="preserve"> </w:t>
      </w:r>
      <w:r w:rsidRPr="00832218">
        <w:rPr>
          <w:bCs/>
        </w:rPr>
        <w:t xml:space="preserve">The lack of associations for percent blue space cover </w:t>
      </w:r>
      <w:proofErr w:type="gramStart"/>
      <w:r w:rsidRPr="00832218">
        <w:rPr>
          <w:bCs/>
        </w:rPr>
        <w:t>may be related</w:t>
      </w:r>
      <w:proofErr w:type="gramEnd"/>
      <w:r w:rsidRPr="00832218">
        <w:rPr>
          <w:bCs/>
        </w:rPr>
        <w:t xml:space="preserve"> to the limited variability. Moreover, we note </w:t>
      </w:r>
      <w:proofErr w:type="gramStart"/>
      <w:r w:rsidRPr="00832218">
        <w:rPr>
          <w:bCs/>
        </w:rPr>
        <w:t xml:space="preserve">that </w:t>
      </w:r>
      <w:r w:rsidRPr="00832218">
        <w:t xml:space="preserve">there </w:t>
      </w:r>
      <w:r w:rsidR="00F938E3" w:rsidRPr="00832218">
        <w:t>could be</w:t>
      </w:r>
      <w:r w:rsidRPr="00832218">
        <w:t xml:space="preserve"> several air pollution </w:t>
      </w:r>
      <w:r w:rsidR="00F25E6D" w:rsidRPr="00832218">
        <w:t>sources in/close to blue spaces</w:t>
      </w:r>
      <w:r w:rsidRPr="00832218">
        <w:t xml:space="preserve"> that may balance out potential beneficial effects of blue space</w:t>
      </w:r>
      <w:proofErr w:type="gramEnd"/>
      <w:r w:rsidRPr="00832218">
        <w:t>.</w:t>
      </w:r>
    </w:p>
    <w:p w14:paraId="44335D37" w14:textId="17580E25" w:rsidR="00BB169B" w:rsidRPr="00832218" w:rsidRDefault="00F966B8" w:rsidP="00331CE5">
      <w:pPr>
        <w:jc w:val="both"/>
        <w:rPr>
          <w:bCs/>
        </w:rPr>
      </w:pPr>
      <w:r w:rsidRPr="00832218">
        <w:rPr>
          <w:bCs/>
        </w:rPr>
        <w:t xml:space="preserve">In the </w:t>
      </w:r>
      <w:r w:rsidR="00C22A16" w:rsidRPr="00832218">
        <w:rPr>
          <w:bCs/>
        </w:rPr>
        <w:t xml:space="preserve">full and </w:t>
      </w:r>
      <w:r w:rsidRPr="00832218">
        <w:rPr>
          <w:bCs/>
        </w:rPr>
        <w:t xml:space="preserve">urban population, percent public park cover was </w:t>
      </w:r>
      <w:r w:rsidR="00C22A16" w:rsidRPr="00832218">
        <w:rPr>
          <w:bCs/>
        </w:rPr>
        <w:t xml:space="preserve">generally </w:t>
      </w:r>
      <w:r w:rsidRPr="00832218">
        <w:rPr>
          <w:bCs/>
        </w:rPr>
        <w:t xml:space="preserve">negatively associated with CVD and RSD hospitalization for </w:t>
      </w:r>
      <w:r w:rsidR="00635798" w:rsidRPr="00832218">
        <w:rPr>
          <w:bCs/>
        </w:rPr>
        <w:t>low SES individuals (</w:t>
      </w:r>
      <w:r w:rsidRPr="00832218">
        <w:rPr>
          <w:bCs/>
        </w:rPr>
        <w:t>Medicaid eligible individuals</w:t>
      </w:r>
      <w:r w:rsidR="00635798" w:rsidRPr="00832218">
        <w:rPr>
          <w:bCs/>
        </w:rPr>
        <w:t>,</w:t>
      </w:r>
      <w:r w:rsidRPr="00832218">
        <w:rPr>
          <w:bCs/>
        </w:rPr>
        <w:t xml:space="preserve"> individuals living in the lowest</w:t>
      </w:r>
      <w:r w:rsidR="002A18D2" w:rsidRPr="00832218">
        <w:rPr>
          <w:bCs/>
        </w:rPr>
        <w:t xml:space="preserve"> </w:t>
      </w:r>
      <w:proofErr w:type="spellStart"/>
      <w:r w:rsidR="002232A8" w:rsidRPr="00832218">
        <w:rPr>
          <w:bCs/>
        </w:rPr>
        <w:t>n</w:t>
      </w:r>
      <w:r w:rsidR="002A18D2" w:rsidRPr="00832218">
        <w:rPr>
          <w:bCs/>
        </w:rPr>
        <w:t>SES</w:t>
      </w:r>
      <w:proofErr w:type="spellEnd"/>
      <w:r w:rsidR="002A18D2" w:rsidRPr="00832218">
        <w:rPr>
          <w:bCs/>
        </w:rPr>
        <w:t xml:space="preserve"> </w:t>
      </w:r>
      <w:proofErr w:type="spellStart"/>
      <w:r w:rsidR="002A18D2" w:rsidRPr="00832218">
        <w:rPr>
          <w:bCs/>
        </w:rPr>
        <w:t>tertile</w:t>
      </w:r>
      <w:proofErr w:type="spellEnd"/>
      <w:r w:rsidR="00635798" w:rsidRPr="00832218">
        <w:rPr>
          <w:bCs/>
        </w:rPr>
        <w:t>), but not for mid or high SES individuals</w:t>
      </w:r>
      <w:r w:rsidR="00F416F8" w:rsidRPr="00832218">
        <w:rPr>
          <w:bCs/>
        </w:rPr>
        <w:t xml:space="preserve">. </w:t>
      </w:r>
      <w:r w:rsidR="00CF66E7" w:rsidRPr="00832218">
        <w:rPr>
          <w:bCs/>
        </w:rPr>
        <w:t>Associations of g</w:t>
      </w:r>
      <w:r w:rsidR="009E3B67" w:rsidRPr="00832218">
        <w:rPr>
          <w:bCs/>
        </w:rPr>
        <w:t>reenness</w:t>
      </w:r>
      <w:r w:rsidR="00CF66E7" w:rsidRPr="00832218">
        <w:rPr>
          <w:bCs/>
        </w:rPr>
        <w:t xml:space="preserve"> with CVD hospitalization, on the other hand, were weaker/absent for low SES individuals</w:t>
      </w:r>
      <w:r w:rsidR="00510740" w:rsidRPr="00832218">
        <w:rPr>
          <w:bCs/>
        </w:rPr>
        <w:t xml:space="preserve"> and positive associations with RSD hospitalization were stronger for low SES individuals in the urban cohort. </w:t>
      </w:r>
      <w:r w:rsidR="002232A8" w:rsidRPr="00832218">
        <w:rPr>
          <w:bCs/>
        </w:rPr>
        <w:t xml:space="preserve">These findings are not consistent with a </w:t>
      </w:r>
      <w:r w:rsidR="00C13BEB" w:rsidRPr="00832218">
        <w:rPr>
          <w:bCs/>
        </w:rPr>
        <w:t xml:space="preserve">recent review </w:t>
      </w:r>
      <w:r w:rsidR="002232A8" w:rsidRPr="00832218">
        <w:rPr>
          <w:bCs/>
        </w:rPr>
        <w:t xml:space="preserve">that </w:t>
      </w:r>
      <w:r w:rsidR="00C13BEB" w:rsidRPr="00832218">
        <w:rPr>
          <w:bCs/>
        </w:rPr>
        <w:t xml:space="preserve">reported that beneficial effects of green space are stronger for low SES individuals than </w:t>
      </w:r>
      <w:r w:rsidR="00635798" w:rsidRPr="00832218">
        <w:rPr>
          <w:bCs/>
        </w:rPr>
        <w:t xml:space="preserve">for </w:t>
      </w:r>
      <w:r w:rsidR="00C13BEB" w:rsidRPr="00832218">
        <w:rPr>
          <w:bCs/>
        </w:rPr>
        <w:t xml:space="preserve">high SES individuals and </w:t>
      </w:r>
      <w:r w:rsidR="00635798" w:rsidRPr="00832218">
        <w:rPr>
          <w:bCs/>
        </w:rPr>
        <w:t xml:space="preserve">that </w:t>
      </w:r>
      <w:r w:rsidR="009E3B67" w:rsidRPr="00832218">
        <w:rPr>
          <w:bCs/>
        </w:rPr>
        <w:t xml:space="preserve">protective effects for low SES groups </w:t>
      </w:r>
      <w:r w:rsidR="00C22A16" w:rsidRPr="00832218">
        <w:rPr>
          <w:bCs/>
        </w:rPr>
        <w:t xml:space="preserve">were stronger for public green space </w:t>
      </w:r>
      <w:r w:rsidR="009E3B67" w:rsidRPr="00832218">
        <w:rPr>
          <w:bCs/>
        </w:rPr>
        <w:t>than greenness</w:t>
      </w:r>
      <w:r w:rsidR="00727327" w:rsidRPr="00832218">
        <w:rPr>
          <w:bCs/>
        </w:rPr>
        <w:t>.</w:t>
      </w:r>
      <w:r w:rsidR="009E3B67" w:rsidRPr="00832218">
        <w:rPr>
          <w:bCs/>
        </w:rPr>
        <w:fldChar w:fldCharType="begin" w:fldLock="1"/>
      </w:r>
      <w:r w:rsidR="007B1CE3">
        <w:rPr>
          <w:bCs/>
        </w:rPr>
        <w:instrText>ADDIN CSL_CITATION {"citationItems":[{"id":"ITEM-1","itemData":{"DOI":"10.3390/ijerph18052563","ISSN":"16604601","PMID":"33806546","abstract":"Disadvantaged groups worldwide, such as low-income and racially/ethnically minoritized people, experience worse health outcomes than more privileged groups, including wealthier and white people. Such health disparities are a major public health issue in several countries around the world. In this systematic review, we examine whether green space shows stronger associations with physical health for disadvantaged groups than for privileged groups. We hypothesize that disadvantaged groups have stronger protective effects from green space because of their greater dependency on proximate green space, as they tend to lack access to other health-promoting resources. We use the preferred reporting items for systematic reviews and meta-analyses (PRISMA) method and search five databases (CINAHL, Cochrane, PubMed, Scopus, and Web of Science) to look for articles that examine whether socioeconomic status (SES) or race/ethnicity modify the green space-health associations. Based on this search, we identify 90 articles meeting our inclusion criteria. We find lower-SES people show more beneficial effects than affluent people, particularly when concerning public green spaces/parks rather than green land covers/greenness. Studies in Europe show stronger protective effects for lower-SES people versus higher-SES people than do studies in North America. We find no notable differences in the protective effects of green space between racial/ethnic groups. Collectively, these results suggest green space might be a tool to advance health equity and provide ways forward for urban planners, parks managers, and public health professionals to address health disparities.","author":[{"dropping-particle":"","family":"Rigolon","given":"Alessandro","non-dropping-particle":"","parse-names":false,"suffix":""},{"dropping-particle":"","family":"Browning","given":"Matthew H.E.M.","non-dropping-particle":"","parse-names":false,"suffix":""},{"dropping-particle":"","family":"McAnirlin","given":"Olivia","non-dropping-particle":"","parse-names":false,"suffix":""},{"dropping-particle":"","family":"Yoon","given":"Hyunseo","non-dropping-particle":"","parse-names":false,"suffix":""}],"container-title":"International Journal of Environmental Research and Public Health","id":"ITEM-1","issue":"5","issued":{"date-parts":[["2021","3","1"]]},"page":"1-29","publisher":"MDPI AG","title":"Green space and health equity: A systematic review on the potential of green space to reduce health disparities","type":"article-journal","volume":"18"},"uris":["http://www.mendeley.com/documents/?uuid=a0ec20ce-0550-3c71-856e-17694487de98"]}],"mendeley":{"formattedCitation":"&lt;sup&gt;23&lt;/sup&gt;","plainTextFormattedCitation":"23","previouslyFormattedCitation":"&lt;sup&gt;23&lt;/sup&gt;"},"properties":{"noteIndex":0},"schema":"https://github.com/citation-style-language/schema/raw/master/csl-citation.json"}</w:instrText>
      </w:r>
      <w:r w:rsidR="009E3B67" w:rsidRPr="00832218">
        <w:rPr>
          <w:bCs/>
        </w:rPr>
        <w:fldChar w:fldCharType="separate"/>
      </w:r>
      <w:r w:rsidR="00961FCF" w:rsidRPr="00961FCF">
        <w:rPr>
          <w:bCs/>
          <w:noProof/>
          <w:vertAlign w:val="superscript"/>
        </w:rPr>
        <w:t>23</w:t>
      </w:r>
      <w:r w:rsidR="009E3B67" w:rsidRPr="00832218">
        <w:rPr>
          <w:bCs/>
        </w:rPr>
        <w:fldChar w:fldCharType="end"/>
      </w:r>
      <w:r w:rsidR="009E3B67" w:rsidRPr="00832218">
        <w:rPr>
          <w:bCs/>
        </w:rPr>
        <w:t xml:space="preserve"> </w:t>
      </w:r>
      <w:r w:rsidR="000260EF" w:rsidRPr="00832218">
        <w:rPr>
          <w:bCs/>
        </w:rPr>
        <w:t>As parks are freely accessible, individuals of low SES may go there to work out, relax</w:t>
      </w:r>
      <w:r w:rsidR="006D409F">
        <w:rPr>
          <w:bCs/>
        </w:rPr>
        <w:t>,</w:t>
      </w:r>
      <w:r w:rsidR="000260EF" w:rsidRPr="00832218">
        <w:rPr>
          <w:bCs/>
        </w:rPr>
        <w:t xml:space="preserve"> and </w:t>
      </w:r>
      <w:r w:rsidR="006D409F">
        <w:rPr>
          <w:bCs/>
        </w:rPr>
        <w:t>socially interact</w:t>
      </w:r>
      <w:r w:rsidR="000260EF" w:rsidRPr="00832218">
        <w:rPr>
          <w:bCs/>
        </w:rPr>
        <w:t>.</w:t>
      </w:r>
    </w:p>
    <w:p w14:paraId="5E50F19E" w14:textId="7943255B" w:rsidR="00C500F6" w:rsidRPr="00832218" w:rsidRDefault="00AF35CF" w:rsidP="009C7096">
      <w:pPr>
        <w:jc w:val="both"/>
      </w:pPr>
      <w:r w:rsidRPr="00832218">
        <w:t xml:space="preserve">Our study has multiple strengths. We assessed public park </w:t>
      </w:r>
      <w:proofErr w:type="gramStart"/>
      <w:r w:rsidRPr="00832218">
        <w:t>cover,</w:t>
      </w:r>
      <w:proofErr w:type="gramEnd"/>
      <w:r w:rsidRPr="00832218">
        <w:t xml:space="preserve"> greenness and blue space for each zip code in the</w:t>
      </w:r>
      <w:r w:rsidR="00597AC8">
        <w:t xml:space="preserve"> U.S</w:t>
      </w:r>
      <w:r w:rsidR="00EC34A3" w:rsidRPr="00832218">
        <w:t>.</w:t>
      </w:r>
      <w:r w:rsidRPr="00832218">
        <w:t xml:space="preserve"> Percent public park cover, greenness and blue space were included simultaneously in our models, to estimate associations for each exposure </w:t>
      </w:r>
      <w:r w:rsidR="004C3AA5" w:rsidRPr="00832218">
        <w:t>independent of</w:t>
      </w:r>
      <w:r w:rsidRPr="00832218">
        <w:t xml:space="preserve"> the other exposures. </w:t>
      </w:r>
      <w:r w:rsidR="002A18D2" w:rsidRPr="00832218">
        <w:t>We included approximately 63 million Medicare fee-for-service beneficiaries living in the contiguous</w:t>
      </w:r>
      <w:r w:rsidR="00EC34A3" w:rsidRPr="00832218">
        <w:t xml:space="preserve"> U.S.</w:t>
      </w:r>
      <w:r w:rsidR="002A18D2" w:rsidRPr="00832218">
        <w:t xml:space="preserve"> in our cohorts. </w:t>
      </w:r>
      <w:r w:rsidR="00F86753" w:rsidRPr="00832218">
        <w:t>The Medicare study population is</w:t>
      </w:r>
      <w:r w:rsidRPr="00832218">
        <w:t xml:space="preserve"> a </w:t>
      </w:r>
      <w:proofErr w:type="gramStart"/>
      <w:r w:rsidRPr="00832218">
        <w:t>fairly representative</w:t>
      </w:r>
      <w:proofErr w:type="gramEnd"/>
      <w:r w:rsidRPr="00832218">
        <w:t xml:space="preserve"> sample of individuals aged 65+ years across the</w:t>
      </w:r>
      <w:r w:rsidR="00EC34A3" w:rsidRPr="00832218">
        <w:t xml:space="preserve"> U.S.</w:t>
      </w:r>
      <w:r w:rsidRPr="00832218">
        <w:t xml:space="preserve"> However, </w:t>
      </w:r>
      <w:r w:rsidR="00AD633D" w:rsidRPr="00832218">
        <w:t xml:space="preserve">during our follow-up period, </w:t>
      </w:r>
      <w:r w:rsidRPr="00832218">
        <w:t>Medicare</w:t>
      </w:r>
      <w:r w:rsidR="00AD633D" w:rsidRPr="00832218">
        <w:t xml:space="preserve"> </w:t>
      </w:r>
      <w:r w:rsidRPr="00832218">
        <w:t>beneficiaries may have switched to managed care plan</w:t>
      </w:r>
      <w:r w:rsidR="00AD633D" w:rsidRPr="00832218">
        <w:t>s</w:t>
      </w:r>
      <w:r w:rsidRPr="00832218">
        <w:t xml:space="preserve"> and back, which could have resulted i</w:t>
      </w:r>
      <w:r w:rsidR="002A18D2" w:rsidRPr="00832218">
        <w:t>n some missed cases in our data</w:t>
      </w:r>
      <w:r w:rsidRPr="00832218">
        <w:t>.</w:t>
      </w:r>
      <w:r w:rsidR="0012507E" w:rsidRPr="00832218">
        <w:t xml:space="preserve"> </w:t>
      </w:r>
      <w:proofErr w:type="gramStart"/>
      <w:r w:rsidR="0012507E" w:rsidRPr="00832218">
        <w:t>We  note</w:t>
      </w:r>
      <w:proofErr w:type="gramEnd"/>
      <w:r w:rsidR="0012507E" w:rsidRPr="00832218">
        <w:t xml:space="preserve"> that elderly may experience, perceive, and use nature differently </w:t>
      </w:r>
      <w:r w:rsidR="00BE6148" w:rsidRPr="00832218">
        <w:t>than</w:t>
      </w:r>
      <w:r w:rsidR="0012507E" w:rsidRPr="00832218">
        <w:t xml:space="preserve"> other age groups. </w:t>
      </w:r>
      <w:r w:rsidR="000C378B" w:rsidRPr="00832218">
        <w:t>Hence,</w:t>
      </w:r>
      <w:r w:rsidR="00BE6148" w:rsidRPr="00832218">
        <w:t xml:space="preserve"> </w:t>
      </w:r>
      <w:r w:rsidR="00645CBA" w:rsidRPr="00832218">
        <w:t xml:space="preserve">findings may not be generalizable to younger </w:t>
      </w:r>
      <w:r w:rsidR="00051A60" w:rsidRPr="00832218">
        <w:t>populations</w:t>
      </w:r>
      <w:r w:rsidR="00562987" w:rsidRPr="00832218">
        <w:t xml:space="preserve">. </w:t>
      </w:r>
      <w:r w:rsidRPr="00832218">
        <w:t>Our study also has some limitations</w:t>
      </w:r>
      <w:r w:rsidR="009C59A8" w:rsidRPr="00832218">
        <w:t>, in addition to those discussed above</w:t>
      </w:r>
      <w:r w:rsidRPr="00832218">
        <w:t xml:space="preserve">. </w:t>
      </w:r>
      <w:r w:rsidR="004C3AA5" w:rsidRPr="00832218">
        <w:t>Natural environment indicators</w:t>
      </w:r>
      <w:r w:rsidRPr="00832218">
        <w:t xml:space="preserve"> </w:t>
      </w:r>
      <w:proofErr w:type="gramStart"/>
      <w:r w:rsidRPr="00832218">
        <w:t xml:space="preserve">were </w:t>
      </w:r>
      <w:r w:rsidR="004C3AA5" w:rsidRPr="00832218">
        <w:t>assessed</w:t>
      </w:r>
      <w:proofErr w:type="gramEnd"/>
      <w:r w:rsidR="00CD394F" w:rsidRPr="00832218">
        <w:t xml:space="preserve"> </w:t>
      </w:r>
      <w:r w:rsidR="002232A8" w:rsidRPr="00832218">
        <w:t xml:space="preserve">at the </w:t>
      </w:r>
      <w:r w:rsidR="00CD394F" w:rsidRPr="00832218">
        <w:t xml:space="preserve">zip code level, which </w:t>
      </w:r>
      <w:r w:rsidR="00DA67BD" w:rsidRPr="00832218">
        <w:t>likely</w:t>
      </w:r>
      <w:r w:rsidR="00751C54" w:rsidRPr="00832218">
        <w:t xml:space="preserve"> </w:t>
      </w:r>
      <w:r w:rsidRPr="00832218">
        <w:t xml:space="preserve">resulted in </w:t>
      </w:r>
      <w:r w:rsidR="00DA67BD" w:rsidRPr="00832218">
        <w:t xml:space="preserve">exposure </w:t>
      </w:r>
      <w:r w:rsidRPr="00832218">
        <w:t xml:space="preserve">measurement error. </w:t>
      </w:r>
      <w:r w:rsidR="003E785F" w:rsidRPr="00832218">
        <w:t xml:space="preserve">We had no information about quality and safety of parks, </w:t>
      </w:r>
      <w:r w:rsidR="00BA28A6" w:rsidRPr="00832218">
        <w:t>greenness</w:t>
      </w:r>
      <w:r w:rsidR="003E785F" w:rsidRPr="00832218">
        <w:t xml:space="preserve"> and blue spaces and on whether blue spaces </w:t>
      </w:r>
      <w:proofErr w:type="gramStart"/>
      <w:r w:rsidR="003E785F" w:rsidRPr="00832218">
        <w:t>could be used</w:t>
      </w:r>
      <w:proofErr w:type="gramEnd"/>
      <w:r w:rsidR="003E785F" w:rsidRPr="00832218">
        <w:t xml:space="preserve"> for recreation. </w:t>
      </w:r>
      <w:r w:rsidR="004C3AA5" w:rsidRPr="00832218">
        <w:t xml:space="preserve">Blue space </w:t>
      </w:r>
      <w:proofErr w:type="gramStart"/>
      <w:r w:rsidR="004C3AA5" w:rsidRPr="00832218">
        <w:t>was based</w:t>
      </w:r>
      <w:proofErr w:type="gramEnd"/>
      <w:r w:rsidR="004C3AA5" w:rsidRPr="00832218">
        <w:t xml:space="preserve"> on </w:t>
      </w:r>
      <w:r w:rsidR="00AD633D" w:rsidRPr="00832218">
        <w:t>satellite images from 1984 to 2018</w:t>
      </w:r>
      <w:r w:rsidR="004C3AA5" w:rsidRPr="00832218">
        <w:t xml:space="preserve"> years and public park cover was based on </w:t>
      </w:r>
      <w:r w:rsidR="00AD633D" w:rsidRPr="00832218">
        <w:t>data from 2020.</w:t>
      </w:r>
      <w:r w:rsidR="004C3AA5" w:rsidRPr="00832218">
        <w:t xml:space="preserve"> We assume</w:t>
      </w:r>
      <w:r w:rsidR="00DA67BD" w:rsidRPr="00832218">
        <w:t>d</w:t>
      </w:r>
      <w:r w:rsidR="004C3AA5" w:rsidRPr="00832218">
        <w:t xml:space="preserve"> that the spatial distribution of these exposures was stable over time. </w:t>
      </w:r>
      <w:r w:rsidRPr="00832218">
        <w:t>We were unable to adjust for individual-level SES (other than Medicaid elig</w:t>
      </w:r>
      <w:r w:rsidR="002A18D2" w:rsidRPr="00832218">
        <w:t xml:space="preserve">ibility) and lifestyle factors, </w:t>
      </w:r>
      <w:r w:rsidRPr="00832218">
        <w:t xml:space="preserve">which may have resulted in an overestimation of the associations. </w:t>
      </w:r>
      <w:r w:rsidR="002C0988" w:rsidRPr="00832218">
        <w:t>However, w</w:t>
      </w:r>
      <w:r w:rsidRPr="00832218">
        <w:t xml:space="preserve">e included various </w:t>
      </w:r>
      <w:proofErr w:type="spellStart"/>
      <w:r w:rsidR="002232A8" w:rsidRPr="00832218">
        <w:t>n</w:t>
      </w:r>
      <w:r w:rsidRPr="00832218">
        <w:t>SES</w:t>
      </w:r>
      <w:proofErr w:type="spellEnd"/>
      <w:r w:rsidRPr="00832218">
        <w:t xml:space="preserve"> </w:t>
      </w:r>
      <w:proofErr w:type="gramStart"/>
      <w:r w:rsidR="002232A8" w:rsidRPr="00832218">
        <w:t>measures</w:t>
      </w:r>
      <w:r w:rsidRPr="00832218">
        <w:t>, that</w:t>
      </w:r>
      <w:proofErr w:type="gramEnd"/>
      <w:r w:rsidRPr="00832218">
        <w:t xml:space="preserve"> are likely related to individual SES.</w:t>
      </w:r>
      <w:r w:rsidR="00C500F6" w:rsidRPr="00832218">
        <w:t xml:space="preserve"> Further, we note that some individuals may have </w:t>
      </w:r>
      <w:r w:rsidR="00585E84" w:rsidRPr="00832218">
        <w:t>had their first</w:t>
      </w:r>
      <w:r w:rsidR="00C500F6" w:rsidRPr="00832218">
        <w:t xml:space="preserve"> </w:t>
      </w:r>
      <w:r w:rsidR="00585E84" w:rsidRPr="00832218">
        <w:t xml:space="preserve">CVD or RSD </w:t>
      </w:r>
      <w:r w:rsidR="00C500F6" w:rsidRPr="00832218">
        <w:t>hospitaliz</w:t>
      </w:r>
      <w:r w:rsidR="00585E84" w:rsidRPr="00832218">
        <w:t xml:space="preserve">ation </w:t>
      </w:r>
      <w:r w:rsidR="00C500F6" w:rsidRPr="00832218">
        <w:t>before they were eligible for Medicare.</w:t>
      </w:r>
      <w:r w:rsidR="00A6020E" w:rsidRPr="00832218">
        <w:t xml:space="preserve"> </w:t>
      </w:r>
    </w:p>
    <w:p w14:paraId="3263E6A0" w14:textId="2A992BBA" w:rsidR="00973DD7" w:rsidRDefault="002A18D2" w:rsidP="00331CE5">
      <w:pPr>
        <w:jc w:val="both"/>
        <w:rPr>
          <w:bCs/>
        </w:rPr>
      </w:pPr>
      <w:r w:rsidRPr="00832218">
        <w:rPr>
          <w:bCs/>
        </w:rPr>
        <w:lastRenderedPageBreak/>
        <w:t xml:space="preserve">In conclusion, </w:t>
      </w:r>
      <w:r w:rsidR="00BA2F20" w:rsidRPr="00832218">
        <w:rPr>
          <w:bCs/>
        </w:rPr>
        <w:t xml:space="preserve">we observed a protective effect of greenness on CVD hospitalization and </w:t>
      </w:r>
      <w:r w:rsidR="008E0A97" w:rsidRPr="00832218">
        <w:rPr>
          <w:bCs/>
        </w:rPr>
        <w:t>indication</w:t>
      </w:r>
      <w:r w:rsidR="00475720" w:rsidRPr="00832218">
        <w:rPr>
          <w:bCs/>
        </w:rPr>
        <w:t>s</w:t>
      </w:r>
      <w:r w:rsidR="008E0A97" w:rsidRPr="00832218">
        <w:rPr>
          <w:bCs/>
        </w:rPr>
        <w:t xml:space="preserve"> of </w:t>
      </w:r>
      <w:r w:rsidR="00BA2F20" w:rsidRPr="00832218">
        <w:rPr>
          <w:bCs/>
        </w:rPr>
        <w:t xml:space="preserve">a harmful effect on RSD hospitalization. </w:t>
      </w:r>
      <w:r w:rsidR="00973DD7">
        <w:rPr>
          <w:bCs/>
        </w:rPr>
        <w:t xml:space="preserve">For individuals of low SES, we observed that </w:t>
      </w:r>
      <w:r w:rsidR="00973DD7">
        <w:t>percent</w:t>
      </w:r>
      <w:r w:rsidR="00973DD7">
        <w:rPr>
          <w:bCs/>
        </w:rPr>
        <w:t xml:space="preserve"> public park cover, but not greenness, was negatively associated with CVD and RSD hospitalization</w:t>
      </w:r>
      <w:r w:rsidR="00BA2F20">
        <w:rPr>
          <w:bCs/>
        </w:rPr>
        <w:t xml:space="preserve"> in urban areas</w:t>
      </w:r>
      <w:r w:rsidR="00973DD7">
        <w:rPr>
          <w:bCs/>
        </w:rPr>
        <w:t>.</w:t>
      </w:r>
      <w:r w:rsidR="00973DD7" w:rsidRPr="00973DD7">
        <w:rPr>
          <w:bCs/>
        </w:rPr>
        <w:t xml:space="preserve"> </w:t>
      </w:r>
      <w:r w:rsidR="00973DD7">
        <w:rPr>
          <w:bCs/>
        </w:rPr>
        <w:t>Blue space was not associated with CVD or RSD hospitalization.</w:t>
      </w:r>
      <w:r w:rsidR="003B4188">
        <w:rPr>
          <w:bCs/>
        </w:rPr>
        <w:t xml:space="preserve"> </w:t>
      </w:r>
      <w:r w:rsidR="003B4188" w:rsidRPr="00340FCC">
        <w:t>These results suggest that natural environments may benefit health; however, benefits may be limited to certain contexts and certain health outcomes.</w:t>
      </w:r>
    </w:p>
    <w:p w14:paraId="735E175F" w14:textId="77777777" w:rsidR="002A18D2" w:rsidRPr="004F320F" w:rsidRDefault="002A18D2" w:rsidP="002A18D2">
      <w:pPr>
        <w:jc w:val="both"/>
        <w:rPr>
          <w:b/>
          <w:bCs/>
          <w:lang w:val="en-GB"/>
        </w:rPr>
      </w:pPr>
      <w:r>
        <w:rPr>
          <w:b/>
          <w:bCs/>
          <w:lang w:val="en-GB"/>
        </w:rPr>
        <w:t>Funding</w:t>
      </w:r>
    </w:p>
    <w:p w14:paraId="7BB39CF5" w14:textId="77777777" w:rsidR="002A18D2" w:rsidRDefault="002A18D2" w:rsidP="002A18D2">
      <w:pPr>
        <w:jc w:val="both"/>
      </w:pPr>
      <w:r w:rsidRPr="00E73F71">
        <w:t xml:space="preserve">This study was supported by </w:t>
      </w:r>
      <w:r w:rsidRPr="007B2801">
        <w:t>National Institute of Environmental Health Sciences</w:t>
      </w:r>
      <w:r>
        <w:t xml:space="preserve"> (</w:t>
      </w:r>
      <w:r w:rsidRPr="00E73F71">
        <w:t>R01</w:t>
      </w:r>
      <w:r>
        <w:t xml:space="preserve"> </w:t>
      </w:r>
      <w:r w:rsidRPr="00E73F71">
        <w:t>ES028033</w:t>
      </w:r>
      <w:r>
        <w:t xml:space="preserve">, </w:t>
      </w:r>
      <w:r w:rsidRPr="00E73F71">
        <w:t>R01 ES024332</w:t>
      </w:r>
      <w:r>
        <w:t xml:space="preserve">, </w:t>
      </w:r>
      <w:r w:rsidRPr="00E73F71">
        <w:t>P30</w:t>
      </w:r>
      <w:r>
        <w:t xml:space="preserve"> </w:t>
      </w:r>
      <w:r w:rsidRPr="00E73F71">
        <w:t>ES000002</w:t>
      </w:r>
      <w:r>
        <w:t>), National Institute on Aging (</w:t>
      </w:r>
      <w:r w:rsidRPr="00E73F71">
        <w:t>R01 AG066793-01</w:t>
      </w:r>
      <w:r>
        <w:t>),</w:t>
      </w:r>
      <w:r w:rsidRPr="007B2801">
        <w:t xml:space="preserve"> and the National Heart, Lung</w:t>
      </w:r>
      <w:r>
        <w:t>,</w:t>
      </w:r>
      <w:r w:rsidRPr="007B2801">
        <w:t xml:space="preserve"> and Blood Institute</w:t>
      </w:r>
      <w:r w:rsidRPr="00E73F71">
        <w:t xml:space="preserve"> </w:t>
      </w:r>
      <w:r>
        <w:t>(</w:t>
      </w:r>
      <w:r w:rsidRPr="00E73F71">
        <w:t>R01</w:t>
      </w:r>
      <w:r>
        <w:t xml:space="preserve"> </w:t>
      </w:r>
      <w:r w:rsidRPr="00E73F71">
        <w:t>HL150119</w:t>
      </w:r>
      <w:r>
        <w:t>)</w:t>
      </w:r>
      <w:r w:rsidRPr="00E73F71">
        <w:t>.</w:t>
      </w:r>
    </w:p>
    <w:p w14:paraId="3499502D" w14:textId="77777777" w:rsidR="002A18D2" w:rsidRPr="002020C5" w:rsidRDefault="002A18D2" w:rsidP="002A18D2">
      <w:pPr>
        <w:jc w:val="both"/>
        <w:rPr>
          <w:b/>
        </w:rPr>
      </w:pPr>
      <w:r w:rsidRPr="002020C5">
        <w:rPr>
          <w:b/>
        </w:rPr>
        <w:t>Data sharing statement</w:t>
      </w:r>
    </w:p>
    <w:p w14:paraId="78A59AD9" w14:textId="0F588212" w:rsidR="002A18D2" w:rsidRPr="002020C5" w:rsidRDefault="002A18D2" w:rsidP="002A18D2">
      <w:pPr>
        <w:autoSpaceDE w:val="0"/>
        <w:autoSpaceDN w:val="0"/>
        <w:adjustRightInd w:val="0"/>
        <w:spacing w:after="0" w:line="240" w:lineRule="auto"/>
        <w:jc w:val="both"/>
      </w:pPr>
      <w:r>
        <w:t xml:space="preserve">The data used in this study will not be made available publicly or </w:t>
      </w:r>
      <w:r w:rsidR="00830721">
        <w:t>shared with</w:t>
      </w:r>
      <w:r>
        <w:t xml:space="preserve"> other researchers because of restrictions in the data-use agreement with the Cent</w:t>
      </w:r>
      <w:r w:rsidR="006C343C">
        <w:t>er</w:t>
      </w:r>
      <w:r>
        <w:t xml:space="preserve"> for Medicare and Services (CMS). However, other investigators can apply to the CMS for their own data-use agreements to access the Medicare data. </w:t>
      </w:r>
      <w:r w:rsidRPr="002020C5">
        <w:t xml:space="preserve">We used data from the </w:t>
      </w:r>
      <w:r w:rsidR="00866C39">
        <w:t xml:space="preserve">Landsat satellites to assess greenness (NDVI) and blue space and from the </w:t>
      </w:r>
      <w:r w:rsidRPr="002020C5">
        <w:t>Gridded Surface Meteorological dataset to assess specific humidity, temperature</w:t>
      </w:r>
      <w:r w:rsidR="00866C39">
        <w:t xml:space="preserve"> and</w:t>
      </w:r>
      <w:r w:rsidRPr="002020C5">
        <w:t xml:space="preserve"> precipitation. </w:t>
      </w:r>
      <w:r>
        <w:t xml:space="preserve">This data is freely available in Google Earth Engine. </w:t>
      </w:r>
      <w:r w:rsidRPr="002020C5">
        <w:t>A statistical analysis plan is available from the corresponding author (jklompmaker@hsph.harvard.edu) on reasonable request.</w:t>
      </w:r>
    </w:p>
    <w:p w14:paraId="04326222" w14:textId="77777777" w:rsidR="002A18D2" w:rsidRDefault="002A18D2" w:rsidP="002A18D2">
      <w:pPr>
        <w:autoSpaceDE w:val="0"/>
        <w:autoSpaceDN w:val="0"/>
        <w:adjustRightInd w:val="0"/>
        <w:spacing w:after="0" w:line="240" w:lineRule="auto"/>
      </w:pPr>
    </w:p>
    <w:p w14:paraId="1BEB6A07" w14:textId="77777777" w:rsidR="002A18D2" w:rsidRPr="004F320F" w:rsidRDefault="002A18D2" w:rsidP="002A18D2">
      <w:pPr>
        <w:jc w:val="both"/>
        <w:rPr>
          <w:b/>
          <w:bCs/>
          <w:lang w:val="en-GB"/>
        </w:rPr>
      </w:pPr>
      <w:r w:rsidRPr="004F320F">
        <w:rPr>
          <w:b/>
          <w:bCs/>
          <w:lang w:val="en-GB"/>
        </w:rPr>
        <w:t>Declaration of interest</w:t>
      </w:r>
    </w:p>
    <w:p w14:paraId="314F4072" w14:textId="77777777" w:rsidR="002A18D2" w:rsidRPr="004F320F" w:rsidRDefault="002A18D2" w:rsidP="002A18D2">
      <w:pPr>
        <w:jc w:val="both"/>
        <w:rPr>
          <w:lang w:val="en-GB"/>
        </w:rPr>
      </w:pPr>
      <w:r w:rsidRPr="004F320F">
        <w:rPr>
          <w:lang w:val="en-GB"/>
        </w:rPr>
        <w:t>We declare that we have no conflicts of interest.</w:t>
      </w:r>
    </w:p>
    <w:p w14:paraId="323A5BFD" w14:textId="70070AB4" w:rsidR="00E7726D" w:rsidRPr="00E7726D" w:rsidRDefault="00E7726D" w:rsidP="00AF709B">
      <w:pPr>
        <w:jc w:val="both"/>
        <w:rPr>
          <w:b/>
          <w:bCs/>
        </w:rPr>
      </w:pPr>
      <w:r w:rsidRPr="00E7726D">
        <w:rPr>
          <w:b/>
          <w:bCs/>
        </w:rPr>
        <w:t>Literature</w:t>
      </w:r>
    </w:p>
    <w:p w14:paraId="579E4791" w14:textId="4FB98222" w:rsidR="007B1CE3" w:rsidRPr="007B1CE3" w:rsidRDefault="00E7726D" w:rsidP="007B1CE3">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B1CE3" w:rsidRPr="007B1CE3">
        <w:rPr>
          <w:rFonts w:ascii="Calibri" w:hAnsi="Calibri" w:cs="Calibri"/>
          <w:noProof/>
          <w:szCs w:val="24"/>
        </w:rPr>
        <w:t>1</w:t>
      </w:r>
      <w:r w:rsidR="007B1CE3" w:rsidRPr="007B1CE3">
        <w:rPr>
          <w:rFonts w:ascii="Calibri" w:hAnsi="Calibri" w:cs="Calibri"/>
          <w:noProof/>
          <w:szCs w:val="24"/>
        </w:rPr>
        <w:tab/>
        <w:t xml:space="preserve">Twohig-Bennett C, Jones A. The health benefits of the great outdoors: A systematic review and meta-analysis of greenspace exposure and health outcomes. </w:t>
      </w:r>
      <w:r w:rsidR="007B1CE3" w:rsidRPr="007B1CE3">
        <w:rPr>
          <w:rFonts w:ascii="Calibri" w:hAnsi="Calibri" w:cs="Calibri"/>
          <w:i/>
          <w:iCs/>
          <w:noProof/>
          <w:szCs w:val="24"/>
        </w:rPr>
        <w:t>Environ Res</w:t>
      </w:r>
      <w:r w:rsidR="007B1CE3" w:rsidRPr="007B1CE3">
        <w:rPr>
          <w:rFonts w:ascii="Calibri" w:hAnsi="Calibri" w:cs="Calibri"/>
          <w:noProof/>
          <w:szCs w:val="24"/>
        </w:rPr>
        <w:t xml:space="preserve"> 2018; </w:t>
      </w:r>
      <w:r w:rsidR="007B1CE3" w:rsidRPr="007B1CE3">
        <w:rPr>
          <w:rFonts w:ascii="Calibri" w:hAnsi="Calibri" w:cs="Calibri"/>
          <w:b/>
          <w:bCs/>
          <w:noProof/>
          <w:szCs w:val="24"/>
        </w:rPr>
        <w:t>166</w:t>
      </w:r>
      <w:r w:rsidR="007B1CE3" w:rsidRPr="007B1CE3">
        <w:rPr>
          <w:rFonts w:ascii="Calibri" w:hAnsi="Calibri" w:cs="Calibri"/>
          <w:noProof/>
          <w:szCs w:val="24"/>
        </w:rPr>
        <w:t>: 628–37.</w:t>
      </w:r>
    </w:p>
    <w:p w14:paraId="6E2C75B1"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7B1CE3">
        <w:rPr>
          <w:rFonts w:ascii="Calibri" w:hAnsi="Calibri" w:cs="Calibri"/>
          <w:noProof/>
          <w:szCs w:val="24"/>
        </w:rPr>
        <w:t>2</w:t>
      </w:r>
      <w:r w:rsidRPr="007B1CE3">
        <w:rPr>
          <w:rFonts w:ascii="Calibri" w:hAnsi="Calibri" w:cs="Calibri"/>
          <w:noProof/>
          <w:szCs w:val="24"/>
        </w:rPr>
        <w:tab/>
        <w:t xml:space="preserve">Fong KC, Hart JE, James P. A Review of Epidemiologic Studies on Greenness and Health: Updated Literature Through 2017. Curr. Environ. Heal. reports. 2018; </w:t>
      </w:r>
      <w:r w:rsidRPr="007B1CE3">
        <w:rPr>
          <w:rFonts w:ascii="Calibri" w:hAnsi="Calibri" w:cs="Calibri"/>
          <w:b/>
          <w:bCs/>
          <w:noProof/>
          <w:szCs w:val="24"/>
        </w:rPr>
        <w:t>5</w:t>
      </w:r>
      <w:r w:rsidRPr="007B1CE3">
        <w:rPr>
          <w:rFonts w:ascii="Calibri" w:hAnsi="Calibri" w:cs="Calibri"/>
          <w:noProof/>
          <w:szCs w:val="24"/>
        </w:rPr>
        <w:t>: 77–87.</w:t>
      </w:r>
    </w:p>
    <w:p w14:paraId="3AABF658"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7B1CE3">
        <w:rPr>
          <w:rFonts w:ascii="Calibri" w:hAnsi="Calibri" w:cs="Calibri"/>
          <w:noProof/>
          <w:szCs w:val="24"/>
        </w:rPr>
        <w:t>3</w:t>
      </w:r>
      <w:r w:rsidRPr="007B1CE3">
        <w:rPr>
          <w:rFonts w:ascii="Calibri" w:hAnsi="Calibri" w:cs="Calibri"/>
          <w:noProof/>
          <w:szCs w:val="24"/>
        </w:rPr>
        <w:tab/>
        <w:t xml:space="preserve">Markevych I, Schoierer J, Hartig T, </w:t>
      </w:r>
      <w:r w:rsidRPr="007B1CE3">
        <w:rPr>
          <w:rFonts w:ascii="Calibri" w:hAnsi="Calibri" w:cs="Calibri"/>
          <w:i/>
          <w:iCs/>
          <w:noProof/>
          <w:szCs w:val="24"/>
        </w:rPr>
        <w:t>et al.</w:t>
      </w:r>
      <w:r w:rsidRPr="007B1CE3">
        <w:rPr>
          <w:rFonts w:ascii="Calibri" w:hAnsi="Calibri" w:cs="Calibri"/>
          <w:noProof/>
          <w:szCs w:val="24"/>
        </w:rPr>
        <w:t xml:space="preserve"> Exploring pathways linking greenspace to health: Theoretical and methodological guidance. </w:t>
      </w:r>
      <w:r w:rsidRPr="007B1CE3">
        <w:rPr>
          <w:rFonts w:ascii="Calibri" w:hAnsi="Calibri" w:cs="Calibri"/>
          <w:i/>
          <w:iCs/>
          <w:noProof/>
          <w:szCs w:val="24"/>
        </w:rPr>
        <w:t>Environ Res</w:t>
      </w:r>
      <w:r w:rsidRPr="007B1CE3">
        <w:rPr>
          <w:rFonts w:ascii="Calibri" w:hAnsi="Calibri" w:cs="Calibri"/>
          <w:noProof/>
          <w:szCs w:val="24"/>
        </w:rPr>
        <w:t xml:space="preserve"> 2017; </w:t>
      </w:r>
      <w:r w:rsidRPr="007B1CE3">
        <w:rPr>
          <w:rFonts w:ascii="Calibri" w:hAnsi="Calibri" w:cs="Calibri"/>
          <w:b/>
          <w:bCs/>
          <w:noProof/>
          <w:szCs w:val="24"/>
        </w:rPr>
        <w:t>158</w:t>
      </w:r>
      <w:r w:rsidRPr="007B1CE3">
        <w:rPr>
          <w:rFonts w:ascii="Calibri" w:hAnsi="Calibri" w:cs="Calibri"/>
          <w:noProof/>
          <w:szCs w:val="24"/>
        </w:rPr>
        <w:t>: 301–17.</w:t>
      </w:r>
    </w:p>
    <w:p w14:paraId="72166F4C"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7B1CE3">
        <w:rPr>
          <w:rFonts w:ascii="Calibri" w:hAnsi="Calibri" w:cs="Calibri"/>
          <w:noProof/>
          <w:szCs w:val="24"/>
        </w:rPr>
        <w:t>4</w:t>
      </w:r>
      <w:r w:rsidRPr="007B1CE3">
        <w:rPr>
          <w:rFonts w:ascii="Calibri" w:hAnsi="Calibri" w:cs="Calibri"/>
          <w:noProof/>
          <w:szCs w:val="24"/>
        </w:rPr>
        <w:tab/>
        <w:t xml:space="preserve">Fan J, Guo Y, Cao Z, </w:t>
      </w:r>
      <w:r w:rsidRPr="007B1CE3">
        <w:rPr>
          <w:rFonts w:ascii="Calibri" w:hAnsi="Calibri" w:cs="Calibri"/>
          <w:i/>
          <w:iCs/>
          <w:noProof/>
          <w:szCs w:val="24"/>
        </w:rPr>
        <w:t>et al.</w:t>
      </w:r>
      <w:r w:rsidRPr="007B1CE3">
        <w:rPr>
          <w:rFonts w:ascii="Calibri" w:hAnsi="Calibri" w:cs="Calibri"/>
          <w:noProof/>
          <w:szCs w:val="24"/>
        </w:rPr>
        <w:t xml:space="preserve"> Neighborhood greenness associated with chronic obstructive pulmonary disease: A nationwide cross-sectional study in China. </w:t>
      </w:r>
      <w:r w:rsidRPr="007B1CE3">
        <w:rPr>
          <w:rFonts w:ascii="Calibri" w:hAnsi="Calibri" w:cs="Calibri"/>
          <w:i/>
          <w:iCs/>
          <w:noProof/>
          <w:szCs w:val="24"/>
        </w:rPr>
        <w:t>Environ Int</w:t>
      </w:r>
      <w:r w:rsidRPr="007B1CE3">
        <w:rPr>
          <w:rFonts w:ascii="Calibri" w:hAnsi="Calibri" w:cs="Calibri"/>
          <w:noProof/>
          <w:szCs w:val="24"/>
        </w:rPr>
        <w:t xml:space="preserve"> 2020; </w:t>
      </w:r>
      <w:r w:rsidRPr="007B1CE3">
        <w:rPr>
          <w:rFonts w:ascii="Calibri" w:hAnsi="Calibri" w:cs="Calibri"/>
          <w:b/>
          <w:bCs/>
          <w:noProof/>
          <w:szCs w:val="24"/>
        </w:rPr>
        <w:t>144</w:t>
      </w:r>
      <w:r w:rsidRPr="007B1CE3">
        <w:rPr>
          <w:rFonts w:ascii="Calibri" w:hAnsi="Calibri" w:cs="Calibri"/>
          <w:noProof/>
          <w:szCs w:val="24"/>
        </w:rPr>
        <w:t>: 106042.</w:t>
      </w:r>
    </w:p>
    <w:p w14:paraId="61B8B4F0"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7B1CE3">
        <w:rPr>
          <w:rFonts w:ascii="Calibri" w:hAnsi="Calibri" w:cs="Calibri"/>
          <w:noProof/>
          <w:szCs w:val="24"/>
        </w:rPr>
        <w:t>5</w:t>
      </w:r>
      <w:r w:rsidRPr="007B1CE3">
        <w:rPr>
          <w:rFonts w:ascii="Calibri" w:hAnsi="Calibri" w:cs="Calibri"/>
          <w:noProof/>
          <w:szCs w:val="24"/>
        </w:rPr>
        <w:tab/>
        <w:t xml:space="preserve">Labib SM, Lindley S, Huck JJ. Spatial dimensions of the influence of urban green-blue spaces on human health: A systematic review. </w:t>
      </w:r>
      <w:r w:rsidRPr="007B1CE3">
        <w:rPr>
          <w:rFonts w:ascii="Calibri" w:hAnsi="Calibri" w:cs="Calibri"/>
          <w:i/>
          <w:iCs/>
          <w:noProof/>
          <w:szCs w:val="24"/>
        </w:rPr>
        <w:t>Environ Res</w:t>
      </w:r>
      <w:r w:rsidRPr="007B1CE3">
        <w:rPr>
          <w:rFonts w:ascii="Calibri" w:hAnsi="Calibri" w:cs="Calibri"/>
          <w:noProof/>
          <w:szCs w:val="24"/>
        </w:rPr>
        <w:t xml:space="preserve"> 2020; </w:t>
      </w:r>
      <w:r w:rsidRPr="007B1CE3">
        <w:rPr>
          <w:rFonts w:ascii="Calibri" w:hAnsi="Calibri" w:cs="Calibri"/>
          <w:b/>
          <w:bCs/>
          <w:noProof/>
          <w:szCs w:val="24"/>
        </w:rPr>
        <w:t>180</w:t>
      </w:r>
      <w:r w:rsidRPr="007B1CE3">
        <w:rPr>
          <w:rFonts w:ascii="Calibri" w:hAnsi="Calibri" w:cs="Calibri"/>
          <w:noProof/>
          <w:szCs w:val="24"/>
        </w:rPr>
        <w:t>: 108869.</w:t>
      </w:r>
    </w:p>
    <w:p w14:paraId="06023E9F"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7B1CE3">
        <w:rPr>
          <w:rFonts w:ascii="Calibri" w:hAnsi="Calibri" w:cs="Calibri"/>
          <w:noProof/>
          <w:szCs w:val="24"/>
        </w:rPr>
        <w:t>6</w:t>
      </w:r>
      <w:r w:rsidRPr="007B1CE3">
        <w:rPr>
          <w:rFonts w:ascii="Calibri" w:hAnsi="Calibri" w:cs="Calibri"/>
          <w:noProof/>
          <w:szCs w:val="24"/>
        </w:rPr>
        <w:tab/>
        <w:t xml:space="preserve">McDougall CW, Quilliam RS, Hanley N, Oliver DM. Freshwater blue space and population health: An emerging research agenda. </w:t>
      </w:r>
      <w:r w:rsidRPr="007B1CE3">
        <w:rPr>
          <w:rFonts w:ascii="Calibri" w:hAnsi="Calibri" w:cs="Calibri"/>
          <w:i/>
          <w:iCs/>
          <w:noProof/>
          <w:szCs w:val="24"/>
        </w:rPr>
        <w:t>Sci Total Environ</w:t>
      </w:r>
      <w:r w:rsidRPr="007B1CE3">
        <w:rPr>
          <w:rFonts w:ascii="Calibri" w:hAnsi="Calibri" w:cs="Calibri"/>
          <w:noProof/>
          <w:szCs w:val="24"/>
        </w:rPr>
        <w:t xml:space="preserve"> 2020; </w:t>
      </w:r>
      <w:r w:rsidRPr="007B1CE3">
        <w:rPr>
          <w:rFonts w:ascii="Calibri" w:hAnsi="Calibri" w:cs="Calibri"/>
          <w:b/>
          <w:bCs/>
          <w:noProof/>
          <w:szCs w:val="24"/>
        </w:rPr>
        <w:t>737</w:t>
      </w:r>
      <w:r w:rsidRPr="007B1CE3">
        <w:rPr>
          <w:rFonts w:ascii="Calibri" w:hAnsi="Calibri" w:cs="Calibri"/>
          <w:noProof/>
          <w:szCs w:val="24"/>
        </w:rPr>
        <w:t>: 140196.</w:t>
      </w:r>
    </w:p>
    <w:p w14:paraId="1F290EAA" w14:textId="77777777" w:rsidR="007B1CE3" w:rsidRPr="00F42863" w:rsidRDefault="007B1CE3" w:rsidP="007B1CE3">
      <w:pPr>
        <w:widowControl w:val="0"/>
        <w:autoSpaceDE w:val="0"/>
        <w:autoSpaceDN w:val="0"/>
        <w:adjustRightInd w:val="0"/>
        <w:spacing w:line="240" w:lineRule="auto"/>
        <w:ind w:left="640" w:hanging="640"/>
        <w:rPr>
          <w:rFonts w:ascii="Calibri" w:hAnsi="Calibri" w:cs="Calibri"/>
          <w:noProof/>
          <w:szCs w:val="24"/>
          <w:lang w:val="nl-NL"/>
        </w:rPr>
      </w:pPr>
      <w:r w:rsidRPr="007B1CE3">
        <w:rPr>
          <w:rFonts w:ascii="Calibri" w:hAnsi="Calibri" w:cs="Calibri"/>
          <w:noProof/>
          <w:szCs w:val="24"/>
        </w:rPr>
        <w:t>7</w:t>
      </w:r>
      <w:r w:rsidRPr="007B1CE3">
        <w:rPr>
          <w:rFonts w:ascii="Calibri" w:hAnsi="Calibri" w:cs="Calibri"/>
          <w:noProof/>
          <w:szCs w:val="24"/>
        </w:rPr>
        <w:tab/>
        <w:t xml:space="preserve">White MP, Elliott LR, Gascon M, Roberts B, Fleming LE. Blue space, health and well-being: A narrative overview and synthesis of potential benefits. </w:t>
      </w:r>
      <w:r w:rsidRPr="00F42863">
        <w:rPr>
          <w:rFonts w:ascii="Calibri" w:hAnsi="Calibri" w:cs="Calibri"/>
          <w:noProof/>
          <w:szCs w:val="24"/>
          <w:lang w:val="nl-NL"/>
        </w:rPr>
        <w:t xml:space="preserve">Environ. Res. 2020; </w:t>
      </w:r>
      <w:r w:rsidRPr="00F42863">
        <w:rPr>
          <w:rFonts w:ascii="Calibri" w:hAnsi="Calibri" w:cs="Calibri"/>
          <w:b/>
          <w:bCs/>
          <w:noProof/>
          <w:szCs w:val="24"/>
          <w:lang w:val="nl-NL"/>
        </w:rPr>
        <w:t>191</w:t>
      </w:r>
      <w:r w:rsidRPr="00F42863">
        <w:rPr>
          <w:rFonts w:ascii="Calibri" w:hAnsi="Calibri" w:cs="Calibri"/>
          <w:noProof/>
          <w:szCs w:val="24"/>
          <w:lang w:val="nl-NL"/>
        </w:rPr>
        <w:t>: 110169.</w:t>
      </w:r>
    </w:p>
    <w:p w14:paraId="05244C61"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F42863">
        <w:rPr>
          <w:rFonts w:ascii="Calibri" w:hAnsi="Calibri" w:cs="Calibri"/>
          <w:noProof/>
          <w:szCs w:val="24"/>
          <w:lang w:val="nl-NL"/>
        </w:rPr>
        <w:t>8</w:t>
      </w:r>
      <w:r w:rsidRPr="00F42863">
        <w:rPr>
          <w:rFonts w:ascii="Calibri" w:hAnsi="Calibri" w:cs="Calibri"/>
          <w:noProof/>
          <w:szCs w:val="24"/>
          <w:lang w:val="nl-NL"/>
        </w:rPr>
        <w:tab/>
        <w:t xml:space="preserve">Vienneau D, Hoogh K de, Faeh D, </w:t>
      </w:r>
      <w:r w:rsidRPr="00F42863">
        <w:rPr>
          <w:rFonts w:ascii="Calibri" w:hAnsi="Calibri" w:cs="Calibri"/>
          <w:i/>
          <w:iCs/>
          <w:noProof/>
          <w:szCs w:val="24"/>
          <w:lang w:val="nl-NL"/>
        </w:rPr>
        <w:t>et al.</w:t>
      </w:r>
      <w:r w:rsidRPr="00F42863">
        <w:rPr>
          <w:rFonts w:ascii="Calibri" w:hAnsi="Calibri" w:cs="Calibri"/>
          <w:noProof/>
          <w:szCs w:val="24"/>
          <w:lang w:val="nl-NL"/>
        </w:rPr>
        <w:t xml:space="preserve"> </w:t>
      </w:r>
      <w:r w:rsidRPr="007B1CE3">
        <w:rPr>
          <w:rFonts w:ascii="Calibri" w:hAnsi="Calibri" w:cs="Calibri"/>
          <w:noProof/>
          <w:szCs w:val="24"/>
        </w:rPr>
        <w:t xml:space="preserve">More than clean air and tranquillity: residential green is independently associated with decreasing mortality. </w:t>
      </w:r>
      <w:r w:rsidRPr="007B1CE3">
        <w:rPr>
          <w:rFonts w:ascii="Calibri" w:hAnsi="Calibri" w:cs="Calibri"/>
          <w:i/>
          <w:iCs/>
          <w:noProof/>
          <w:szCs w:val="24"/>
        </w:rPr>
        <w:t>Environ Int</w:t>
      </w:r>
      <w:r w:rsidRPr="007B1CE3">
        <w:rPr>
          <w:rFonts w:ascii="Calibri" w:hAnsi="Calibri" w:cs="Calibri"/>
          <w:noProof/>
          <w:szCs w:val="24"/>
        </w:rPr>
        <w:t xml:space="preserve"> 2017; </w:t>
      </w:r>
      <w:r w:rsidRPr="007B1CE3">
        <w:rPr>
          <w:rFonts w:ascii="Calibri" w:hAnsi="Calibri" w:cs="Calibri"/>
          <w:b/>
          <w:bCs/>
          <w:noProof/>
          <w:szCs w:val="24"/>
        </w:rPr>
        <w:t>108</w:t>
      </w:r>
      <w:r w:rsidRPr="007B1CE3">
        <w:rPr>
          <w:rFonts w:ascii="Calibri" w:hAnsi="Calibri" w:cs="Calibri"/>
          <w:noProof/>
          <w:szCs w:val="24"/>
        </w:rPr>
        <w:t>: 176–84.</w:t>
      </w:r>
    </w:p>
    <w:p w14:paraId="5C92D6B1" w14:textId="77777777" w:rsidR="007B1CE3" w:rsidRPr="00F42863" w:rsidRDefault="007B1CE3" w:rsidP="007B1CE3">
      <w:pPr>
        <w:widowControl w:val="0"/>
        <w:autoSpaceDE w:val="0"/>
        <w:autoSpaceDN w:val="0"/>
        <w:adjustRightInd w:val="0"/>
        <w:spacing w:line="240" w:lineRule="auto"/>
        <w:ind w:left="640" w:hanging="640"/>
        <w:rPr>
          <w:rFonts w:ascii="Calibri" w:hAnsi="Calibri" w:cs="Calibri"/>
          <w:noProof/>
          <w:szCs w:val="24"/>
          <w:lang w:val="nl-NL"/>
        </w:rPr>
      </w:pPr>
      <w:r w:rsidRPr="007B1CE3">
        <w:rPr>
          <w:rFonts w:ascii="Calibri" w:hAnsi="Calibri" w:cs="Calibri"/>
          <w:noProof/>
          <w:szCs w:val="24"/>
        </w:rPr>
        <w:lastRenderedPageBreak/>
        <w:t>9</w:t>
      </w:r>
      <w:r w:rsidRPr="007B1CE3">
        <w:rPr>
          <w:rFonts w:ascii="Calibri" w:hAnsi="Calibri" w:cs="Calibri"/>
          <w:noProof/>
          <w:szCs w:val="24"/>
        </w:rPr>
        <w:tab/>
        <w:t xml:space="preserve">Crouse DL, Pinault L, Balram A, </w:t>
      </w:r>
      <w:r w:rsidRPr="007B1CE3">
        <w:rPr>
          <w:rFonts w:ascii="Calibri" w:hAnsi="Calibri" w:cs="Calibri"/>
          <w:i/>
          <w:iCs/>
          <w:noProof/>
          <w:szCs w:val="24"/>
        </w:rPr>
        <w:t>et al.</w:t>
      </w:r>
      <w:r w:rsidRPr="007B1CE3">
        <w:rPr>
          <w:rFonts w:ascii="Calibri" w:hAnsi="Calibri" w:cs="Calibri"/>
          <w:noProof/>
          <w:szCs w:val="24"/>
        </w:rPr>
        <w:t xml:space="preserve"> Urban greenness and mortality in Canada’s largest cities: a national cohort study. </w:t>
      </w:r>
      <w:r w:rsidRPr="00F42863">
        <w:rPr>
          <w:rFonts w:ascii="Calibri" w:hAnsi="Calibri" w:cs="Calibri"/>
          <w:i/>
          <w:iCs/>
          <w:noProof/>
          <w:szCs w:val="24"/>
          <w:lang w:val="nl-NL"/>
        </w:rPr>
        <w:t>Lancet Planet Heal</w:t>
      </w:r>
      <w:r w:rsidRPr="00F42863">
        <w:rPr>
          <w:rFonts w:ascii="Calibri" w:hAnsi="Calibri" w:cs="Calibri"/>
          <w:noProof/>
          <w:szCs w:val="24"/>
          <w:lang w:val="nl-NL"/>
        </w:rPr>
        <w:t xml:space="preserve"> 2017; </w:t>
      </w:r>
      <w:r w:rsidRPr="00F42863">
        <w:rPr>
          <w:rFonts w:ascii="Calibri" w:hAnsi="Calibri" w:cs="Calibri"/>
          <w:b/>
          <w:bCs/>
          <w:noProof/>
          <w:szCs w:val="24"/>
          <w:lang w:val="nl-NL"/>
        </w:rPr>
        <w:t>1</w:t>
      </w:r>
      <w:r w:rsidRPr="00F42863">
        <w:rPr>
          <w:rFonts w:ascii="Calibri" w:hAnsi="Calibri" w:cs="Calibri"/>
          <w:noProof/>
          <w:szCs w:val="24"/>
          <w:lang w:val="nl-NL"/>
        </w:rPr>
        <w:t>: e289–97.</w:t>
      </w:r>
    </w:p>
    <w:p w14:paraId="084319A6"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F42863">
        <w:rPr>
          <w:rFonts w:ascii="Calibri" w:hAnsi="Calibri" w:cs="Calibri"/>
          <w:noProof/>
          <w:szCs w:val="24"/>
          <w:lang w:val="nl-NL"/>
        </w:rPr>
        <w:t>10</w:t>
      </w:r>
      <w:r w:rsidRPr="00F42863">
        <w:rPr>
          <w:rFonts w:ascii="Calibri" w:hAnsi="Calibri" w:cs="Calibri"/>
          <w:noProof/>
          <w:szCs w:val="24"/>
          <w:lang w:val="nl-NL"/>
        </w:rPr>
        <w:tab/>
        <w:t xml:space="preserve">Klompmaker JO, Janssen NAH, Bloemsma LD, </w:t>
      </w:r>
      <w:r w:rsidRPr="00F42863">
        <w:rPr>
          <w:rFonts w:ascii="Calibri" w:hAnsi="Calibri" w:cs="Calibri"/>
          <w:i/>
          <w:iCs/>
          <w:noProof/>
          <w:szCs w:val="24"/>
          <w:lang w:val="nl-NL"/>
        </w:rPr>
        <w:t>et al.</w:t>
      </w:r>
      <w:r w:rsidRPr="00F42863">
        <w:rPr>
          <w:rFonts w:ascii="Calibri" w:hAnsi="Calibri" w:cs="Calibri"/>
          <w:noProof/>
          <w:szCs w:val="24"/>
          <w:lang w:val="nl-NL"/>
        </w:rPr>
        <w:t xml:space="preserve"> </w:t>
      </w:r>
      <w:r w:rsidRPr="007B1CE3">
        <w:rPr>
          <w:rFonts w:ascii="Calibri" w:hAnsi="Calibri" w:cs="Calibri"/>
          <w:noProof/>
          <w:szCs w:val="24"/>
        </w:rPr>
        <w:t xml:space="preserve">Effects of exposure to surrounding green, air pollution and traffic noise with non-accidental and cause-specific mortality in the Dutch national cohort. </w:t>
      </w:r>
      <w:r w:rsidRPr="007B1CE3">
        <w:rPr>
          <w:rFonts w:ascii="Calibri" w:hAnsi="Calibri" w:cs="Calibri"/>
          <w:i/>
          <w:iCs/>
          <w:noProof/>
          <w:szCs w:val="24"/>
        </w:rPr>
        <w:t>Environ Heal 2021 201</w:t>
      </w:r>
      <w:r w:rsidRPr="007B1CE3">
        <w:rPr>
          <w:rFonts w:ascii="Calibri" w:hAnsi="Calibri" w:cs="Calibri"/>
          <w:noProof/>
          <w:szCs w:val="24"/>
        </w:rPr>
        <w:t xml:space="preserve"> 2021; </w:t>
      </w:r>
      <w:r w:rsidRPr="007B1CE3">
        <w:rPr>
          <w:rFonts w:ascii="Calibri" w:hAnsi="Calibri" w:cs="Calibri"/>
          <w:b/>
          <w:bCs/>
          <w:noProof/>
          <w:szCs w:val="24"/>
        </w:rPr>
        <w:t>20</w:t>
      </w:r>
      <w:r w:rsidRPr="007B1CE3">
        <w:rPr>
          <w:rFonts w:ascii="Calibri" w:hAnsi="Calibri" w:cs="Calibri"/>
          <w:noProof/>
          <w:szCs w:val="24"/>
        </w:rPr>
        <w:t>: 1–16.</w:t>
      </w:r>
    </w:p>
    <w:p w14:paraId="113BA483"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7B1CE3">
        <w:rPr>
          <w:rFonts w:ascii="Calibri" w:hAnsi="Calibri" w:cs="Calibri"/>
          <w:noProof/>
          <w:szCs w:val="24"/>
        </w:rPr>
        <w:t>11</w:t>
      </w:r>
      <w:r w:rsidRPr="007B1CE3">
        <w:rPr>
          <w:rFonts w:ascii="Calibri" w:hAnsi="Calibri" w:cs="Calibri"/>
          <w:noProof/>
          <w:szCs w:val="24"/>
        </w:rPr>
        <w:tab/>
        <w:t xml:space="preserve">Bauwelinck M, Casas L, Nawrot TS, </w:t>
      </w:r>
      <w:r w:rsidRPr="007B1CE3">
        <w:rPr>
          <w:rFonts w:ascii="Calibri" w:hAnsi="Calibri" w:cs="Calibri"/>
          <w:i/>
          <w:iCs/>
          <w:noProof/>
          <w:szCs w:val="24"/>
        </w:rPr>
        <w:t>et al.</w:t>
      </w:r>
      <w:r w:rsidRPr="007B1CE3">
        <w:rPr>
          <w:rFonts w:ascii="Calibri" w:hAnsi="Calibri" w:cs="Calibri"/>
          <w:noProof/>
          <w:szCs w:val="24"/>
        </w:rPr>
        <w:t xml:space="preserve"> Residing in urban areas with higher green space is associated with lower mortality risk: A census-based cohort study with ten years of follow-up. </w:t>
      </w:r>
      <w:r w:rsidRPr="007B1CE3">
        <w:rPr>
          <w:rFonts w:ascii="Calibri" w:hAnsi="Calibri" w:cs="Calibri"/>
          <w:i/>
          <w:iCs/>
          <w:noProof/>
          <w:szCs w:val="24"/>
        </w:rPr>
        <w:t>Environ Int</w:t>
      </w:r>
      <w:r w:rsidRPr="007B1CE3">
        <w:rPr>
          <w:rFonts w:ascii="Calibri" w:hAnsi="Calibri" w:cs="Calibri"/>
          <w:noProof/>
          <w:szCs w:val="24"/>
        </w:rPr>
        <w:t xml:space="preserve"> 2021; </w:t>
      </w:r>
      <w:r w:rsidRPr="007B1CE3">
        <w:rPr>
          <w:rFonts w:ascii="Calibri" w:hAnsi="Calibri" w:cs="Calibri"/>
          <w:b/>
          <w:bCs/>
          <w:noProof/>
          <w:szCs w:val="24"/>
        </w:rPr>
        <w:t>148</w:t>
      </w:r>
      <w:r w:rsidRPr="007B1CE3">
        <w:rPr>
          <w:rFonts w:ascii="Calibri" w:hAnsi="Calibri" w:cs="Calibri"/>
          <w:noProof/>
          <w:szCs w:val="24"/>
        </w:rPr>
        <w:t>: 106365.</w:t>
      </w:r>
    </w:p>
    <w:p w14:paraId="3822F9B3"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7B1CE3">
        <w:rPr>
          <w:rFonts w:ascii="Calibri" w:hAnsi="Calibri" w:cs="Calibri"/>
          <w:noProof/>
          <w:szCs w:val="24"/>
        </w:rPr>
        <w:t>12</w:t>
      </w:r>
      <w:r w:rsidRPr="007B1CE3">
        <w:rPr>
          <w:rFonts w:ascii="Calibri" w:hAnsi="Calibri" w:cs="Calibri"/>
          <w:noProof/>
          <w:szCs w:val="24"/>
        </w:rPr>
        <w:tab/>
        <w:t xml:space="preserve">Chen H, Burnett RT, Bai L, </w:t>
      </w:r>
      <w:r w:rsidRPr="007B1CE3">
        <w:rPr>
          <w:rFonts w:ascii="Calibri" w:hAnsi="Calibri" w:cs="Calibri"/>
          <w:i/>
          <w:iCs/>
          <w:noProof/>
          <w:szCs w:val="24"/>
        </w:rPr>
        <w:t>et al.</w:t>
      </w:r>
      <w:r w:rsidRPr="007B1CE3">
        <w:rPr>
          <w:rFonts w:ascii="Calibri" w:hAnsi="Calibri" w:cs="Calibri"/>
          <w:noProof/>
          <w:szCs w:val="24"/>
        </w:rPr>
        <w:t xml:space="preserve"> Residential Greenness and Cardiovascular Disease Incidence, Readmission, and Mortality. </w:t>
      </w:r>
      <w:r w:rsidRPr="007B1CE3">
        <w:rPr>
          <w:rFonts w:ascii="Calibri" w:hAnsi="Calibri" w:cs="Calibri"/>
          <w:i/>
          <w:iCs/>
          <w:noProof/>
          <w:szCs w:val="24"/>
        </w:rPr>
        <w:t>Environ Health Perspect</w:t>
      </w:r>
      <w:r w:rsidRPr="007B1CE3">
        <w:rPr>
          <w:rFonts w:ascii="Calibri" w:hAnsi="Calibri" w:cs="Calibri"/>
          <w:noProof/>
          <w:szCs w:val="24"/>
        </w:rPr>
        <w:t xml:space="preserve"> 2020; </w:t>
      </w:r>
      <w:r w:rsidRPr="007B1CE3">
        <w:rPr>
          <w:rFonts w:ascii="Calibri" w:hAnsi="Calibri" w:cs="Calibri"/>
          <w:b/>
          <w:bCs/>
          <w:noProof/>
          <w:szCs w:val="24"/>
        </w:rPr>
        <w:t>128</w:t>
      </w:r>
      <w:r w:rsidRPr="007B1CE3">
        <w:rPr>
          <w:rFonts w:ascii="Calibri" w:hAnsi="Calibri" w:cs="Calibri"/>
          <w:noProof/>
          <w:szCs w:val="24"/>
        </w:rPr>
        <w:t>: 1–11.</w:t>
      </w:r>
    </w:p>
    <w:p w14:paraId="30D22623"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7B1CE3">
        <w:rPr>
          <w:rFonts w:ascii="Calibri" w:hAnsi="Calibri" w:cs="Calibri"/>
          <w:noProof/>
          <w:szCs w:val="24"/>
        </w:rPr>
        <w:t>13</w:t>
      </w:r>
      <w:r w:rsidRPr="007B1CE3">
        <w:rPr>
          <w:rFonts w:ascii="Calibri" w:hAnsi="Calibri" w:cs="Calibri"/>
          <w:noProof/>
          <w:szCs w:val="24"/>
        </w:rPr>
        <w:tab/>
        <w:t xml:space="preserve">Seo S, Choi S, Kim K, Kim SM, Park SM. Association between urban green space and the risk of cardiovascular disease: A longitudinal study in seven Korean metropolitan areas. </w:t>
      </w:r>
      <w:r w:rsidRPr="007B1CE3">
        <w:rPr>
          <w:rFonts w:ascii="Calibri" w:hAnsi="Calibri" w:cs="Calibri"/>
          <w:i/>
          <w:iCs/>
          <w:noProof/>
          <w:szCs w:val="24"/>
        </w:rPr>
        <w:t>Environ Int</w:t>
      </w:r>
      <w:r w:rsidRPr="007B1CE3">
        <w:rPr>
          <w:rFonts w:ascii="Calibri" w:hAnsi="Calibri" w:cs="Calibri"/>
          <w:noProof/>
          <w:szCs w:val="24"/>
        </w:rPr>
        <w:t xml:space="preserve"> 2019; </w:t>
      </w:r>
      <w:r w:rsidRPr="007B1CE3">
        <w:rPr>
          <w:rFonts w:ascii="Calibri" w:hAnsi="Calibri" w:cs="Calibri"/>
          <w:b/>
          <w:bCs/>
          <w:noProof/>
          <w:szCs w:val="24"/>
        </w:rPr>
        <w:t>125</w:t>
      </w:r>
      <w:r w:rsidRPr="007B1CE3">
        <w:rPr>
          <w:rFonts w:ascii="Calibri" w:hAnsi="Calibri" w:cs="Calibri"/>
          <w:noProof/>
          <w:szCs w:val="24"/>
        </w:rPr>
        <w:t>: 51–7.</w:t>
      </w:r>
    </w:p>
    <w:p w14:paraId="090DEBF4" w14:textId="77777777" w:rsidR="007B1CE3" w:rsidRPr="00F42863" w:rsidRDefault="007B1CE3" w:rsidP="007B1CE3">
      <w:pPr>
        <w:widowControl w:val="0"/>
        <w:autoSpaceDE w:val="0"/>
        <w:autoSpaceDN w:val="0"/>
        <w:adjustRightInd w:val="0"/>
        <w:spacing w:line="240" w:lineRule="auto"/>
        <w:ind w:left="640" w:hanging="640"/>
        <w:rPr>
          <w:rFonts w:ascii="Calibri" w:hAnsi="Calibri" w:cs="Calibri"/>
          <w:noProof/>
          <w:szCs w:val="24"/>
          <w:lang w:val="nl-NL"/>
        </w:rPr>
      </w:pPr>
      <w:r w:rsidRPr="007B1CE3">
        <w:rPr>
          <w:rFonts w:ascii="Calibri" w:hAnsi="Calibri" w:cs="Calibri"/>
          <w:noProof/>
          <w:szCs w:val="24"/>
        </w:rPr>
        <w:t>14</w:t>
      </w:r>
      <w:r w:rsidRPr="007B1CE3">
        <w:rPr>
          <w:rFonts w:ascii="Calibri" w:hAnsi="Calibri" w:cs="Calibri"/>
          <w:noProof/>
          <w:szCs w:val="24"/>
        </w:rPr>
        <w:tab/>
        <w:t xml:space="preserve">Dalton AM, Jones AP. Residential neighbourhood greenspace is associated with reduced risk of cardiovascular disease: A prospective cohort study. </w:t>
      </w:r>
      <w:r w:rsidRPr="00F42863">
        <w:rPr>
          <w:rFonts w:ascii="Calibri" w:hAnsi="Calibri" w:cs="Calibri"/>
          <w:i/>
          <w:iCs/>
          <w:noProof/>
          <w:szCs w:val="24"/>
          <w:lang w:val="nl-NL"/>
        </w:rPr>
        <w:t>PLoS One</w:t>
      </w:r>
      <w:r w:rsidRPr="00F42863">
        <w:rPr>
          <w:rFonts w:ascii="Calibri" w:hAnsi="Calibri" w:cs="Calibri"/>
          <w:noProof/>
          <w:szCs w:val="24"/>
          <w:lang w:val="nl-NL"/>
        </w:rPr>
        <w:t xml:space="preserve"> 2020; </w:t>
      </w:r>
      <w:r w:rsidRPr="00F42863">
        <w:rPr>
          <w:rFonts w:ascii="Calibri" w:hAnsi="Calibri" w:cs="Calibri"/>
          <w:b/>
          <w:bCs/>
          <w:noProof/>
          <w:szCs w:val="24"/>
          <w:lang w:val="nl-NL"/>
        </w:rPr>
        <w:t>15</w:t>
      </w:r>
      <w:r w:rsidRPr="00F42863">
        <w:rPr>
          <w:rFonts w:ascii="Calibri" w:hAnsi="Calibri" w:cs="Calibri"/>
          <w:noProof/>
          <w:szCs w:val="24"/>
          <w:lang w:val="nl-NL"/>
        </w:rPr>
        <w:t>: e0226524.</w:t>
      </w:r>
    </w:p>
    <w:p w14:paraId="76219DF1" w14:textId="77777777" w:rsidR="007B1CE3" w:rsidRPr="00F42863" w:rsidRDefault="007B1CE3" w:rsidP="007B1CE3">
      <w:pPr>
        <w:widowControl w:val="0"/>
        <w:autoSpaceDE w:val="0"/>
        <w:autoSpaceDN w:val="0"/>
        <w:adjustRightInd w:val="0"/>
        <w:spacing w:line="240" w:lineRule="auto"/>
        <w:ind w:left="640" w:hanging="640"/>
        <w:rPr>
          <w:rFonts w:ascii="Calibri" w:hAnsi="Calibri" w:cs="Calibri"/>
          <w:noProof/>
          <w:szCs w:val="24"/>
          <w:lang w:val="nl-NL"/>
        </w:rPr>
      </w:pPr>
      <w:r w:rsidRPr="00F42863">
        <w:rPr>
          <w:rFonts w:ascii="Calibri" w:hAnsi="Calibri" w:cs="Calibri"/>
          <w:noProof/>
          <w:szCs w:val="24"/>
          <w:lang w:val="nl-NL"/>
        </w:rPr>
        <w:t>15</w:t>
      </w:r>
      <w:r w:rsidRPr="00F42863">
        <w:rPr>
          <w:rFonts w:ascii="Calibri" w:hAnsi="Calibri" w:cs="Calibri"/>
          <w:noProof/>
          <w:szCs w:val="24"/>
          <w:lang w:val="nl-NL"/>
        </w:rPr>
        <w:tab/>
        <w:t xml:space="preserve">Sarkar C, Zhang B, Ni M, </w:t>
      </w:r>
      <w:r w:rsidRPr="00F42863">
        <w:rPr>
          <w:rFonts w:ascii="Calibri" w:hAnsi="Calibri" w:cs="Calibri"/>
          <w:i/>
          <w:iCs/>
          <w:noProof/>
          <w:szCs w:val="24"/>
          <w:lang w:val="nl-NL"/>
        </w:rPr>
        <w:t>et al.</w:t>
      </w:r>
      <w:r w:rsidRPr="00F42863">
        <w:rPr>
          <w:rFonts w:ascii="Calibri" w:hAnsi="Calibri" w:cs="Calibri"/>
          <w:noProof/>
          <w:szCs w:val="24"/>
          <w:lang w:val="nl-NL"/>
        </w:rPr>
        <w:t xml:space="preserve"> </w:t>
      </w:r>
      <w:r w:rsidRPr="007B1CE3">
        <w:rPr>
          <w:rFonts w:ascii="Calibri" w:hAnsi="Calibri" w:cs="Calibri"/>
          <w:noProof/>
          <w:szCs w:val="24"/>
        </w:rPr>
        <w:t xml:space="preserve">Environmental correlates of chronic obstructive pulmonary disease in 96 779 participants from the UK Biobank: a cross-sectional, observational study. </w:t>
      </w:r>
      <w:r w:rsidRPr="00F42863">
        <w:rPr>
          <w:rFonts w:ascii="Calibri" w:hAnsi="Calibri" w:cs="Calibri"/>
          <w:i/>
          <w:iCs/>
          <w:noProof/>
          <w:szCs w:val="24"/>
          <w:lang w:val="nl-NL"/>
        </w:rPr>
        <w:t>Lancet Planet Heal</w:t>
      </w:r>
      <w:r w:rsidRPr="00F42863">
        <w:rPr>
          <w:rFonts w:ascii="Calibri" w:hAnsi="Calibri" w:cs="Calibri"/>
          <w:noProof/>
          <w:szCs w:val="24"/>
          <w:lang w:val="nl-NL"/>
        </w:rPr>
        <w:t xml:space="preserve"> 2019; </w:t>
      </w:r>
      <w:r w:rsidRPr="00F42863">
        <w:rPr>
          <w:rFonts w:ascii="Calibri" w:hAnsi="Calibri" w:cs="Calibri"/>
          <w:b/>
          <w:bCs/>
          <w:noProof/>
          <w:szCs w:val="24"/>
          <w:lang w:val="nl-NL"/>
        </w:rPr>
        <w:t>3</w:t>
      </w:r>
      <w:r w:rsidRPr="00F42863">
        <w:rPr>
          <w:rFonts w:ascii="Calibri" w:hAnsi="Calibri" w:cs="Calibri"/>
          <w:noProof/>
          <w:szCs w:val="24"/>
          <w:lang w:val="nl-NL"/>
        </w:rPr>
        <w:t>: e478–90.</w:t>
      </w:r>
    </w:p>
    <w:p w14:paraId="02B5307F"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F42863">
        <w:rPr>
          <w:rFonts w:ascii="Calibri" w:hAnsi="Calibri" w:cs="Calibri"/>
          <w:noProof/>
          <w:szCs w:val="24"/>
          <w:lang w:val="nl-NL"/>
        </w:rPr>
        <w:t>16</w:t>
      </w:r>
      <w:r w:rsidRPr="00F42863">
        <w:rPr>
          <w:rFonts w:ascii="Calibri" w:hAnsi="Calibri" w:cs="Calibri"/>
          <w:noProof/>
          <w:szCs w:val="24"/>
          <w:lang w:val="nl-NL"/>
        </w:rPr>
        <w:tab/>
        <w:t xml:space="preserve">Maas J, Verheij RA, De Vries S, Spreeuwenberg P, Schellevis FG, Groenewegen PP. </w:t>
      </w:r>
      <w:r w:rsidRPr="007B1CE3">
        <w:rPr>
          <w:rFonts w:ascii="Calibri" w:hAnsi="Calibri" w:cs="Calibri"/>
          <w:noProof/>
          <w:szCs w:val="24"/>
        </w:rPr>
        <w:t xml:space="preserve">Morbidity is related to a green living environment. </w:t>
      </w:r>
      <w:r w:rsidRPr="007B1CE3">
        <w:rPr>
          <w:rFonts w:ascii="Calibri" w:hAnsi="Calibri" w:cs="Calibri"/>
          <w:i/>
          <w:iCs/>
          <w:noProof/>
          <w:szCs w:val="24"/>
        </w:rPr>
        <w:t>J Epidemiol Community Heal</w:t>
      </w:r>
      <w:r w:rsidRPr="007B1CE3">
        <w:rPr>
          <w:rFonts w:ascii="Calibri" w:hAnsi="Calibri" w:cs="Calibri"/>
          <w:noProof/>
          <w:szCs w:val="24"/>
        </w:rPr>
        <w:t xml:space="preserve"> 2009; </w:t>
      </w:r>
      <w:r w:rsidRPr="007B1CE3">
        <w:rPr>
          <w:rFonts w:ascii="Calibri" w:hAnsi="Calibri" w:cs="Calibri"/>
          <w:b/>
          <w:bCs/>
          <w:noProof/>
          <w:szCs w:val="24"/>
        </w:rPr>
        <w:t>63</w:t>
      </w:r>
      <w:r w:rsidRPr="007B1CE3">
        <w:rPr>
          <w:rFonts w:ascii="Calibri" w:hAnsi="Calibri" w:cs="Calibri"/>
          <w:noProof/>
          <w:szCs w:val="24"/>
        </w:rPr>
        <w:t>: 967–73.</w:t>
      </w:r>
    </w:p>
    <w:p w14:paraId="7C123B0B" w14:textId="77777777" w:rsidR="007B1CE3" w:rsidRPr="00F42863" w:rsidRDefault="007B1CE3" w:rsidP="007B1CE3">
      <w:pPr>
        <w:widowControl w:val="0"/>
        <w:autoSpaceDE w:val="0"/>
        <w:autoSpaceDN w:val="0"/>
        <w:adjustRightInd w:val="0"/>
        <w:spacing w:line="240" w:lineRule="auto"/>
        <w:ind w:left="640" w:hanging="640"/>
        <w:rPr>
          <w:rFonts w:ascii="Calibri" w:hAnsi="Calibri" w:cs="Calibri"/>
          <w:noProof/>
          <w:szCs w:val="24"/>
          <w:lang w:val="nl-NL"/>
        </w:rPr>
      </w:pPr>
      <w:r w:rsidRPr="007B1CE3">
        <w:rPr>
          <w:rFonts w:ascii="Calibri" w:hAnsi="Calibri" w:cs="Calibri"/>
          <w:noProof/>
          <w:szCs w:val="24"/>
        </w:rPr>
        <w:t>17</w:t>
      </w:r>
      <w:r w:rsidRPr="007B1CE3">
        <w:rPr>
          <w:rFonts w:ascii="Calibri" w:hAnsi="Calibri" w:cs="Calibri"/>
          <w:noProof/>
          <w:szCs w:val="24"/>
        </w:rPr>
        <w:tab/>
        <w:t xml:space="preserve">Alcock I, White M, Cherrie M, </w:t>
      </w:r>
      <w:r w:rsidRPr="007B1CE3">
        <w:rPr>
          <w:rFonts w:ascii="Calibri" w:hAnsi="Calibri" w:cs="Calibri"/>
          <w:i/>
          <w:iCs/>
          <w:noProof/>
          <w:szCs w:val="24"/>
        </w:rPr>
        <w:t>et al.</w:t>
      </w:r>
      <w:r w:rsidRPr="007B1CE3">
        <w:rPr>
          <w:rFonts w:ascii="Calibri" w:hAnsi="Calibri" w:cs="Calibri"/>
          <w:noProof/>
          <w:szCs w:val="24"/>
        </w:rPr>
        <w:t xml:space="preserve"> Land cover and air pollution are associated with asthma hospitalisations: A cross-sectional study. </w:t>
      </w:r>
      <w:r w:rsidRPr="00F42863">
        <w:rPr>
          <w:rFonts w:ascii="Calibri" w:hAnsi="Calibri" w:cs="Calibri"/>
          <w:i/>
          <w:iCs/>
          <w:noProof/>
          <w:szCs w:val="24"/>
          <w:lang w:val="nl-NL"/>
        </w:rPr>
        <w:t>Environ Int</w:t>
      </w:r>
      <w:r w:rsidRPr="00F42863">
        <w:rPr>
          <w:rFonts w:ascii="Calibri" w:hAnsi="Calibri" w:cs="Calibri"/>
          <w:noProof/>
          <w:szCs w:val="24"/>
          <w:lang w:val="nl-NL"/>
        </w:rPr>
        <w:t xml:space="preserve"> 2017; </w:t>
      </w:r>
      <w:r w:rsidRPr="00F42863">
        <w:rPr>
          <w:rFonts w:ascii="Calibri" w:hAnsi="Calibri" w:cs="Calibri"/>
          <w:b/>
          <w:bCs/>
          <w:noProof/>
          <w:szCs w:val="24"/>
          <w:lang w:val="nl-NL"/>
        </w:rPr>
        <w:t>109</w:t>
      </w:r>
      <w:r w:rsidRPr="00F42863">
        <w:rPr>
          <w:rFonts w:ascii="Calibri" w:hAnsi="Calibri" w:cs="Calibri"/>
          <w:noProof/>
          <w:szCs w:val="24"/>
          <w:lang w:val="nl-NL"/>
        </w:rPr>
        <w:t>: 29–41.</w:t>
      </w:r>
    </w:p>
    <w:p w14:paraId="62701D11"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F42863">
        <w:rPr>
          <w:rFonts w:ascii="Calibri" w:hAnsi="Calibri" w:cs="Calibri"/>
          <w:noProof/>
          <w:szCs w:val="24"/>
          <w:lang w:val="nl-NL"/>
        </w:rPr>
        <w:t>18</w:t>
      </w:r>
      <w:r w:rsidRPr="00F42863">
        <w:rPr>
          <w:rFonts w:ascii="Calibri" w:hAnsi="Calibri" w:cs="Calibri"/>
          <w:noProof/>
          <w:szCs w:val="24"/>
          <w:lang w:val="nl-NL"/>
        </w:rPr>
        <w:tab/>
        <w:t xml:space="preserve">Xiao Y, Gu X, Niu H, </w:t>
      </w:r>
      <w:r w:rsidRPr="00F42863">
        <w:rPr>
          <w:rFonts w:ascii="Calibri" w:hAnsi="Calibri" w:cs="Calibri"/>
          <w:i/>
          <w:iCs/>
          <w:noProof/>
          <w:szCs w:val="24"/>
          <w:lang w:val="nl-NL"/>
        </w:rPr>
        <w:t>et al.</w:t>
      </w:r>
      <w:r w:rsidRPr="00F42863">
        <w:rPr>
          <w:rFonts w:ascii="Calibri" w:hAnsi="Calibri" w:cs="Calibri"/>
          <w:noProof/>
          <w:szCs w:val="24"/>
          <w:lang w:val="nl-NL"/>
        </w:rPr>
        <w:t xml:space="preserve"> </w:t>
      </w:r>
      <w:r w:rsidRPr="007B1CE3">
        <w:rPr>
          <w:rFonts w:ascii="Calibri" w:hAnsi="Calibri" w:cs="Calibri"/>
          <w:noProof/>
          <w:szCs w:val="24"/>
        </w:rPr>
        <w:t xml:space="preserve">Associations of residential greenness with lung function and chronic obstructive pulmonary disease in China. </w:t>
      </w:r>
      <w:r w:rsidRPr="007B1CE3">
        <w:rPr>
          <w:rFonts w:ascii="Calibri" w:hAnsi="Calibri" w:cs="Calibri"/>
          <w:i/>
          <w:iCs/>
          <w:noProof/>
          <w:szCs w:val="24"/>
        </w:rPr>
        <w:t>Environ Res</w:t>
      </w:r>
      <w:r w:rsidRPr="007B1CE3">
        <w:rPr>
          <w:rFonts w:ascii="Calibri" w:hAnsi="Calibri" w:cs="Calibri"/>
          <w:noProof/>
          <w:szCs w:val="24"/>
        </w:rPr>
        <w:t xml:space="preserve"> 2022; </w:t>
      </w:r>
      <w:r w:rsidRPr="007B1CE3">
        <w:rPr>
          <w:rFonts w:ascii="Calibri" w:hAnsi="Calibri" w:cs="Calibri"/>
          <w:b/>
          <w:bCs/>
          <w:noProof/>
          <w:szCs w:val="24"/>
        </w:rPr>
        <w:t>209</w:t>
      </w:r>
      <w:r w:rsidRPr="007B1CE3">
        <w:rPr>
          <w:rFonts w:ascii="Calibri" w:hAnsi="Calibri" w:cs="Calibri"/>
          <w:noProof/>
          <w:szCs w:val="24"/>
        </w:rPr>
        <w:t>: 112877.</w:t>
      </w:r>
    </w:p>
    <w:p w14:paraId="021800B4"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7B1CE3">
        <w:rPr>
          <w:rFonts w:ascii="Calibri" w:hAnsi="Calibri" w:cs="Calibri"/>
          <w:noProof/>
          <w:szCs w:val="24"/>
        </w:rPr>
        <w:t>19</w:t>
      </w:r>
      <w:r w:rsidRPr="007B1CE3">
        <w:rPr>
          <w:rFonts w:ascii="Calibri" w:hAnsi="Calibri" w:cs="Calibri"/>
          <w:noProof/>
          <w:szCs w:val="24"/>
        </w:rPr>
        <w:tab/>
        <w:t xml:space="preserve">Georgiou M, Morison G, Smith N, Tieges Z, Chastin S. Mechanisms of impact of blue spaces on human health: A systematic literature review and meta-analysis. </w:t>
      </w:r>
      <w:r w:rsidRPr="007B1CE3">
        <w:rPr>
          <w:rFonts w:ascii="Calibri" w:hAnsi="Calibri" w:cs="Calibri"/>
          <w:i/>
          <w:iCs/>
          <w:noProof/>
          <w:szCs w:val="24"/>
        </w:rPr>
        <w:t>Int J Environ Res Public Health</w:t>
      </w:r>
      <w:r w:rsidRPr="007B1CE3">
        <w:rPr>
          <w:rFonts w:ascii="Calibri" w:hAnsi="Calibri" w:cs="Calibri"/>
          <w:noProof/>
          <w:szCs w:val="24"/>
        </w:rPr>
        <w:t xml:space="preserve"> 2021; </w:t>
      </w:r>
      <w:r w:rsidRPr="007B1CE3">
        <w:rPr>
          <w:rFonts w:ascii="Calibri" w:hAnsi="Calibri" w:cs="Calibri"/>
          <w:b/>
          <w:bCs/>
          <w:noProof/>
          <w:szCs w:val="24"/>
        </w:rPr>
        <w:t>18</w:t>
      </w:r>
      <w:r w:rsidRPr="007B1CE3">
        <w:rPr>
          <w:rFonts w:ascii="Calibri" w:hAnsi="Calibri" w:cs="Calibri"/>
          <w:noProof/>
          <w:szCs w:val="24"/>
        </w:rPr>
        <w:t>: 1–41.</w:t>
      </w:r>
    </w:p>
    <w:p w14:paraId="6DDF9F9A"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7B1CE3">
        <w:rPr>
          <w:rFonts w:ascii="Calibri" w:hAnsi="Calibri" w:cs="Calibri"/>
          <w:noProof/>
          <w:szCs w:val="24"/>
        </w:rPr>
        <w:t>20</w:t>
      </w:r>
      <w:r w:rsidRPr="007B1CE3">
        <w:rPr>
          <w:rFonts w:ascii="Calibri" w:hAnsi="Calibri" w:cs="Calibri"/>
          <w:noProof/>
          <w:szCs w:val="24"/>
        </w:rPr>
        <w:tab/>
        <w:t xml:space="preserve">Nieuwenhuijsen MJ, Gascon M, Martinez D, </w:t>
      </w:r>
      <w:r w:rsidRPr="007B1CE3">
        <w:rPr>
          <w:rFonts w:ascii="Calibri" w:hAnsi="Calibri" w:cs="Calibri"/>
          <w:i/>
          <w:iCs/>
          <w:noProof/>
          <w:szCs w:val="24"/>
        </w:rPr>
        <w:t>et al.</w:t>
      </w:r>
      <w:r w:rsidRPr="007B1CE3">
        <w:rPr>
          <w:rFonts w:ascii="Calibri" w:hAnsi="Calibri" w:cs="Calibri"/>
          <w:noProof/>
          <w:szCs w:val="24"/>
        </w:rPr>
        <w:t xml:space="preserve"> Air Pollution, Noise, Blue Space, and Green Space and Premature Mortality in Barcelona: A Mega Cohort. </w:t>
      </w:r>
      <w:r w:rsidRPr="007B1CE3">
        <w:rPr>
          <w:rFonts w:ascii="Calibri" w:hAnsi="Calibri" w:cs="Calibri"/>
          <w:i/>
          <w:iCs/>
          <w:noProof/>
          <w:szCs w:val="24"/>
        </w:rPr>
        <w:t>Int J Environ Res Public Heal 2018, Vol 15, Page 2405</w:t>
      </w:r>
      <w:r w:rsidRPr="007B1CE3">
        <w:rPr>
          <w:rFonts w:ascii="Calibri" w:hAnsi="Calibri" w:cs="Calibri"/>
          <w:noProof/>
          <w:szCs w:val="24"/>
        </w:rPr>
        <w:t xml:space="preserve"> 2018; </w:t>
      </w:r>
      <w:r w:rsidRPr="007B1CE3">
        <w:rPr>
          <w:rFonts w:ascii="Calibri" w:hAnsi="Calibri" w:cs="Calibri"/>
          <w:b/>
          <w:bCs/>
          <w:noProof/>
          <w:szCs w:val="24"/>
        </w:rPr>
        <w:t>15</w:t>
      </w:r>
      <w:r w:rsidRPr="007B1CE3">
        <w:rPr>
          <w:rFonts w:ascii="Calibri" w:hAnsi="Calibri" w:cs="Calibri"/>
          <w:noProof/>
          <w:szCs w:val="24"/>
        </w:rPr>
        <w:t>: 2405.</w:t>
      </w:r>
    </w:p>
    <w:p w14:paraId="36FAC937"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7B1CE3">
        <w:rPr>
          <w:rFonts w:ascii="Calibri" w:hAnsi="Calibri" w:cs="Calibri"/>
          <w:noProof/>
          <w:szCs w:val="24"/>
        </w:rPr>
        <w:t>21</w:t>
      </w:r>
      <w:r w:rsidRPr="007B1CE3">
        <w:rPr>
          <w:rFonts w:ascii="Calibri" w:hAnsi="Calibri" w:cs="Calibri"/>
          <w:noProof/>
          <w:szCs w:val="24"/>
        </w:rPr>
        <w:tab/>
        <w:t xml:space="preserve">Crouse DL, Balram A, Hystad P, </w:t>
      </w:r>
      <w:r w:rsidRPr="007B1CE3">
        <w:rPr>
          <w:rFonts w:ascii="Calibri" w:hAnsi="Calibri" w:cs="Calibri"/>
          <w:i/>
          <w:iCs/>
          <w:noProof/>
          <w:szCs w:val="24"/>
        </w:rPr>
        <w:t>et al.</w:t>
      </w:r>
      <w:r w:rsidRPr="007B1CE3">
        <w:rPr>
          <w:rFonts w:ascii="Calibri" w:hAnsi="Calibri" w:cs="Calibri"/>
          <w:noProof/>
          <w:szCs w:val="24"/>
        </w:rPr>
        <w:t xml:space="preserve"> Associations between living near water and risk of mortality among urban Canadians. </w:t>
      </w:r>
      <w:r w:rsidRPr="007B1CE3">
        <w:rPr>
          <w:rFonts w:ascii="Calibri" w:hAnsi="Calibri" w:cs="Calibri"/>
          <w:i/>
          <w:iCs/>
          <w:noProof/>
          <w:szCs w:val="24"/>
        </w:rPr>
        <w:t>Environ Health Perspect</w:t>
      </w:r>
      <w:r w:rsidRPr="007B1CE3">
        <w:rPr>
          <w:rFonts w:ascii="Calibri" w:hAnsi="Calibri" w:cs="Calibri"/>
          <w:noProof/>
          <w:szCs w:val="24"/>
        </w:rPr>
        <w:t xml:space="preserve"> 2018; </w:t>
      </w:r>
      <w:r w:rsidRPr="007B1CE3">
        <w:rPr>
          <w:rFonts w:ascii="Calibri" w:hAnsi="Calibri" w:cs="Calibri"/>
          <w:b/>
          <w:bCs/>
          <w:noProof/>
          <w:szCs w:val="24"/>
        </w:rPr>
        <w:t>126</w:t>
      </w:r>
      <w:r w:rsidRPr="007B1CE3">
        <w:rPr>
          <w:rFonts w:ascii="Calibri" w:hAnsi="Calibri" w:cs="Calibri"/>
          <w:noProof/>
          <w:szCs w:val="24"/>
        </w:rPr>
        <w:t>. DOI:10.1289/EHP3397.</w:t>
      </w:r>
    </w:p>
    <w:p w14:paraId="4E060D89"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7B1CE3">
        <w:rPr>
          <w:rFonts w:ascii="Calibri" w:hAnsi="Calibri" w:cs="Calibri"/>
          <w:noProof/>
          <w:szCs w:val="24"/>
        </w:rPr>
        <w:t>22</w:t>
      </w:r>
      <w:r w:rsidRPr="007B1CE3">
        <w:rPr>
          <w:rFonts w:ascii="Calibri" w:hAnsi="Calibri" w:cs="Calibri"/>
          <w:noProof/>
          <w:szCs w:val="24"/>
        </w:rPr>
        <w:tab/>
        <w:t xml:space="preserve">Browning MHEM, Rigolon A, McAnirlin O, Yoon H (Violet). Where greenspace matters most: A systematic review of urbanicity, greenspace, and physical health. </w:t>
      </w:r>
      <w:r w:rsidRPr="007B1CE3">
        <w:rPr>
          <w:rFonts w:ascii="Calibri" w:hAnsi="Calibri" w:cs="Calibri"/>
          <w:i/>
          <w:iCs/>
          <w:noProof/>
          <w:szCs w:val="24"/>
        </w:rPr>
        <w:t>Landsc Urban Plan</w:t>
      </w:r>
      <w:r w:rsidRPr="007B1CE3">
        <w:rPr>
          <w:rFonts w:ascii="Calibri" w:hAnsi="Calibri" w:cs="Calibri"/>
          <w:noProof/>
          <w:szCs w:val="24"/>
        </w:rPr>
        <w:t xml:space="preserve"> 2022; </w:t>
      </w:r>
      <w:r w:rsidRPr="007B1CE3">
        <w:rPr>
          <w:rFonts w:ascii="Calibri" w:hAnsi="Calibri" w:cs="Calibri"/>
          <w:b/>
          <w:bCs/>
          <w:noProof/>
          <w:szCs w:val="24"/>
        </w:rPr>
        <w:t>217</w:t>
      </w:r>
      <w:r w:rsidRPr="007B1CE3">
        <w:rPr>
          <w:rFonts w:ascii="Calibri" w:hAnsi="Calibri" w:cs="Calibri"/>
          <w:noProof/>
          <w:szCs w:val="24"/>
        </w:rPr>
        <w:t>: 104233.</w:t>
      </w:r>
    </w:p>
    <w:p w14:paraId="59421058"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7B1CE3">
        <w:rPr>
          <w:rFonts w:ascii="Calibri" w:hAnsi="Calibri" w:cs="Calibri"/>
          <w:noProof/>
          <w:szCs w:val="24"/>
        </w:rPr>
        <w:t>23</w:t>
      </w:r>
      <w:r w:rsidRPr="007B1CE3">
        <w:rPr>
          <w:rFonts w:ascii="Calibri" w:hAnsi="Calibri" w:cs="Calibri"/>
          <w:noProof/>
          <w:szCs w:val="24"/>
        </w:rPr>
        <w:tab/>
        <w:t xml:space="preserve">Rigolon A, Browning MHEM, McAnirlin O, Yoon H. Green space and health equity: A systematic review on the potential of green space to reduce health disparities. </w:t>
      </w:r>
      <w:r w:rsidRPr="007B1CE3">
        <w:rPr>
          <w:rFonts w:ascii="Calibri" w:hAnsi="Calibri" w:cs="Calibri"/>
          <w:i/>
          <w:iCs/>
          <w:noProof/>
          <w:szCs w:val="24"/>
        </w:rPr>
        <w:t>Int J Environ Res Public Health</w:t>
      </w:r>
      <w:r w:rsidRPr="007B1CE3">
        <w:rPr>
          <w:rFonts w:ascii="Calibri" w:hAnsi="Calibri" w:cs="Calibri"/>
          <w:noProof/>
          <w:szCs w:val="24"/>
        </w:rPr>
        <w:t xml:space="preserve"> 2021; </w:t>
      </w:r>
      <w:r w:rsidRPr="007B1CE3">
        <w:rPr>
          <w:rFonts w:ascii="Calibri" w:hAnsi="Calibri" w:cs="Calibri"/>
          <w:b/>
          <w:bCs/>
          <w:noProof/>
          <w:szCs w:val="24"/>
        </w:rPr>
        <w:t>18</w:t>
      </w:r>
      <w:r w:rsidRPr="007B1CE3">
        <w:rPr>
          <w:rFonts w:ascii="Calibri" w:hAnsi="Calibri" w:cs="Calibri"/>
          <w:noProof/>
          <w:szCs w:val="24"/>
        </w:rPr>
        <w:t>: 1–29.</w:t>
      </w:r>
    </w:p>
    <w:p w14:paraId="5679D60F"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7B1CE3">
        <w:rPr>
          <w:rFonts w:ascii="Calibri" w:hAnsi="Calibri" w:cs="Calibri"/>
          <w:noProof/>
          <w:szCs w:val="24"/>
        </w:rPr>
        <w:t>24</w:t>
      </w:r>
      <w:r w:rsidRPr="007B1CE3">
        <w:rPr>
          <w:rFonts w:ascii="Calibri" w:hAnsi="Calibri" w:cs="Calibri"/>
          <w:noProof/>
          <w:szCs w:val="24"/>
        </w:rPr>
        <w:tab/>
        <w:t xml:space="preserve">NASA. Measuring Vegetation (NDVI &amp; EVI). </w:t>
      </w:r>
      <w:r w:rsidRPr="007B1CE3">
        <w:rPr>
          <w:rFonts w:ascii="Calibri" w:hAnsi="Calibri" w:cs="Calibri"/>
          <w:noProof/>
          <w:szCs w:val="24"/>
        </w:rPr>
        <w:lastRenderedPageBreak/>
        <w:t>https://earthobservatory.nasa.gov/features/MeasuringVegetation/measuring_vegetation_2.php (accessed June 16, 2020).</w:t>
      </w:r>
    </w:p>
    <w:p w14:paraId="1B15F257"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7B1CE3">
        <w:rPr>
          <w:rFonts w:ascii="Calibri" w:hAnsi="Calibri" w:cs="Calibri"/>
          <w:noProof/>
          <w:szCs w:val="24"/>
        </w:rPr>
        <w:t>25</w:t>
      </w:r>
      <w:r w:rsidRPr="007B1CE3">
        <w:rPr>
          <w:rFonts w:ascii="Calibri" w:hAnsi="Calibri" w:cs="Calibri"/>
          <w:noProof/>
          <w:szCs w:val="24"/>
        </w:rPr>
        <w:tab/>
        <w:t xml:space="preserve">Gorelick N, Hancher M, Dixon M, Ilyushchenko S, Thau D, Moore R. Google Earth Engine: Planetary-scale geospatial analysis for everyone. </w:t>
      </w:r>
      <w:r w:rsidRPr="007B1CE3">
        <w:rPr>
          <w:rFonts w:ascii="Calibri" w:hAnsi="Calibri" w:cs="Calibri"/>
          <w:i/>
          <w:iCs/>
          <w:noProof/>
          <w:szCs w:val="24"/>
        </w:rPr>
        <w:t>Remote Sens Environ</w:t>
      </w:r>
      <w:r w:rsidRPr="007B1CE3">
        <w:rPr>
          <w:rFonts w:ascii="Calibri" w:hAnsi="Calibri" w:cs="Calibri"/>
          <w:noProof/>
          <w:szCs w:val="24"/>
        </w:rPr>
        <w:t xml:space="preserve"> 2017; </w:t>
      </w:r>
      <w:r w:rsidRPr="007B1CE3">
        <w:rPr>
          <w:rFonts w:ascii="Calibri" w:hAnsi="Calibri" w:cs="Calibri"/>
          <w:b/>
          <w:bCs/>
          <w:noProof/>
          <w:szCs w:val="24"/>
        </w:rPr>
        <w:t>202</w:t>
      </w:r>
      <w:r w:rsidRPr="007B1CE3">
        <w:rPr>
          <w:rFonts w:ascii="Calibri" w:hAnsi="Calibri" w:cs="Calibri"/>
          <w:noProof/>
          <w:szCs w:val="24"/>
        </w:rPr>
        <w:t>: 18–27.</w:t>
      </w:r>
    </w:p>
    <w:p w14:paraId="33FEB4DE"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7B1CE3">
        <w:rPr>
          <w:rFonts w:ascii="Calibri" w:hAnsi="Calibri" w:cs="Calibri"/>
          <w:noProof/>
          <w:szCs w:val="24"/>
        </w:rPr>
        <w:t>26</w:t>
      </w:r>
      <w:r w:rsidRPr="007B1CE3">
        <w:rPr>
          <w:rFonts w:ascii="Calibri" w:hAnsi="Calibri" w:cs="Calibri"/>
          <w:noProof/>
          <w:szCs w:val="24"/>
        </w:rPr>
        <w:tab/>
        <w:t xml:space="preserve">Pekel JF, Cottam A, Gorelick N, Belward AS. High-resolution mapping of global surface water and its long-term changes. </w:t>
      </w:r>
      <w:r w:rsidRPr="007B1CE3">
        <w:rPr>
          <w:rFonts w:ascii="Calibri" w:hAnsi="Calibri" w:cs="Calibri"/>
          <w:i/>
          <w:iCs/>
          <w:noProof/>
          <w:szCs w:val="24"/>
        </w:rPr>
        <w:t>Nature</w:t>
      </w:r>
      <w:r w:rsidRPr="007B1CE3">
        <w:rPr>
          <w:rFonts w:ascii="Calibri" w:hAnsi="Calibri" w:cs="Calibri"/>
          <w:noProof/>
          <w:szCs w:val="24"/>
        </w:rPr>
        <w:t xml:space="preserve"> 2016; </w:t>
      </w:r>
      <w:r w:rsidRPr="007B1CE3">
        <w:rPr>
          <w:rFonts w:ascii="Calibri" w:hAnsi="Calibri" w:cs="Calibri"/>
          <w:b/>
          <w:bCs/>
          <w:noProof/>
          <w:szCs w:val="24"/>
        </w:rPr>
        <w:t>540</w:t>
      </w:r>
      <w:r w:rsidRPr="007B1CE3">
        <w:rPr>
          <w:rFonts w:ascii="Calibri" w:hAnsi="Calibri" w:cs="Calibri"/>
          <w:noProof/>
          <w:szCs w:val="24"/>
        </w:rPr>
        <w:t>: 418–22.</w:t>
      </w:r>
    </w:p>
    <w:p w14:paraId="4D6D8A81"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7B1CE3">
        <w:rPr>
          <w:rFonts w:ascii="Calibri" w:hAnsi="Calibri" w:cs="Calibri"/>
          <w:noProof/>
          <w:szCs w:val="24"/>
        </w:rPr>
        <w:t>27</w:t>
      </w:r>
      <w:r w:rsidRPr="007B1CE3">
        <w:rPr>
          <w:rFonts w:ascii="Calibri" w:hAnsi="Calibri" w:cs="Calibri"/>
          <w:noProof/>
          <w:szCs w:val="24"/>
        </w:rPr>
        <w:tab/>
        <w:t xml:space="preserve">Shi L, Wu X, Danesh Yazdi M, </w:t>
      </w:r>
      <w:r w:rsidRPr="007B1CE3">
        <w:rPr>
          <w:rFonts w:ascii="Calibri" w:hAnsi="Calibri" w:cs="Calibri"/>
          <w:i/>
          <w:iCs/>
          <w:noProof/>
          <w:szCs w:val="24"/>
        </w:rPr>
        <w:t>et al.</w:t>
      </w:r>
      <w:r w:rsidRPr="007B1CE3">
        <w:rPr>
          <w:rFonts w:ascii="Calibri" w:hAnsi="Calibri" w:cs="Calibri"/>
          <w:noProof/>
          <w:szCs w:val="24"/>
        </w:rPr>
        <w:t xml:space="preserve"> Long-term effects of PM2·5 on neurological disorders in the American Medicare population: a longitudinal cohort study. </w:t>
      </w:r>
      <w:r w:rsidRPr="007B1CE3">
        <w:rPr>
          <w:rFonts w:ascii="Calibri" w:hAnsi="Calibri" w:cs="Calibri"/>
          <w:i/>
          <w:iCs/>
          <w:noProof/>
          <w:szCs w:val="24"/>
        </w:rPr>
        <w:t>Lancet Planet Heal</w:t>
      </w:r>
      <w:r w:rsidRPr="007B1CE3">
        <w:rPr>
          <w:rFonts w:ascii="Calibri" w:hAnsi="Calibri" w:cs="Calibri"/>
          <w:noProof/>
          <w:szCs w:val="24"/>
        </w:rPr>
        <w:t xml:space="preserve"> 2020; </w:t>
      </w:r>
      <w:r w:rsidRPr="007B1CE3">
        <w:rPr>
          <w:rFonts w:ascii="Calibri" w:hAnsi="Calibri" w:cs="Calibri"/>
          <w:b/>
          <w:bCs/>
          <w:noProof/>
          <w:szCs w:val="24"/>
        </w:rPr>
        <w:t>4</w:t>
      </w:r>
      <w:r w:rsidRPr="007B1CE3">
        <w:rPr>
          <w:rFonts w:ascii="Calibri" w:hAnsi="Calibri" w:cs="Calibri"/>
          <w:noProof/>
          <w:szCs w:val="24"/>
        </w:rPr>
        <w:t>: e557–65.</w:t>
      </w:r>
    </w:p>
    <w:p w14:paraId="7E67593E" w14:textId="77777777" w:rsidR="007B1CE3" w:rsidRPr="00F42863" w:rsidRDefault="007B1CE3" w:rsidP="007B1CE3">
      <w:pPr>
        <w:widowControl w:val="0"/>
        <w:autoSpaceDE w:val="0"/>
        <w:autoSpaceDN w:val="0"/>
        <w:adjustRightInd w:val="0"/>
        <w:spacing w:line="240" w:lineRule="auto"/>
        <w:ind w:left="640" w:hanging="640"/>
        <w:rPr>
          <w:rFonts w:ascii="Calibri" w:hAnsi="Calibri" w:cs="Calibri"/>
          <w:noProof/>
          <w:szCs w:val="24"/>
          <w:lang w:val="nl-NL"/>
        </w:rPr>
      </w:pPr>
      <w:r w:rsidRPr="007B1CE3">
        <w:rPr>
          <w:rFonts w:ascii="Calibri" w:hAnsi="Calibri" w:cs="Calibri"/>
          <w:noProof/>
          <w:szCs w:val="24"/>
        </w:rPr>
        <w:t>28</w:t>
      </w:r>
      <w:r w:rsidRPr="007B1CE3">
        <w:rPr>
          <w:rFonts w:ascii="Calibri" w:hAnsi="Calibri" w:cs="Calibri"/>
          <w:noProof/>
          <w:szCs w:val="24"/>
        </w:rPr>
        <w:tab/>
        <w:t xml:space="preserve">Hanigan IC, Johnston FH. Respiratory hospital admissions were associated with ambient airborne pollen in Darwin, Australia, 2004–2005. </w:t>
      </w:r>
      <w:r w:rsidRPr="00F42863">
        <w:rPr>
          <w:rFonts w:ascii="Calibri" w:hAnsi="Calibri" w:cs="Calibri"/>
          <w:i/>
          <w:iCs/>
          <w:noProof/>
          <w:szCs w:val="24"/>
          <w:lang w:val="nl-NL"/>
        </w:rPr>
        <w:t>Clin Exp Allergy</w:t>
      </w:r>
      <w:r w:rsidRPr="00F42863">
        <w:rPr>
          <w:rFonts w:ascii="Calibri" w:hAnsi="Calibri" w:cs="Calibri"/>
          <w:noProof/>
          <w:szCs w:val="24"/>
          <w:lang w:val="nl-NL"/>
        </w:rPr>
        <w:t xml:space="preserve"> 2007; </w:t>
      </w:r>
      <w:r w:rsidRPr="00F42863">
        <w:rPr>
          <w:rFonts w:ascii="Calibri" w:hAnsi="Calibri" w:cs="Calibri"/>
          <w:b/>
          <w:bCs/>
          <w:noProof/>
          <w:szCs w:val="24"/>
          <w:lang w:val="nl-NL"/>
        </w:rPr>
        <w:t>37</w:t>
      </w:r>
      <w:r w:rsidRPr="00F42863">
        <w:rPr>
          <w:rFonts w:ascii="Calibri" w:hAnsi="Calibri" w:cs="Calibri"/>
          <w:noProof/>
          <w:szCs w:val="24"/>
          <w:lang w:val="nl-NL"/>
        </w:rPr>
        <w:t>: 1556–65.</w:t>
      </w:r>
    </w:p>
    <w:p w14:paraId="5DD78C51"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szCs w:val="24"/>
        </w:rPr>
      </w:pPr>
      <w:r w:rsidRPr="00F42863">
        <w:rPr>
          <w:rFonts w:ascii="Calibri" w:hAnsi="Calibri" w:cs="Calibri"/>
          <w:noProof/>
          <w:szCs w:val="24"/>
          <w:lang w:val="nl-NL"/>
        </w:rPr>
        <w:t>29</w:t>
      </w:r>
      <w:r w:rsidRPr="00F42863">
        <w:rPr>
          <w:rFonts w:ascii="Calibri" w:hAnsi="Calibri" w:cs="Calibri"/>
          <w:noProof/>
          <w:szCs w:val="24"/>
          <w:lang w:val="nl-NL"/>
        </w:rPr>
        <w:tab/>
        <w:t xml:space="preserve">Li R, Pei S, Chen B, </w:t>
      </w:r>
      <w:r w:rsidRPr="00F42863">
        <w:rPr>
          <w:rFonts w:ascii="Calibri" w:hAnsi="Calibri" w:cs="Calibri"/>
          <w:i/>
          <w:iCs/>
          <w:noProof/>
          <w:szCs w:val="24"/>
          <w:lang w:val="nl-NL"/>
        </w:rPr>
        <w:t>et al.</w:t>
      </w:r>
      <w:r w:rsidRPr="00F42863">
        <w:rPr>
          <w:rFonts w:ascii="Calibri" w:hAnsi="Calibri" w:cs="Calibri"/>
          <w:noProof/>
          <w:szCs w:val="24"/>
          <w:lang w:val="nl-NL"/>
        </w:rPr>
        <w:t xml:space="preserve"> </w:t>
      </w:r>
      <w:r w:rsidRPr="007B1CE3">
        <w:rPr>
          <w:rFonts w:ascii="Calibri" w:hAnsi="Calibri" w:cs="Calibri"/>
          <w:noProof/>
          <w:szCs w:val="24"/>
        </w:rPr>
        <w:t xml:space="preserve">Substantial undocumented infection facilitates the rapid dissemination of novel coronavirus (SARS-CoV-2). </w:t>
      </w:r>
      <w:r w:rsidRPr="007B1CE3">
        <w:rPr>
          <w:rFonts w:ascii="Calibri" w:hAnsi="Calibri" w:cs="Calibri"/>
          <w:i/>
          <w:iCs/>
          <w:noProof/>
          <w:szCs w:val="24"/>
        </w:rPr>
        <w:t>Science (80- )</w:t>
      </w:r>
      <w:r w:rsidRPr="007B1CE3">
        <w:rPr>
          <w:rFonts w:ascii="Calibri" w:hAnsi="Calibri" w:cs="Calibri"/>
          <w:noProof/>
          <w:szCs w:val="24"/>
        </w:rPr>
        <w:t xml:space="preserve"> 2020; </w:t>
      </w:r>
      <w:r w:rsidRPr="007B1CE3">
        <w:rPr>
          <w:rFonts w:ascii="Calibri" w:hAnsi="Calibri" w:cs="Calibri"/>
          <w:b/>
          <w:bCs/>
          <w:noProof/>
          <w:szCs w:val="24"/>
        </w:rPr>
        <w:t>368</w:t>
      </w:r>
      <w:r w:rsidRPr="007B1CE3">
        <w:rPr>
          <w:rFonts w:ascii="Calibri" w:hAnsi="Calibri" w:cs="Calibri"/>
          <w:noProof/>
          <w:szCs w:val="24"/>
        </w:rPr>
        <w:t>: 489–93.</w:t>
      </w:r>
    </w:p>
    <w:p w14:paraId="312EF5BD" w14:textId="77777777" w:rsidR="007B1CE3" w:rsidRPr="007B1CE3" w:rsidRDefault="007B1CE3" w:rsidP="007B1CE3">
      <w:pPr>
        <w:widowControl w:val="0"/>
        <w:autoSpaceDE w:val="0"/>
        <w:autoSpaceDN w:val="0"/>
        <w:adjustRightInd w:val="0"/>
        <w:spacing w:line="240" w:lineRule="auto"/>
        <w:ind w:left="640" w:hanging="640"/>
        <w:rPr>
          <w:rFonts w:ascii="Calibri" w:hAnsi="Calibri" w:cs="Calibri"/>
          <w:noProof/>
        </w:rPr>
      </w:pPr>
      <w:r w:rsidRPr="007B1CE3">
        <w:rPr>
          <w:rFonts w:ascii="Calibri" w:hAnsi="Calibri" w:cs="Calibri"/>
          <w:noProof/>
          <w:szCs w:val="24"/>
        </w:rPr>
        <w:t>30</w:t>
      </w:r>
      <w:r w:rsidRPr="007B1CE3">
        <w:rPr>
          <w:rFonts w:ascii="Calibri" w:hAnsi="Calibri" w:cs="Calibri"/>
          <w:noProof/>
          <w:szCs w:val="24"/>
        </w:rPr>
        <w:tab/>
        <w:t xml:space="preserve">Millet DB, Jacob DJ, Folkert Boersma K, </w:t>
      </w:r>
      <w:r w:rsidRPr="007B1CE3">
        <w:rPr>
          <w:rFonts w:ascii="Calibri" w:hAnsi="Calibri" w:cs="Calibri"/>
          <w:i/>
          <w:iCs/>
          <w:noProof/>
          <w:szCs w:val="24"/>
        </w:rPr>
        <w:t>et al.</w:t>
      </w:r>
      <w:r w:rsidRPr="007B1CE3">
        <w:rPr>
          <w:rFonts w:ascii="Calibri" w:hAnsi="Calibri" w:cs="Calibri"/>
          <w:noProof/>
          <w:szCs w:val="24"/>
        </w:rPr>
        <w:t xml:space="preserve"> Spatial distribution of isoprene emissions from North America derived from formaldehyde column measurements by the OMI satellite sensor. </w:t>
      </w:r>
      <w:r w:rsidRPr="007B1CE3">
        <w:rPr>
          <w:rFonts w:ascii="Calibri" w:hAnsi="Calibri" w:cs="Calibri"/>
          <w:i/>
          <w:iCs/>
          <w:noProof/>
          <w:szCs w:val="24"/>
        </w:rPr>
        <w:t>J Geophys Res Atmos</w:t>
      </w:r>
      <w:r w:rsidRPr="007B1CE3">
        <w:rPr>
          <w:rFonts w:ascii="Calibri" w:hAnsi="Calibri" w:cs="Calibri"/>
          <w:noProof/>
          <w:szCs w:val="24"/>
        </w:rPr>
        <w:t xml:space="preserve"> 2008; </w:t>
      </w:r>
      <w:r w:rsidRPr="007B1CE3">
        <w:rPr>
          <w:rFonts w:ascii="Calibri" w:hAnsi="Calibri" w:cs="Calibri"/>
          <w:b/>
          <w:bCs/>
          <w:noProof/>
          <w:szCs w:val="24"/>
        </w:rPr>
        <w:t>113</w:t>
      </w:r>
      <w:r w:rsidRPr="007B1CE3">
        <w:rPr>
          <w:rFonts w:ascii="Calibri" w:hAnsi="Calibri" w:cs="Calibri"/>
          <w:noProof/>
          <w:szCs w:val="24"/>
        </w:rPr>
        <w:t>: 2307.</w:t>
      </w:r>
    </w:p>
    <w:p w14:paraId="14B1BE46" w14:textId="77777777" w:rsidR="00A35E7F" w:rsidRDefault="00E7726D" w:rsidP="009251BA">
      <w:pPr>
        <w:jc w:val="both"/>
      </w:pPr>
      <w:r>
        <w:fldChar w:fldCharType="end"/>
      </w:r>
    </w:p>
    <w:p w14:paraId="1F6D89FF" w14:textId="77777777" w:rsidR="00A35E7F" w:rsidRDefault="00A35E7F" w:rsidP="009251BA">
      <w:pPr>
        <w:jc w:val="both"/>
      </w:pPr>
    </w:p>
    <w:p w14:paraId="5190C4BF" w14:textId="77777777" w:rsidR="00A35E7F" w:rsidRDefault="00A35E7F" w:rsidP="009251BA">
      <w:pPr>
        <w:jc w:val="both"/>
      </w:pPr>
    </w:p>
    <w:p w14:paraId="72F5618B" w14:textId="77777777" w:rsidR="00613619" w:rsidRDefault="00613619" w:rsidP="009251BA">
      <w:pPr>
        <w:jc w:val="both"/>
        <w:rPr>
          <w:b/>
          <w:bCs/>
          <w:lang w:val="en-GB"/>
        </w:rPr>
      </w:pPr>
    </w:p>
    <w:p w14:paraId="425E7DBF" w14:textId="77777777" w:rsidR="00613619" w:rsidRDefault="00613619" w:rsidP="009251BA">
      <w:pPr>
        <w:jc w:val="both"/>
        <w:rPr>
          <w:b/>
          <w:bCs/>
          <w:lang w:val="en-GB"/>
        </w:rPr>
      </w:pPr>
    </w:p>
    <w:p w14:paraId="40D2510C" w14:textId="77777777" w:rsidR="00613619" w:rsidRDefault="00613619" w:rsidP="009251BA">
      <w:pPr>
        <w:jc w:val="both"/>
        <w:rPr>
          <w:b/>
          <w:bCs/>
          <w:lang w:val="en-GB"/>
        </w:rPr>
      </w:pPr>
    </w:p>
    <w:p w14:paraId="3521C6E6" w14:textId="77777777" w:rsidR="00613619" w:rsidRDefault="00613619" w:rsidP="009251BA">
      <w:pPr>
        <w:jc w:val="both"/>
        <w:rPr>
          <w:b/>
          <w:bCs/>
          <w:lang w:val="en-GB"/>
        </w:rPr>
      </w:pPr>
    </w:p>
    <w:p w14:paraId="6246F463" w14:textId="77777777" w:rsidR="00613619" w:rsidRDefault="00613619" w:rsidP="009251BA">
      <w:pPr>
        <w:jc w:val="both"/>
        <w:rPr>
          <w:b/>
          <w:bCs/>
          <w:lang w:val="en-GB"/>
        </w:rPr>
      </w:pPr>
    </w:p>
    <w:p w14:paraId="2B0A751C" w14:textId="77777777" w:rsidR="00613619" w:rsidRDefault="00613619" w:rsidP="009251BA">
      <w:pPr>
        <w:jc w:val="both"/>
        <w:rPr>
          <w:b/>
          <w:bCs/>
          <w:lang w:val="en-GB"/>
        </w:rPr>
      </w:pPr>
    </w:p>
    <w:p w14:paraId="433F248F" w14:textId="77777777" w:rsidR="00613619" w:rsidRDefault="00613619" w:rsidP="009251BA">
      <w:pPr>
        <w:jc w:val="both"/>
        <w:rPr>
          <w:b/>
          <w:bCs/>
          <w:lang w:val="en-GB"/>
        </w:rPr>
      </w:pPr>
    </w:p>
    <w:p w14:paraId="650BC94B" w14:textId="77777777" w:rsidR="00460D68" w:rsidRDefault="00460D68" w:rsidP="009251BA">
      <w:pPr>
        <w:jc w:val="both"/>
        <w:rPr>
          <w:b/>
          <w:bCs/>
          <w:lang w:val="en-GB"/>
        </w:rPr>
      </w:pPr>
    </w:p>
    <w:p w14:paraId="2190B1FD" w14:textId="77777777" w:rsidR="003702DF" w:rsidRDefault="003702DF" w:rsidP="009251BA">
      <w:pPr>
        <w:jc w:val="both"/>
        <w:rPr>
          <w:b/>
          <w:bCs/>
          <w:lang w:val="en-GB"/>
        </w:rPr>
      </w:pPr>
    </w:p>
    <w:p w14:paraId="2B0F0FB7" w14:textId="77777777" w:rsidR="004A65BA" w:rsidRDefault="004A65BA" w:rsidP="009251BA">
      <w:pPr>
        <w:jc w:val="both"/>
        <w:rPr>
          <w:b/>
          <w:bCs/>
          <w:lang w:val="en-GB"/>
        </w:rPr>
      </w:pPr>
    </w:p>
    <w:p w14:paraId="113AEE02" w14:textId="77777777" w:rsidR="004A65BA" w:rsidRDefault="004A65BA" w:rsidP="009251BA">
      <w:pPr>
        <w:jc w:val="both"/>
        <w:rPr>
          <w:b/>
          <w:bCs/>
          <w:lang w:val="en-GB"/>
        </w:rPr>
      </w:pPr>
    </w:p>
    <w:p w14:paraId="777DBDEC" w14:textId="77777777" w:rsidR="004A65BA" w:rsidRDefault="004A65BA" w:rsidP="009251BA">
      <w:pPr>
        <w:jc w:val="both"/>
        <w:rPr>
          <w:b/>
          <w:bCs/>
          <w:lang w:val="en-GB"/>
        </w:rPr>
      </w:pPr>
    </w:p>
    <w:p w14:paraId="5191056B" w14:textId="77777777" w:rsidR="004A65BA" w:rsidRDefault="004A65BA" w:rsidP="009251BA">
      <w:pPr>
        <w:jc w:val="both"/>
        <w:rPr>
          <w:b/>
          <w:bCs/>
          <w:lang w:val="en-GB"/>
        </w:rPr>
      </w:pPr>
    </w:p>
    <w:p w14:paraId="15E83179" w14:textId="77777777" w:rsidR="004A65BA" w:rsidRDefault="004A65BA" w:rsidP="009251BA">
      <w:pPr>
        <w:jc w:val="both"/>
        <w:rPr>
          <w:b/>
          <w:bCs/>
          <w:lang w:val="en-GB"/>
        </w:rPr>
      </w:pPr>
    </w:p>
    <w:p w14:paraId="4578ED08" w14:textId="4E2383F7" w:rsidR="009251BA" w:rsidRPr="00266036" w:rsidRDefault="009251BA" w:rsidP="009251BA">
      <w:pPr>
        <w:jc w:val="both"/>
        <w:rPr>
          <w:b/>
          <w:bCs/>
          <w:lang w:val="en-GB"/>
        </w:rPr>
      </w:pPr>
      <w:r w:rsidRPr="00266036">
        <w:rPr>
          <w:b/>
          <w:bCs/>
          <w:lang w:val="en-GB"/>
        </w:rPr>
        <w:lastRenderedPageBreak/>
        <w:t>Table 1. Descriptive statistics of all</w:t>
      </w:r>
      <w:r w:rsidR="00EC34A3">
        <w:rPr>
          <w:b/>
          <w:bCs/>
          <w:lang w:val="en-GB"/>
        </w:rPr>
        <w:t xml:space="preserve"> U.S.</w:t>
      </w:r>
      <w:r w:rsidRPr="00266036">
        <w:rPr>
          <w:b/>
          <w:bCs/>
          <w:lang w:val="en-GB"/>
        </w:rPr>
        <w:t xml:space="preserve"> Medicare fee-for-service beneficiaries (n = </w:t>
      </w:r>
      <w:r w:rsidRPr="00E73F71">
        <w:rPr>
          <w:b/>
          <w:bCs/>
        </w:rPr>
        <w:t>6</w:t>
      </w:r>
      <w:r>
        <w:rPr>
          <w:b/>
          <w:bCs/>
        </w:rPr>
        <w:t>3</w:t>
      </w:r>
      <w:r w:rsidRPr="00E73F71">
        <w:rPr>
          <w:b/>
          <w:bCs/>
        </w:rPr>
        <w:t>,</w:t>
      </w:r>
      <w:r>
        <w:rPr>
          <w:b/>
          <w:bCs/>
        </w:rPr>
        <w:t>009</w:t>
      </w:r>
      <w:r w:rsidRPr="00E73F71">
        <w:rPr>
          <w:b/>
          <w:bCs/>
        </w:rPr>
        <w:t>,</w:t>
      </w:r>
      <w:r>
        <w:rPr>
          <w:b/>
          <w:bCs/>
        </w:rPr>
        <w:t>173</w:t>
      </w:r>
      <w:r w:rsidRPr="00266036">
        <w:rPr>
          <w:b/>
          <w:bCs/>
          <w:lang w:val="en-GB"/>
        </w:rPr>
        <w:t>) from 2000 through 2016</w:t>
      </w:r>
      <w:r w:rsidR="004C3323">
        <w:rPr>
          <w:b/>
          <w:bCs/>
          <w:lang w:val="en-GB"/>
        </w:rPr>
        <w:t>.</w:t>
      </w:r>
      <w:r w:rsidR="00A76A4F" w:rsidRPr="00A76A4F">
        <w:rPr>
          <w:b/>
          <w:bCs/>
          <w:vertAlign w:val="superscript"/>
          <w:lang w:val="en-GB"/>
        </w:rPr>
        <w:t>a</w:t>
      </w:r>
    </w:p>
    <w:tbl>
      <w:tblPr>
        <w:tblW w:w="9652" w:type="dxa"/>
        <w:tblLayout w:type="fixed"/>
        <w:tblLook w:val="04A0" w:firstRow="1" w:lastRow="0" w:firstColumn="1" w:lastColumn="0" w:noHBand="0" w:noVBand="1"/>
      </w:tblPr>
      <w:tblGrid>
        <w:gridCol w:w="2970"/>
        <w:gridCol w:w="4950"/>
        <w:gridCol w:w="1732"/>
      </w:tblGrid>
      <w:tr w:rsidR="00EF423E" w:rsidRPr="00266036" w14:paraId="649E2618" w14:textId="77777777" w:rsidTr="00CE4566">
        <w:trPr>
          <w:trHeight w:val="252"/>
        </w:trPr>
        <w:tc>
          <w:tcPr>
            <w:tcW w:w="2970" w:type="dxa"/>
            <w:tcBorders>
              <w:top w:val="nil"/>
              <w:left w:val="nil"/>
              <w:right w:val="single" w:sz="4" w:space="0" w:color="auto"/>
            </w:tcBorders>
            <w:vAlign w:val="center"/>
          </w:tcPr>
          <w:p w14:paraId="0FD0972B" w14:textId="033235CD" w:rsidR="00EF423E" w:rsidRPr="00266036" w:rsidRDefault="00CE4566" w:rsidP="00203634">
            <w:pPr>
              <w:spacing w:after="0" w:line="240" w:lineRule="auto"/>
              <w:rPr>
                <w:rFonts w:ascii="Calibri" w:eastAsia="Times New Roman" w:hAnsi="Calibri" w:cs="Calibri"/>
                <w:b/>
                <w:bCs/>
                <w:color w:val="000000"/>
                <w:sz w:val="20"/>
                <w:szCs w:val="20"/>
                <w:lang w:val="en-GB"/>
              </w:rPr>
            </w:pPr>
            <w:r>
              <w:rPr>
                <w:rFonts w:ascii="Calibri" w:eastAsia="Times New Roman" w:hAnsi="Calibri" w:cs="Calibri"/>
                <w:b/>
                <w:bCs/>
                <w:color w:val="000000"/>
                <w:sz w:val="20"/>
                <w:szCs w:val="20"/>
                <w:lang w:val="en-GB"/>
              </w:rPr>
              <w:t>Individual-level covariates</w:t>
            </w:r>
          </w:p>
        </w:tc>
        <w:tc>
          <w:tcPr>
            <w:tcW w:w="4950" w:type="dxa"/>
            <w:tcBorders>
              <w:top w:val="nil"/>
              <w:left w:val="single" w:sz="4" w:space="0" w:color="auto"/>
              <w:right w:val="nil"/>
            </w:tcBorders>
            <w:shd w:val="clear" w:color="auto" w:fill="auto"/>
            <w:noWrap/>
            <w:vAlign w:val="center"/>
          </w:tcPr>
          <w:p w14:paraId="5043FAED" w14:textId="6F9EC960" w:rsidR="00EF423E" w:rsidRPr="00266036" w:rsidRDefault="00CE4566" w:rsidP="00203634">
            <w:pPr>
              <w:spacing w:after="0" w:line="240" w:lineRule="auto"/>
              <w:rPr>
                <w:rFonts w:ascii="Calibri" w:eastAsia="Times New Roman" w:hAnsi="Calibri" w:cs="Calibri"/>
                <w:b/>
                <w:bCs/>
                <w:color w:val="000000"/>
                <w:sz w:val="20"/>
                <w:szCs w:val="20"/>
                <w:lang w:val="en-GB"/>
              </w:rPr>
            </w:pPr>
            <w:r w:rsidRPr="00D26C5B">
              <w:rPr>
                <w:b/>
                <w:bCs/>
                <w:sz w:val="20"/>
                <w:szCs w:val="20"/>
                <w:lang w:val="en-GB"/>
              </w:rPr>
              <w:t>Demographics at study entry</w:t>
            </w:r>
          </w:p>
        </w:tc>
        <w:tc>
          <w:tcPr>
            <w:tcW w:w="1732" w:type="dxa"/>
            <w:tcBorders>
              <w:top w:val="nil"/>
              <w:left w:val="nil"/>
              <w:right w:val="nil"/>
            </w:tcBorders>
            <w:shd w:val="clear" w:color="auto" w:fill="auto"/>
            <w:noWrap/>
            <w:vAlign w:val="center"/>
          </w:tcPr>
          <w:p w14:paraId="5AFE39AD" w14:textId="496E7CC3" w:rsidR="00EF423E" w:rsidRPr="00266036" w:rsidRDefault="00EF423E" w:rsidP="00EF423E">
            <w:pPr>
              <w:spacing w:after="0" w:line="240" w:lineRule="auto"/>
              <w:jc w:val="center"/>
              <w:rPr>
                <w:rFonts w:ascii="Calibri" w:eastAsia="Times New Roman" w:hAnsi="Calibri" w:cs="Calibri"/>
                <w:b/>
                <w:bCs/>
                <w:color w:val="000000"/>
                <w:sz w:val="20"/>
                <w:szCs w:val="20"/>
                <w:lang w:val="en-GB"/>
              </w:rPr>
            </w:pPr>
            <w:r w:rsidRPr="00266036">
              <w:rPr>
                <w:rFonts w:ascii="Calibri" w:eastAsia="Times New Roman" w:hAnsi="Calibri" w:cs="Calibri"/>
                <w:b/>
                <w:bCs/>
                <w:color w:val="000000"/>
                <w:sz w:val="20"/>
                <w:szCs w:val="20"/>
                <w:lang w:val="en-GB"/>
              </w:rPr>
              <w:t xml:space="preserve">N (%) </w:t>
            </w:r>
          </w:p>
        </w:tc>
      </w:tr>
      <w:tr w:rsidR="00250DD4" w:rsidRPr="00266036" w14:paraId="01353EAC" w14:textId="0F6A85D8" w:rsidTr="00CE4566">
        <w:trPr>
          <w:trHeight w:val="152"/>
        </w:trPr>
        <w:tc>
          <w:tcPr>
            <w:tcW w:w="2970" w:type="dxa"/>
            <w:tcBorders>
              <w:top w:val="single" w:sz="4" w:space="0" w:color="auto"/>
              <w:left w:val="nil"/>
              <w:bottom w:val="nil"/>
              <w:right w:val="single" w:sz="4" w:space="0" w:color="auto"/>
            </w:tcBorders>
            <w:vAlign w:val="center"/>
          </w:tcPr>
          <w:p w14:paraId="53C0E96A" w14:textId="77777777" w:rsidR="00250DD4" w:rsidRPr="00266036" w:rsidRDefault="00250DD4" w:rsidP="00203634">
            <w:pPr>
              <w:spacing w:after="0" w:line="240" w:lineRule="auto"/>
              <w:rPr>
                <w:rFonts w:ascii="Calibri" w:eastAsia="Times New Roman" w:hAnsi="Calibri" w:cs="Calibri"/>
                <w:b/>
                <w:bCs/>
                <w:color w:val="000000"/>
                <w:sz w:val="20"/>
                <w:szCs w:val="20"/>
                <w:lang w:val="en-GB"/>
              </w:rPr>
            </w:pPr>
            <w:r w:rsidRPr="00266036">
              <w:rPr>
                <w:rFonts w:ascii="Calibri" w:eastAsia="Times New Roman" w:hAnsi="Calibri" w:cs="Calibri"/>
                <w:b/>
                <w:bCs/>
                <w:color w:val="000000"/>
                <w:sz w:val="20"/>
                <w:szCs w:val="20"/>
                <w:lang w:val="en-GB"/>
              </w:rPr>
              <w:t>Sex</w:t>
            </w:r>
          </w:p>
        </w:tc>
        <w:tc>
          <w:tcPr>
            <w:tcW w:w="4950" w:type="dxa"/>
            <w:tcBorders>
              <w:top w:val="single" w:sz="4" w:space="0" w:color="auto"/>
              <w:left w:val="single" w:sz="4" w:space="0" w:color="auto"/>
              <w:bottom w:val="nil"/>
              <w:right w:val="nil"/>
            </w:tcBorders>
            <w:shd w:val="clear" w:color="auto" w:fill="auto"/>
            <w:noWrap/>
            <w:vAlign w:val="center"/>
            <w:hideMark/>
          </w:tcPr>
          <w:p w14:paraId="2AC7707C" w14:textId="77777777" w:rsidR="00250DD4" w:rsidRPr="00266036" w:rsidRDefault="00250DD4" w:rsidP="00203634">
            <w:pPr>
              <w:pStyle w:val="NoSpacing"/>
              <w:rPr>
                <w:sz w:val="20"/>
                <w:szCs w:val="20"/>
                <w:lang w:val="en-GB"/>
              </w:rPr>
            </w:pPr>
            <w:r w:rsidRPr="00266036">
              <w:rPr>
                <w:sz w:val="20"/>
                <w:szCs w:val="20"/>
                <w:lang w:val="en-GB"/>
              </w:rPr>
              <w:t>Female</w:t>
            </w:r>
          </w:p>
        </w:tc>
        <w:tc>
          <w:tcPr>
            <w:tcW w:w="1732" w:type="dxa"/>
            <w:tcBorders>
              <w:top w:val="single" w:sz="4" w:space="0" w:color="auto"/>
              <w:left w:val="nil"/>
              <w:bottom w:val="nil"/>
              <w:right w:val="nil"/>
            </w:tcBorders>
            <w:shd w:val="clear" w:color="auto" w:fill="auto"/>
            <w:noWrap/>
            <w:vAlign w:val="center"/>
            <w:hideMark/>
          </w:tcPr>
          <w:p w14:paraId="40330AE1" w14:textId="43BDB519" w:rsidR="00250DD4" w:rsidRPr="00266036" w:rsidRDefault="00250DD4" w:rsidP="00203634">
            <w:pPr>
              <w:spacing w:after="0" w:line="240" w:lineRule="auto"/>
              <w:jc w:val="right"/>
              <w:rPr>
                <w:rFonts w:ascii="Calibri" w:eastAsia="Times New Roman" w:hAnsi="Calibri" w:cs="Calibri"/>
                <w:color w:val="000000"/>
                <w:sz w:val="20"/>
                <w:szCs w:val="20"/>
                <w:lang w:val="en-GB"/>
              </w:rPr>
            </w:pPr>
            <w:r w:rsidRPr="00A33116">
              <w:rPr>
                <w:rFonts w:eastAsia="Times New Roman" w:cs="Calibri"/>
                <w:color w:val="000000"/>
                <w:sz w:val="20"/>
                <w:szCs w:val="20"/>
              </w:rPr>
              <w:t>34</w:t>
            </w:r>
            <w:r>
              <w:rPr>
                <w:rFonts w:eastAsia="Times New Roman" w:cs="Calibri"/>
                <w:color w:val="000000"/>
                <w:sz w:val="20"/>
                <w:szCs w:val="20"/>
              </w:rPr>
              <w:t>,</w:t>
            </w:r>
            <w:r w:rsidRPr="00A33116">
              <w:rPr>
                <w:rFonts w:eastAsia="Times New Roman" w:cs="Calibri"/>
                <w:color w:val="000000"/>
                <w:sz w:val="20"/>
                <w:szCs w:val="20"/>
              </w:rPr>
              <w:t>725</w:t>
            </w:r>
            <w:r>
              <w:rPr>
                <w:rFonts w:eastAsia="Times New Roman" w:cs="Calibri"/>
                <w:color w:val="000000"/>
                <w:sz w:val="20"/>
                <w:szCs w:val="20"/>
              </w:rPr>
              <w:t>,</w:t>
            </w:r>
            <w:r w:rsidRPr="00A33116">
              <w:rPr>
                <w:rFonts w:eastAsia="Times New Roman" w:cs="Calibri"/>
                <w:color w:val="000000"/>
                <w:sz w:val="20"/>
                <w:szCs w:val="20"/>
              </w:rPr>
              <w:t>534</w:t>
            </w:r>
            <w:r w:rsidRPr="00E73F71">
              <w:rPr>
                <w:rFonts w:eastAsia="Times New Roman" w:cs="Calibri"/>
                <w:color w:val="000000"/>
                <w:sz w:val="20"/>
                <w:szCs w:val="20"/>
              </w:rPr>
              <w:t xml:space="preserve"> (55</w:t>
            </w:r>
            <w:r w:rsidR="00795537">
              <w:rPr>
                <w:rFonts w:eastAsia="Times New Roman" w:cs="Calibri"/>
                <w:color w:val="000000"/>
                <w:sz w:val="20"/>
                <w:szCs w:val="20"/>
              </w:rPr>
              <w:t>·</w:t>
            </w:r>
            <w:r w:rsidRPr="00E73F71">
              <w:rPr>
                <w:rFonts w:eastAsia="Times New Roman" w:cs="Calibri"/>
                <w:color w:val="000000"/>
                <w:sz w:val="20"/>
                <w:szCs w:val="20"/>
              </w:rPr>
              <w:t>1)</w:t>
            </w:r>
          </w:p>
        </w:tc>
      </w:tr>
      <w:tr w:rsidR="00250DD4" w:rsidRPr="00266036" w14:paraId="77BE0517" w14:textId="24685568" w:rsidTr="00CE4566">
        <w:trPr>
          <w:trHeight w:val="262"/>
        </w:trPr>
        <w:tc>
          <w:tcPr>
            <w:tcW w:w="2970" w:type="dxa"/>
            <w:vMerge w:val="restart"/>
            <w:tcBorders>
              <w:top w:val="nil"/>
              <w:left w:val="nil"/>
              <w:right w:val="single" w:sz="4" w:space="0" w:color="auto"/>
            </w:tcBorders>
          </w:tcPr>
          <w:p w14:paraId="72B1F34B" w14:textId="77777777" w:rsidR="00250DD4" w:rsidRPr="00266036" w:rsidRDefault="00250DD4" w:rsidP="00203634">
            <w:pPr>
              <w:spacing w:after="0" w:line="240" w:lineRule="auto"/>
              <w:rPr>
                <w:rFonts w:ascii="Calibri" w:eastAsia="Times New Roman" w:hAnsi="Calibri" w:cs="Calibri"/>
                <w:b/>
                <w:bCs/>
                <w:color w:val="000000"/>
                <w:sz w:val="20"/>
                <w:szCs w:val="20"/>
                <w:lang w:val="en-GB"/>
              </w:rPr>
            </w:pPr>
            <w:r w:rsidRPr="00266036">
              <w:rPr>
                <w:rFonts w:ascii="Calibri" w:eastAsia="Times New Roman" w:hAnsi="Calibri" w:cs="Calibri"/>
                <w:b/>
                <w:bCs/>
                <w:color w:val="000000"/>
                <w:sz w:val="20"/>
                <w:szCs w:val="20"/>
                <w:lang w:val="en-GB"/>
              </w:rPr>
              <w:t>Age entry</w:t>
            </w:r>
          </w:p>
        </w:tc>
        <w:tc>
          <w:tcPr>
            <w:tcW w:w="4950" w:type="dxa"/>
            <w:tcBorders>
              <w:top w:val="nil"/>
              <w:left w:val="single" w:sz="4" w:space="0" w:color="auto"/>
              <w:bottom w:val="nil"/>
              <w:right w:val="nil"/>
            </w:tcBorders>
            <w:shd w:val="clear" w:color="auto" w:fill="auto"/>
            <w:noWrap/>
            <w:vAlign w:val="center"/>
            <w:hideMark/>
          </w:tcPr>
          <w:p w14:paraId="2FCF87E6" w14:textId="77777777" w:rsidR="00250DD4" w:rsidRPr="00266036" w:rsidRDefault="00250DD4" w:rsidP="00203634">
            <w:pPr>
              <w:pStyle w:val="NoSpacing"/>
              <w:rPr>
                <w:sz w:val="20"/>
                <w:szCs w:val="20"/>
                <w:lang w:val="en-GB"/>
              </w:rPr>
            </w:pPr>
            <w:r w:rsidRPr="00266036">
              <w:rPr>
                <w:sz w:val="20"/>
                <w:szCs w:val="20"/>
                <w:lang w:val="en-GB"/>
              </w:rPr>
              <w:t>65-74 years</w:t>
            </w:r>
          </w:p>
        </w:tc>
        <w:tc>
          <w:tcPr>
            <w:tcW w:w="1732" w:type="dxa"/>
            <w:tcBorders>
              <w:top w:val="nil"/>
              <w:left w:val="nil"/>
              <w:bottom w:val="nil"/>
              <w:right w:val="nil"/>
            </w:tcBorders>
            <w:shd w:val="clear" w:color="auto" w:fill="auto"/>
            <w:noWrap/>
            <w:vAlign w:val="center"/>
            <w:hideMark/>
          </w:tcPr>
          <w:p w14:paraId="479D471D" w14:textId="2D92A47B" w:rsidR="00250DD4" w:rsidRPr="00266036" w:rsidRDefault="00250DD4" w:rsidP="00203634">
            <w:pPr>
              <w:spacing w:after="0" w:line="240" w:lineRule="auto"/>
              <w:jc w:val="right"/>
              <w:rPr>
                <w:rFonts w:ascii="Calibri" w:eastAsia="Times New Roman" w:hAnsi="Calibri" w:cs="Calibri"/>
                <w:color w:val="000000"/>
                <w:sz w:val="20"/>
                <w:szCs w:val="20"/>
                <w:lang w:val="en-GB"/>
              </w:rPr>
            </w:pPr>
            <w:r w:rsidRPr="00A33116">
              <w:rPr>
                <w:rFonts w:eastAsia="Times New Roman" w:cs="Calibri"/>
                <w:color w:val="000000"/>
                <w:sz w:val="20"/>
                <w:szCs w:val="20"/>
              </w:rPr>
              <w:t>48</w:t>
            </w:r>
            <w:r>
              <w:rPr>
                <w:rFonts w:eastAsia="Times New Roman" w:cs="Calibri"/>
                <w:color w:val="000000"/>
                <w:sz w:val="20"/>
                <w:szCs w:val="20"/>
              </w:rPr>
              <w:t>,</w:t>
            </w:r>
            <w:r w:rsidRPr="00A33116">
              <w:rPr>
                <w:rFonts w:eastAsia="Times New Roman" w:cs="Calibri"/>
                <w:color w:val="000000"/>
                <w:sz w:val="20"/>
                <w:szCs w:val="20"/>
              </w:rPr>
              <w:t>240</w:t>
            </w:r>
            <w:r>
              <w:rPr>
                <w:rFonts w:eastAsia="Times New Roman" w:cs="Calibri"/>
                <w:color w:val="000000"/>
                <w:sz w:val="20"/>
                <w:szCs w:val="20"/>
              </w:rPr>
              <w:t>,</w:t>
            </w:r>
            <w:r w:rsidRPr="00A33116">
              <w:rPr>
                <w:rFonts w:eastAsia="Times New Roman" w:cs="Calibri"/>
                <w:color w:val="000000"/>
                <w:sz w:val="20"/>
                <w:szCs w:val="20"/>
              </w:rPr>
              <w:t>802</w:t>
            </w:r>
            <w:r w:rsidRPr="00A33116" w:rsidDel="00A33116">
              <w:rPr>
                <w:rFonts w:eastAsia="Times New Roman" w:cs="Calibri"/>
                <w:color w:val="000000"/>
                <w:sz w:val="20"/>
                <w:szCs w:val="20"/>
              </w:rPr>
              <w:t xml:space="preserve"> </w:t>
            </w:r>
            <w:r w:rsidRPr="00E73F71">
              <w:rPr>
                <w:rFonts w:eastAsia="Times New Roman" w:cs="Calibri"/>
                <w:color w:val="000000"/>
                <w:sz w:val="20"/>
                <w:szCs w:val="20"/>
              </w:rPr>
              <w:t>(76</w:t>
            </w:r>
            <w:r w:rsidR="00795537">
              <w:rPr>
                <w:rFonts w:eastAsia="Times New Roman" w:cs="Calibri"/>
                <w:color w:val="000000"/>
                <w:sz w:val="20"/>
                <w:szCs w:val="20"/>
              </w:rPr>
              <w:t>·</w:t>
            </w:r>
            <w:r>
              <w:rPr>
                <w:rFonts w:eastAsia="Times New Roman" w:cs="Calibri"/>
                <w:color w:val="000000"/>
                <w:sz w:val="20"/>
                <w:szCs w:val="20"/>
              </w:rPr>
              <w:t>6</w:t>
            </w:r>
            <w:r w:rsidRPr="00E73F71">
              <w:rPr>
                <w:rFonts w:eastAsia="Times New Roman" w:cs="Calibri"/>
                <w:color w:val="000000"/>
                <w:sz w:val="20"/>
                <w:szCs w:val="20"/>
              </w:rPr>
              <w:t>)</w:t>
            </w:r>
          </w:p>
        </w:tc>
      </w:tr>
      <w:tr w:rsidR="00250DD4" w:rsidRPr="00266036" w14:paraId="485EDAF8" w14:textId="33992134" w:rsidTr="00CE4566">
        <w:trPr>
          <w:trHeight w:val="262"/>
        </w:trPr>
        <w:tc>
          <w:tcPr>
            <w:tcW w:w="2970" w:type="dxa"/>
            <w:vMerge/>
            <w:tcBorders>
              <w:left w:val="nil"/>
              <w:right w:val="single" w:sz="4" w:space="0" w:color="auto"/>
            </w:tcBorders>
          </w:tcPr>
          <w:p w14:paraId="4FD6303A" w14:textId="77777777" w:rsidR="00250DD4" w:rsidRPr="00266036" w:rsidRDefault="00250DD4" w:rsidP="00203634">
            <w:pPr>
              <w:spacing w:after="0" w:line="240" w:lineRule="auto"/>
              <w:rPr>
                <w:rFonts w:ascii="Calibri" w:eastAsia="Times New Roman" w:hAnsi="Calibri" w:cs="Calibri"/>
                <w:b/>
                <w:bCs/>
                <w:color w:val="000000"/>
                <w:sz w:val="20"/>
                <w:szCs w:val="20"/>
                <w:lang w:val="en-GB"/>
              </w:rPr>
            </w:pPr>
          </w:p>
        </w:tc>
        <w:tc>
          <w:tcPr>
            <w:tcW w:w="4950" w:type="dxa"/>
            <w:tcBorders>
              <w:top w:val="nil"/>
              <w:left w:val="single" w:sz="4" w:space="0" w:color="auto"/>
              <w:bottom w:val="nil"/>
              <w:right w:val="nil"/>
            </w:tcBorders>
            <w:shd w:val="clear" w:color="auto" w:fill="auto"/>
            <w:noWrap/>
            <w:vAlign w:val="center"/>
            <w:hideMark/>
          </w:tcPr>
          <w:p w14:paraId="6704F80F" w14:textId="77777777" w:rsidR="00250DD4" w:rsidRPr="00266036" w:rsidRDefault="00250DD4" w:rsidP="00203634">
            <w:pPr>
              <w:pStyle w:val="NoSpacing"/>
              <w:rPr>
                <w:sz w:val="20"/>
                <w:szCs w:val="20"/>
                <w:lang w:val="en-GB"/>
              </w:rPr>
            </w:pPr>
            <w:r w:rsidRPr="00266036">
              <w:rPr>
                <w:sz w:val="20"/>
                <w:szCs w:val="20"/>
                <w:lang w:val="en-GB"/>
              </w:rPr>
              <w:t>75-84 years</w:t>
            </w:r>
          </w:p>
        </w:tc>
        <w:tc>
          <w:tcPr>
            <w:tcW w:w="1732" w:type="dxa"/>
            <w:tcBorders>
              <w:top w:val="nil"/>
              <w:left w:val="nil"/>
              <w:bottom w:val="nil"/>
              <w:right w:val="nil"/>
            </w:tcBorders>
            <w:shd w:val="clear" w:color="auto" w:fill="auto"/>
            <w:noWrap/>
            <w:vAlign w:val="center"/>
            <w:hideMark/>
          </w:tcPr>
          <w:p w14:paraId="44AD533B" w14:textId="7F42AAEB" w:rsidR="00250DD4" w:rsidRPr="00266036" w:rsidRDefault="00250DD4" w:rsidP="00203634">
            <w:pPr>
              <w:spacing w:after="0" w:line="240" w:lineRule="auto"/>
              <w:jc w:val="right"/>
              <w:rPr>
                <w:rFonts w:ascii="Calibri" w:eastAsia="Times New Roman" w:hAnsi="Calibri" w:cs="Calibri"/>
                <w:color w:val="000000"/>
                <w:sz w:val="20"/>
                <w:szCs w:val="20"/>
                <w:lang w:val="en-GB"/>
              </w:rPr>
            </w:pPr>
            <w:r w:rsidRPr="00237AA6">
              <w:rPr>
                <w:rFonts w:eastAsia="Times New Roman" w:cs="Calibri"/>
                <w:color w:val="000000"/>
                <w:sz w:val="20"/>
                <w:szCs w:val="20"/>
              </w:rPr>
              <w:t>10</w:t>
            </w:r>
            <w:r>
              <w:rPr>
                <w:rFonts w:eastAsia="Times New Roman" w:cs="Calibri"/>
                <w:color w:val="000000"/>
                <w:sz w:val="20"/>
                <w:szCs w:val="20"/>
              </w:rPr>
              <w:t>,</w:t>
            </w:r>
            <w:r w:rsidRPr="00237AA6">
              <w:rPr>
                <w:rFonts w:eastAsia="Times New Roman" w:cs="Calibri"/>
                <w:color w:val="000000"/>
                <w:sz w:val="20"/>
                <w:szCs w:val="20"/>
              </w:rPr>
              <w:t>819</w:t>
            </w:r>
            <w:r>
              <w:rPr>
                <w:rFonts w:eastAsia="Times New Roman" w:cs="Calibri"/>
                <w:color w:val="000000"/>
                <w:sz w:val="20"/>
                <w:szCs w:val="20"/>
              </w:rPr>
              <w:t>,</w:t>
            </w:r>
            <w:r w:rsidRPr="00237AA6">
              <w:rPr>
                <w:rFonts w:eastAsia="Times New Roman" w:cs="Calibri"/>
                <w:color w:val="000000"/>
                <w:sz w:val="20"/>
                <w:szCs w:val="20"/>
              </w:rPr>
              <w:t>118</w:t>
            </w:r>
            <w:r w:rsidRPr="00237AA6" w:rsidDel="00237AA6">
              <w:rPr>
                <w:rFonts w:eastAsia="Times New Roman" w:cs="Calibri"/>
                <w:color w:val="000000"/>
                <w:sz w:val="20"/>
                <w:szCs w:val="20"/>
              </w:rPr>
              <w:t xml:space="preserve"> </w:t>
            </w:r>
            <w:r w:rsidRPr="00E73F71">
              <w:rPr>
                <w:rFonts w:eastAsia="Times New Roman" w:cs="Calibri"/>
                <w:color w:val="000000"/>
                <w:sz w:val="20"/>
                <w:szCs w:val="20"/>
              </w:rPr>
              <w:t>(17</w:t>
            </w:r>
            <w:r w:rsidR="00795537">
              <w:rPr>
                <w:rFonts w:eastAsia="Times New Roman" w:cs="Calibri"/>
                <w:color w:val="000000"/>
                <w:sz w:val="20"/>
                <w:szCs w:val="20"/>
              </w:rPr>
              <w:t>·</w:t>
            </w:r>
            <w:r>
              <w:rPr>
                <w:rFonts w:eastAsia="Times New Roman" w:cs="Calibri"/>
                <w:color w:val="000000"/>
                <w:sz w:val="20"/>
                <w:szCs w:val="20"/>
              </w:rPr>
              <w:t>2</w:t>
            </w:r>
            <w:r w:rsidRPr="00E73F71">
              <w:rPr>
                <w:rFonts w:eastAsia="Times New Roman" w:cs="Calibri"/>
                <w:color w:val="000000"/>
                <w:sz w:val="20"/>
                <w:szCs w:val="20"/>
              </w:rPr>
              <w:t>)</w:t>
            </w:r>
          </w:p>
        </w:tc>
      </w:tr>
      <w:tr w:rsidR="00250DD4" w:rsidRPr="00266036" w14:paraId="09283301" w14:textId="303C8441" w:rsidTr="00CE4566">
        <w:trPr>
          <w:trHeight w:val="262"/>
        </w:trPr>
        <w:tc>
          <w:tcPr>
            <w:tcW w:w="2970" w:type="dxa"/>
            <w:vMerge/>
            <w:tcBorders>
              <w:left w:val="nil"/>
              <w:bottom w:val="nil"/>
              <w:right w:val="single" w:sz="4" w:space="0" w:color="auto"/>
            </w:tcBorders>
          </w:tcPr>
          <w:p w14:paraId="7A034271" w14:textId="77777777" w:rsidR="00250DD4" w:rsidRPr="00266036" w:rsidRDefault="00250DD4" w:rsidP="00203634">
            <w:pPr>
              <w:spacing w:after="0" w:line="240" w:lineRule="auto"/>
              <w:rPr>
                <w:rFonts w:ascii="Calibri" w:eastAsia="Times New Roman" w:hAnsi="Calibri" w:cs="Calibri"/>
                <w:b/>
                <w:bCs/>
                <w:color w:val="000000"/>
                <w:sz w:val="20"/>
                <w:szCs w:val="20"/>
                <w:lang w:val="en-GB"/>
              </w:rPr>
            </w:pPr>
          </w:p>
        </w:tc>
        <w:tc>
          <w:tcPr>
            <w:tcW w:w="4950" w:type="dxa"/>
            <w:tcBorders>
              <w:top w:val="nil"/>
              <w:left w:val="single" w:sz="4" w:space="0" w:color="auto"/>
              <w:bottom w:val="nil"/>
              <w:right w:val="nil"/>
            </w:tcBorders>
            <w:shd w:val="clear" w:color="auto" w:fill="auto"/>
            <w:noWrap/>
            <w:vAlign w:val="center"/>
            <w:hideMark/>
          </w:tcPr>
          <w:p w14:paraId="6A18EDE5" w14:textId="77777777" w:rsidR="00250DD4" w:rsidRPr="00266036" w:rsidRDefault="00250DD4" w:rsidP="00203634">
            <w:pPr>
              <w:pStyle w:val="NoSpacing"/>
              <w:rPr>
                <w:sz w:val="20"/>
                <w:szCs w:val="20"/>
                <w:lang w:val="en-GB"/>
              </w:rPr>
            </w:pPr>
            <w:r w:rsidRPr="00266036">
              <w:rPr>
                <w:sz w:val="20"/>
                <w:szCs w:val="20"/>
                <w:lang w:val="en-GB"/>
              </w:rPr>
              <w:t>85+ years</w:t>
            </w:r>
          </w:p>
        </w:tc>
        <w:tc>
          <w:tcPr>
            <w:tcW w:w="1732" w:type="dxa"/>
            <w:tcBorders>
              <w:top w:val="nil"/>
              <w:left w:val="nil"/>
              <w:bottom w:val="nil"/>
              <w:right w:val="nil"/>
            </w:tcBorders>
            <w:shd w:val="clear" w:color="auto" w:fill="auto"/>
            <w:noWrap/>
            <w:vAlign w:val="center"/>
            <w:hideMark/>
          </w:tcPr>
          <w:p w14:paraId="596B6C57" w14:textId="1EF4B3C5" w:rsidR="00250DD4" w:rsidRPr="00266036" w:rsidRDefault="00250DD4" w:rsidP="00203634">
            <w:pPr>
              <w:spacing w:after="0" w:line="240" w:lineRule="auto"/>
              <w:jc w:val="right"/>
              <w:rPr>
                <w:rFonts w:ascii="Calibri" w:eastAsia="Times New Roman" w:hAnsi="Calibri" w:cs="Calibri"/>
                <w:color w:val="000000"/>
                <w:sz w:val="20"/>
                <w:szCs w:val="20"/>
                <w:lang w:val="en-GB"/>
              </w:rPr>
            </w:pPr>
            <w:r w:rsidRPr="00237AA6">
              <w:rPr>
                <w:rFonts w:eastAsia="Times New Roman" w:cs="Calibri"/>
                <w:color w:val="000000"/>
                <w:sz w:val="20"/>
                <w:szCs w:val="20"/>
              </w:rPr>
              <w:t>3</w:t>
            </w:r>
            <w:r>
              <w:rPr>
                <w:rFonts w:eastAsia="Times New Roman" w:cs="Calibri"/>
                <w:color w:val="000000"/>
                <w:sz w:val="20"/>
                <w:szCs w:val="20"/>
              </w:rPr>
              <w:t>,</w:t>
            </w:r>
            <w:r w:rsidRPr="00237AA6">
              <w:rPr>
                <w:rFonts w:eastAsia="Times New Roman" w:cs="Calibri"/>
                <w:color w:val="000000"/>
                <w:sz w:val="20"/>
                <w:szCs w:val="20"/>
              </w:rPr>
              <w:t>949</w:t>
            </w:r>
            <w:r>
              <w:rPr>
                <w:rFonts w:eastAsia="Times New Roman" w:cs="Calibri"/>
                <w:color w:val="000000"/>
                <w:sz w:val="20"/>
                <w:szCs w:val="20"/>
              </w:rPr>
              <w:t>,</w:t>
            </w:r>
            <w:r w:rsidRPr="00237AA6">
              <w:rPr>
                <w:rFonts w:eastAsia="Times New Roman" w:cs="Calibri"/>
                <w:color w:val="000000"/>
                <w:sz w:val="20"/>
                <w:szCs w:val="20"/>
              </w:rPr>
              <w:t>253</w:t>
            </w:r>
            <w:r w:rsidRPr="00237AA6" w:rsidDel="00237AA6">
              <w:rPr>
                <w:rFonts w:eastAsia="Times New Roman" w:cs="Calibri"/>
                <w:color w:val="000000"/>
                <w:sz w:val="20"/>
                <w:szCs w:val="20"/>
              </w:rPr>
              <w:t xml:space="preserve"> </w:t>
            </w:r>
            <w:r w:rsidRPr="00E73F71">
              <w:rPr>
                <w:rFonts w:eastAsia="Times New Roman" w:cs="Calibri"/>
                <w:color w:val="000000"/>
                <w:sz w:val="20"/>
                <w:szCs w:val="20"/>
              </w:rPr>
              <w:t>(6</w:t>
            </w:r>
            <w:r w:rsidR="00795537">
              <w:rPr>
                <w:rFonts w:eastAsia="Times New Roman" w:cs="Calibri"/>
                <w:color w:val="000000"/>
                <w:sz w:val="20"/>
                <w:szCs w:val="20"/>
              </w:rPr>
              <w:t>·</w:t>
            </w:r>
            <w:r w:rsidRPr="00E73F71">
              <w:rPr>
                <w:rFonts w:eastAsia="Times New Roman" w:cs="Calibri"/>
                <w:color w:val="000000"/>
                <w:sz w:val="20"/>
                <w:szCs w:val="20"/>
              </w:rPr>
              <w:t>3)</w:t>
            </w:r>
          </w:p>
        </w:tc>
      </w:tr>
      <w:tr w:rsidR="00250DD4" w:rsidRPr="00266036" w14:paraId="57F86C13" w14:textId="55A093B7" w:rsidTr="00CE4566">
        <w:trPr>
          <w:trHeight w:val="262"/>
        </w:trPr>
        <w:tc>
          <w:tcPr>
            <w:tcW w:w="2970" w:type="dxa"/>
            <w:vMerge w:val="restart"/>
            <w:tcBorders>
              <w:top w:val="nil"/>
              <w:left w:val="nil"/>
              <w:right w:val="single" w:sz="4" w:space="0" w:color="auto"/>
            </w:tcBorders>
          </w:tcPr>
          <w:p w14:paraId="66396854" w14:textId="77777777" w:rsidR="00250DD4" w:rsidRPr="00266036" w:rsidRDefault="00250DD4" w:rsidP="00203634">
            <w:pPr>
              <w:spacing w:after="0" w:line="240" w:lineRule="auto"/>
              <w:rPr>
                <w:rFonts w:ascii="Calibri" w:eastAsia="Times New Roman" w:hAnsi="Calibri" w:cs="Calibri"/>
                <w:b/>
                <w:bCs/>
                <w:color w:val="000000"/>
                <w:sz w:val="20"/>
                <w:szCs w:val="20"/>
                <w:lang w:val="en-GB"/>
              </w:rPr>
            </w:pPr>
            <w:r w:rsidRPr="00266036">
              <w:rPr>
                <w:rFonts w:ascii="Calibri" w:eastAsia="Times New Roman" w:hAnsi="Calibri" w:cs="Calibri"/>
                <w:b/>
                <w:bCs/>
                <w:color w:val="000000"/>
                <w:sz w:val="20"/>
                <w:szCs w:val="20"/>
                <w:lang w:val="en-GB"/>
              </w:rPr>
              <w:t>Race</w:t>
            </w:r>
          </w:p>
        </w:tc>
        <w:tc>
          <w:tcPr>
            <w:tcW w:w="4950" w:type="dxa"/>
            <w:tcBorders>
              <w:top w:val="nil"/>
              <w:left w:val="single" w:sz="4" w:space="0" w:color="auto"/>
              <w:bottom w:val="nil"/>
              <w:right w:val="nil"/>
            </w:tcBorders>
            <w:shd w:val="clear" w:color="auto" w:fill="auto"/>
            <w:noWrap/>
            <w:vAlign w:val="center"/>
            <w:hideMark/>
          </w:tcPr>
          <w:p w14:paraId="43645CD8" w14:textId="77777777" w:rsidR="00250DD4" w:rsidRPr="00266036" w:rsidRDefault="00250DD4" w:rsidP="00203634">
            <w:pPr>
              <w:pStyle w:val="NoSpacing"/>
              <w:rPr>
                <w:sz w:val="20"/>
                <w:szCs w:val="20"/>
                <w:lang w:val="en-GB"/>
              </w:rPr>
            </w:pPr>
            <w:r w:rsidRPr="00266036">
              <w:rPr>
                <w:sz w:val="20"/>
                <w:szCs w:val="20"/>
                <w:lang w:val="en-GB"/>
              </w:rPr>
              <w:t>White</w:t>
            </w:r>
          </w:p>
        </w:tc>
        <w:tc>
          <w:tcPr>
            <w:tcW w:w="1732" w:type="dxa"/>
            <w:tcBorders>
              <w:top w:val="nil"/>
              <w:left w:val="nil"/>
              <w:bottom w:val="nil"/>
              <w:right w:val="nil"/>
            </w:tcBorders>
            <w:shd w:val="clear" w:color="auto" w:fill="auto"/>
            <w:noWrap/>
            <w:vAlign w:val="center"/>
            <w:hideMark/>
          </w:tcPr>
          <w:p w14:paraId="7C4AADBF" w14:textId="429B46BA" w:rsidR="00250DD4" w:rsidRPr="00266036" w:rsidRDefault="00250DD4" w:rsidP="00203634">
            <w:pPr>
              <w:spacing w:after="0" w:line="240" w:lineRule="auto"/>
              <w:jc w:val="right"/>
              <w:rPr>
                <w:rFonts w:ascii="Calibri" w:eastAsia="Times New Roman" w:hAnsi="Calibri" w:cs="Calibri"/>
                <w:color w:val="000000"/>
                <w:sz w:val="20"/>
                <w:szCs w:val="20"/>
                <w:lang w:val="en-GB"/>
              </w:rPr>
            </w:pPr>
            <w:r w:rsidRPr="00A33116">
              <w:rPr>
                <w:rFonts w:eastAsia="Times New Roman" w:cs="Calibri"/>
                <w:color w:val="000000"/>
                <w:sz w:val="20"/>
                <w:szCs w:val="20"/>
              </w:rPr>
              <w:t>53</w:t>
            </w:r>
            <w:r>
              <w:rPr>
                <w:rFonts w:eastAsia="Times New Roman" w:cs="Calibri"/>
                <w:color w:val="000000"/>
                <w:sz w:val="20"/>
                <w:szCs w:val="20"/>
              </w:rPr>
              <w:t>,</w:t>
            </w:r>
            <w:r w:rsidRPr="00A33116">
              <w:rPr>
                <w:rFonts w:eastAsia="Times New Roman" w:cs="Calibri"/>
                <w:color w:val="000000"/>
                <w:sz w:val="20"/>
                <w:szCs w:val="20"/>
              </w:rPr>
              <w:t>262</w:t>
            </w:r>
            <w:r>
              <w:rPr>
                <w:rFonts w:eastAsia="Times New Roman" w:cs="Calibri"/>
                <w:color w:val="000000"/>
                <w:sz w:val="20"/>
                <w:szCs w:val="20"/>
              </w:rPr>
              <w:t>,</w:t>
            </w:r>
            <w:r w:rsidRPr="00A33116">
              <w:rPr>
                <w:rFonts w:eastAsia="Times New Roman" w:cs="Calibri"/>
                <w:color w:val="000000"/>
                <w:sz w:val="20"/>
                <w:szCs w:val="20"/>
              </w:rPr>
              <w:t>938</w:t>
            </w:r>
            <w:r w:rsidRPr="00A33116" w:rsidDel="00A33116">
              <w:rPr>
                <w:rFonts w:eastAsia="Times New Roman" w:cs="Calibri"/>
                <w:color w:val="000000"/>
                <w:sz w:val="20"/>
                <w:szCs w:val="20"/>
              </w:rPr>
              <w:t xml:space="preserve"> </w:t>
            </w:r>
            <w:r w:rsidRPr="00E73F71">
              <w:rPr>
                <w:rFonts w:eastAsia="Times New Roman" w:cs="Calibri"/>
                <w:color w:val="000000"/>
                <w:sz w:val="20"/>
                <w:szCs w:val="20"/>
              </w:rPr>
              <w:t>(84</w:t>
            </w:r>
            <w:r w:rsidR="00795537">
              <w:rPr>
                <w:rFonts w:eastAsia="Times New Roman" w:cs="Calibri"/>
                <w:color w:val="000000"/>
                <w:sz w:val="20"/>
                <w:szCs w:val="20"/>
              </w:rPr>
              <w:t>·</w:t>
            </w:r>
            <w:r w:rsidRPr="00E73F71">
              <w:rPr>
                <w:rFonts w:eastAsia="Times New Roman" w:cs="Calibri"/>
                <w:color w:val="000000"/>
                <w:sz w:val="20"/>
                <w:szCs w:val="20"/>
              </w:rPr>
              <w:t>5)</w:t>
            </w:r>
          </w:p>
        </w:tc>
      </w:tr>
      <w:tr w:rsidR="00250DD4" w:rsidRPr="00266036" w14:paraId="1E2CC419" w14:textId="6BFA6372" w:rsidTr="00CE4566">
        <w:trPr>
          <w:trHeight w:val="262"/>
        </w:trPr>
        <w:tc>
          <w:tcPr>
            <w:tcW w:w="2970" w:type="dxa"/>
            <w:vMerge/>
            <w:tcBorders>
              <w:left w:val="nil"/>
              <w:right w:val="single" w:sz="4" w:space="0" w:color="auto"/>
            </w:tcBorders>
          </w:tcPr>
          <w:p w14:paraId="7057001F" w14:textId="77777777" w:rsidR="00250DD4" w:rsidRPr="00266036" w:rsidRDefault="00250DD4" w:rsidP="00203634">
            <w:pPr>
              <w:spacing w:after="0" w:line="240" w:lineRule="auto"/>
              <w:rPr>
                <w:rFonts w:ascii="Calibri" w:eastAsia="Times New Roman" w:hAnsi="Calibri" w:cs="Calibri"/>
                <w:b/>
                <w:bCs/>
                <w:color w:val="000000"/>
                <w:sz w:val="20"/>
                <w:szCs w:val="20"/>
                <w:lang w:val="en-GB"/>
              </w:rPr>
            </w:pPr>
          </w:p>
        </w:tc>
        <w:tc>
          <w:tcPr>
            <w:tcW w:w="4950" w:type="dxa"/>
            <w:tcBorders>
              <w:top w:val="nil"/>
              <w:left w:val="single" w:sz="4" w:space="0" w:color="auto"/>
              <w:bottom w:val="nil"/>
              <w:right w:val="nil"/>
            </w:tcBorders>
            <w:shd w:val="clear" w:color="auto" w:fill="auto"/>
            <w:noWrap/>
            <w:vAlign w:val="center"/>
            <w:hideMark/>
          </w:tcPr>
          <w:p w14:paraId="54ACA2B1" w14:textId="77777777" w:rsidR="00250DD4" w:rsidRPr="00266036" w:rsidRDefault="00250DD4" w:rsidP="00203634">
            <w:pPr>
              <w:pStyle w:val="NoSpacing"/>
              <w:rPr>
                <w:sz w:val="20"/>
                <w:szCs w:val="20"/>
                <w:lang w:val="en-GB"/>
              </w:rPr>
            </w:pPr>
            <w:r w:rsidRPr="00266036">
              <w:rPr>
                <w:sz w:val="20"/>
                <w:szCs w:val="20"/>
                <w:lang w:val="en-GB"/>
              </w:rPr>
              <w:t>Black</w:t>
            </w:r>
          </w:p>
        </w:tc>
        <w:tc>
          <w:tcPr>
            <w:tcW w:w="1732" w:type="dxa"/>
            <w:tcBorders>
              <w:top w:val="nil"/>
              <w:left w:val="nil"/>
              <w:bottom w:val="nil"/>
              <w:right w:val="nil"/>
            </w:tcBorders>
            <w:shd w:val="clear" w:color="auto" w:fill="auto"/>
            <w:noWrap/>
            <w:vAlign w:val="center"/>
            <w:hideMark/>
          </w:tcPr>
          <w:p w14:paraId="7DEA3CD5" w14:textId="2C7A1E61" w:rsidR="00250DD4" w:rsidRPr="00266036" w:rsidRDefault="00250DD4" w:rsidP="00203634">
            <w:pPr>
              <w:spacing w:after="0" w:line="240" w:lineRule="auto"/>
              <w:jc w:val="right"/>
              <w:rPr>
                <w:rFonts w:ascii="Calibri" w:eastAsia="Times New Roman" w:hAnsi="Calibri" w:cs="Calibri"/>
                <w:color w:val="000000"/>
                <w:sz w:val="20"/>
                <w:szCs w:val="20"/>
                <w:lang w:val="en-GB"/>
              </w:rPr>
            </w:pPr>
            <w:r w:rsidRPr="00A33116">
              <w:rPr>
                <w:rFonts w:eastAsia="Times New Roman" w:cs="Calibri"/>
                <w:color w:val="000000"/>
                <w:sz w:val="20"/>
                <w:szCs w:val="20"/>
              </w:rPr>
              <w:t>5</w:t>
            </w:r>
            <w:r>
              <w:rPr>
                <w:rFonts w:eastAsia="Times New Roman" w:cs="Calibri"/>
                <w:color w:val="000000"/>
                <w:sz w:val="20"/>
                <w:szCs w:val="20"/>
              </w:rPr>
              <w:t>,</w:t>
            </w:r>
            <w:r w:rsidRPr="00A33116">
              <w:rPr>
                <w:rFonts w:eastAsia="Times New Roman" w:cs="Calibri"/>
                <w:color w:val="000000"/>
                <w:sz w:val="20"/>
                <w:szCs w:val="20"/>
              </w:rPr>
              <w:t>511</w:t>
            </w:r>
            <w:r>
              <w:rPr>
                <w:rFonts w:eastAsia="Times New Roman" w:cs="Calibri"/>
                <w:color w:val="000000"/>
                <w:sz w:val="20"/>
                <w:szCs w:val="20"/>
              </w:rPr>
              <w:t>,</w:t>
            </w:r>
            <w:r w:rsidRPr="00A33116">
              <w:rPr>
                <w:rFonts w:eastAsia="Times New Roman" w:cs="Calibri"/>
                <w:color w:val="000000"/>
                <w:sz w:val="20"/>
                <w:szCs w:val="20"/>
              </w:rPr>
              <w:t>612</w:t>
            </w:r>
            <w:r w:rsidRPr="00E73F71">
              <w:rPr>
                <w:rFonts w:eastAsia="Times New Roman" w:cs="Calibri"/>
                <w:color w:val="000000"/>
                <w:sz w:val="20"/>
                <w:szCs w:val="20"/>
              </w:rPr>
              <w:t xml:space="preserve"> (8</w:t>
            </w:r>
            <w:r w:rsidR="00795537">
              <w:rPr>
                <w:rFonts w:eastAsia="Times New Roman" w:cs="Calibri"/>
                <w:color w:val="000000"/>
                <w:sz w:val="20"/>
                <w:szCs w:val="20"/>
              </w:rPr>
              <w:t>·</w:t>
            </w:r>
            <w:r w:rsidRPr="00E73F71">
              <w:rPr>
                <w:rFonts w:eastAsia="Times New Roman" w:cs="Calibri"/>
                <w:color w:val="000000"/>
                <w:sz w:val="20"/>
                <w:szCs w:val="20"/>
              </w:rPr>
              <w:t>7)</w:t>
            </w:r>
          </w:p>
        </w:tc>
      </w:tr>
      <w:tr w:rsidR="00250DD4" w:rsidRPr="00266036" w14:paraId="4F58415F" w14:textId="67B46B0C" w:rsidTr="00CE4566">
        <w:trPr>
          <w:trHeight w:val="262"/>
        </w:trPr>
        <w:tc>
          <w:tcPr>
            <w:tcW w:w="2970" w:type="dxa"/>
            <w:vMerge/>
            <w:tcBorders>
              <w:left w:val="nil"/>
              <w:right w:val="single" w:sz="4" w:space="0" w:color="auto"/>
            </w:tcBorders>
          </w:tcPr>
          <w:p w14:paraId="366BAB5B" w14:textId="77777777" w:rsidR="00250DD4" w:rsidRPr="00266036" w:rsidRDefault="00250DD4" w:rsidP="00203634">
            <w:pPr>
              <w:spacing w:after="0" w:line="240" w:lineRule="auto"/>
              <w:rPr>
                <w:rFonts w:ascii="Calibri" w:eastAsia="Times New Roman" w:hAnsi="Calibri" w:cs="Calibri"/>
                <w:b/>
                <w:bCs/>
                <w:color w:val="000000"/>
                <w:sz w:val="20"/>
                <w:szCs w:val="20"/>
                <w:lang w:val="en-GB"/>
              </w:rPr>
            </w:pPr>
          </w:p>
        </w:tc>
        <w:tc>
          <w:tcPr>
            <w:tcW w:w="4950" w:type="dxa"/>
            <w:tcBorders>
              <w:top w:val="nil"/>
              <w:left w:val="single" w:sz="4" w:space="0" w:color="auto"/>
              <w:right w:val="nil"/>
            </w:tcBorders>
            <w:shd w:val="clear" w:color="auto" w:fill="auto"/>
            <w:noWrap/>
            <w:vAlign w:val="center"/>
            <w:hideMark/>
          </w:tcPr>
          <w:p w14:paraId="5B998558" w14:textId="77777777" w:rsidR="00250DD4" w:rsidRPr="00266036" w:rsidRDefault="00250DD4" w:rsidP="00203634">
            <w:pPr>
              <w:pStyle w:val="NoSpacing"/>
              <w:rPr>
                <w:sz w:val="20"/>
                <w:szCs w:val="20"/>
                <w:lang w:val="en-GB"/>
              </w:rPr>
            </w:pPr>
            <w:r w:rsidRPr="00266036">
              <w:rPr>
                <w:sz w:val="20"/>
                <w:szCs w:val="20"/>
                <w:lang w:val="en-GB"/>
              </w:rPr>
              <w:t>Other/unknown</w:t>
            </w:r>
          </w:p>
        </w:tc>
        <w:tc>
          <w:tcPr>
            <w:tcW w:w="1732" w:type="dxa"/>
            <w:tcBorders>
              <w:top w:val="nil"/>
              <w:left w:val="nil"/>
              <w:right w:val="nil"/>
            </w:tcBorders>
            <w:shd w:val="clear" w:color="auto" w:fill="auto"/>
            <w:noWrap/>
            <w:vAlign w:val="center"/>
            <w:hideMark/>
          </w:tcPr>
          <w:p w14:paraId="2B9D5F28" w14:textId="787A8FEE" w:rsidR="00250DD4" w:rsidRPr="00266036" w:rsidRDefault="00250DD4" w:rsidP="00203634">
            <w:pPr>
              <w:spacing w:after="0" w:line="240" w:lineRule="auto"/>
              <w:jc w:val="right"/>
              <w:rPr>
                <w:rFonts w:ascii="Calibri" w:eastAsia="Times New Roman" w:hAnsi="Calibri" w:cs="Calibri"/>
                <w:color w:val="000000"/>
                <w:sz w:val="20"/>
                <w:szCs w:val="20"/>
                <w:lang w:val="en-GB"/>
              </w:rPr>
            </w:pPr>
            <w:r w:rsidRPr="00A33116">
              <w:rPr>
                <w:rFonts w:eastAsia="Times New Roman" w:cs="Calibri"/>
                <w:color w:val="000000"/>
                <w:sz w:val="20"/>
                <w:szCs w:val="20"/>
              </w:rPr>
              <w:t>4</w:t>
            </w:r>
            <w:r>
              <w:rPr>
                <w:rFonts w:eastAsia="Times New Roman" w:cs="Calibri"/>
                <w:color w:val="000000"/>
                <w:sz w:val="20"/>
                <w:szCs w:val="20"/>
              </w:rPr>
              <w:t>,</w:t>
            </w:r>
            <w:r w:rsidRPr="00A33116">
              <w:rPr>
                <w:rFonts w:eastAsia="Times New Roman" w:cs="Calibri"/>
                <w:color w:val="000000"/>
                <w:sz w:val="20"/>
                <w:szCs w:val="20"/>
              </w:rPr>
              <w:t>234</w:t>
            </w:r>
            <w:r>
              <w:rPr>
                <w:rFonts w:eastAsia="Times New Roman" w:cs="Calibri"/>
                <w:color w:val="000000"/>
                <w:sz w:val="20"/>
                <w:szCs w:val="20"/>
              </w:rPr>
              <w:t>,</w:t>
            </w:r>
            <w:r w:rsidRPr="00A33116">
              <w:rPr>
                <w:rFonts w:eastAsia="Times New Roman" w:cs="Calibri"/>
                <w:color w:val="000000"/>
                <w:sz w:val="20"/>
                <w:szCs w:val="20"/>
              </w:rPr>
              <w:t>623</w:t>
            </w:r>
            <w:r w:rsidRPr="00A33116" w:rsidDel="00A33116">
              <w:rPr>
                <w:rFonts w:eastAsia="Times New Roman" w:cs="Calibri"/>
                <w:color w:val="000000"/>
                <w:sz w:val="20"/>
                <w:szCs w:val="20"/>
              </w:rPr>
              <w:t xml:space="preserve"> </w:t>
            </w:r>
            <w:r w:rsidRPr="00E73F71">
              <w:rPr>
                <w:rFonts w:eastAsia="Times New Roman" w:cs="Calibri"/>
                <w:color w:val="000000"/>
                <w:sz w:val="20"/>
                <w:szCs w:val="20"/>
              </w:rPr>
              <w:t>(6</w:t>
            </w:r>
            <w:r w:rsidR="00795537">
              <w:rPr>
                <w:rFonts w:eastAsia="Times New Roman" w:cs="Calibri"/>
                <w:color w:val="000000"/>
                <w:sz w:val="20"/>
                <w:szCs w:val="20"/>
              </w:rPr>
              <w:t>·</w:t>
            </w:r>
            <w:r w:rsidRPr="00E73F71">
              <w:rPr>
                <w:rFonts w:eastAsia="Times New Roman" w:cs="Calibri"/>
                <w:color w:val="000000"/>
                <w:sz w:val="20"/>
                <w:szCs w:val="20"/>
              </w:rPr>
              <w:t>7)</w:t>
            </w:r>
          </w:p>
        </w:tc>
      </w:tr>
      <w:tr w:rsidR="00250DD4" w:rsidRPr="00266036" w14:paraId="7B963349" w14:textId="158B8F55" w:rsidTr="00CE4566">
        <w:trPr>
          <w:trHeight w:val="262"/>
        </w:trPr>
        <w:tc>
          <w:tcPr>
            <w:tcW w:w="2970" w:type="dxa"/>
            <w:vMerge w:val="restart"/>
            <w:tcBorders>
              <w:top w:val="nil"/>
              <w:left w:val="nil"/>
              <w:right w:val="single" w:sz="4" w:space="0" w:color="auto"/>
            </w:tcBorders>
          </w:tcPr>
          <w:p w14:paraId="07D0AA10" w14:textId="77777777" w:rsidR="00250DD4" w:rsidRPr="00266036" w:rsidRDefault="00250DD4" w:rsidP="00203634">
            <w:pPr>
              <w:spacing w:after="0" w:line="240" w:lineRule="auto"/>
              <w:rPr>
                <w:rFonts w:ascii="Calibri" w:eastAsia="Times New Roman" w:hAnsi="Calibri" w:cs="Calibri"/>
                <w:b/>
                <w:bCs/>
                <w:color w:val="000000"/>
                <w:sz w:val="20"/>
                <w:szCs w:val="20"/>
                <w:lang w:val="en-GB"/>
              </w:rPr>
            </w:pPr>
            <w:r w:rsidRPr="00266036">
              <w:rPr>
                <w:rFonts w:ascii="Calibri" w:eastAsia="Times New Roman" w:hAnsi="Calibri" w:cs="Calibri"/>
                <w:b/>
                <w:bCs/>
                <w:color w:val="000000"/>
                <w:sz w:val="20"/>
                <w:szCs w:val="20"/>
                <w:lang w:val="en-GB"/>
              </w:rPr>
              <w:t>Medicaid eligibility</w:t>
            </w:r>
          </w:p>
        </w:tc>
        <w:tc>
          <w:tcPr>
            <w:tcW w:w="4950" w:type="dxa"/>
            <w:tcBorders>
              <w:top w:val="nil"/>
              <w:left w:val="single" w:sz="4" w:space="0" w:color="auto"/>
              <w:bottom w:val="nil"/>
              <w:right w:val="nil"/>
            </w:tcBorders>
            <w:shd w:val="clear" w:color="auto" w:fill="auto"/>
            <w:noWrap/>
            <w:vAlign w:val="center"/>
            <w:hideMark/>
          </w:tcPr>
          <w:p w14:paraId="6B18E567" w14:textId="77777777" w:rsidR="00250DD4" w:rsidRPr="00266036" w:rsidRDefault="00250DD4" w:rsidP="00203634">
            <w:pPr>
              <w:pStyle w:val="NoSpacing"/>
              <w:rPr>
                <w:sz w:val="20"/>
                <w:szCs w:val="20"/>
                <w:lang w:val="en-GB"/>
              </w:rPr>
            </w:pPr>
            <w:r w:rsidRPr="00266036">
              <w:rPr>
                <w:sz w:val="20"/>
                <w:szCs w:val="20"/>
                <w:lang w:val="en-GB"/>
              </w:rPr>
              <w:t xml:space="preserve">Not eligible </w:t>
            </w:r>
          </w:p>
        </w:tc>
        <w:tc>
          <w:tcPr>
            <w:tcW w:w="1732" w:type="dxa"/>
            <w:tcBorders>
              <w:top w:val="nil"/>
              <w:left w:val="nil"/>
              <w:bottom w:val="nil"/>
              <w:right w:val="nil"/>
            </w:tcBorders>
            <w:shd w:val="clear" w:color="auto" w:fill="auto"/>
            <w:noWrap/>
            <w:vAlign w:val="center"/>
            <w:hideMark/>
          </w:tcPr>
          <w:p w14:paraId="35258619" w14:textId="7773503B" w:rsidR="00250DD4" w:rsidRPr="00266036" w:rsidRDefault="00250DD4" w:rsidP="00203634">
            <w:pPr>
              <w:spacing w:after="0" w:line="240" w:lineRule="auto"/>
              <w:jc w:val="right"/>
              <w:rPr>
                <w:rFonts w:ascii="Calibri" w:eastAsia="Times New Roman" w:hAnsi="Calibri" w:cs="Calibri"/>
                <w:color w:val="000000"/>
                <w:sz w:val="20"/>
                <w:szCs w:val="20"/>
                <w:lang w:val="en-GB"/>
              </w:rPr>
            </w:pPr>
            <w:r w:rsidRPr="00A33116">
              <w:rPr>
                <w:rFonts w:eastAsia="Times New Roman" w:cs="Calibri"/>
                <w:color w:val="000000"/>
                <w:sz w:val="20"/>
                <w:szCs w:val="20"/>
              </w:rPr>
              <w:t>55</w:t>
            </w:r>
            <w:r>
              <w:rPr>
                <w:rFonts w:eastAsia="Times New Roman" w:cs="Calibri"/>
                <w:color w:val="000000"/>
                <w:sz w:val="20"/>
                <w:szCs w:val="20"/>
              </w:rPr>
              <w:t>,</w:t>
            </w:r>
            <w:r w:rsidRPr="00A33116">
              <w:rPr>
                <w:rFonts w:eastAsia="Times New Roman" w:cs="Calibri"/>
                <w:color w:val="000000"/>
                <w:sz w:val="20"/>
                <w:szCs w:val="20"/>
              </w:rPr>
              <w:t>164</w:t>
            </w:r>
            <w:r>
              <w:rPr>
                <w:rFonts w:eastAsia="Times New Roman" w:cs="Calibri"/>
                <w:color w:val="000000"/>
                <w:sz w:val="20"/>
                <w:szCs w:val="20"/>
              </w:rPr>
              <w:t>,</w:t>
            </w:r>
            <w:r w:rsidRPr="00A33116">
              <w:rPr>
                <w:rFonts w:eastAsia="Times New Roman" w:cs="Calibri"/>
                <w:color w:val="000000"/>
                <w:sz w:val="20"/>
                <w:szCs w:val="20"/>
              </w:rPr>
              <w:t>043</w:t>
            </w:r>
            <w:r w:rsidRPr="00A33116" w:rsidDel="00A33116">
              <w:rPr>
                <w:rFonts w:eastAsia="Times New Roman" w:cs="Calibri"/>
                <w:color w:val="000000"/>
                <w:sz w:val="20"/>
                <w:szCs w:val="20"/>
              </w:rPr>
              <w:t xml:space="preserve"> </w:t>
            </w:r>
            <w:r w:rsidRPr="00E73F71">
              <w:rPr>
                <w:rFonts w:eastAsia="Times New Roman" w:cs="Calibri"/>
                <w:color w:val="000000"/>
                <w:sz w:val="20"/>
                <w:szCs w:val="20"/>
              </w:rPr>
              <w:t>(87</w:t>
            </w:r>
            <w:r w:rsidR="00795537">
              <w:rPr>
                <w:rFonts w:eastAsia="Times New Roman" w:cs="Calibri"/>
                <w:color w:val="000000"/>
                <w:sz w:val="20"/>
                <w:szCs w:val="20"/>
              </w:rPr>
              <w:t>·</w:t>
            </w:r>
            <w:r>
              <w:rPr>
                <w:rFonts w:eastAsia="Times New Roman" w:cs="Calibri"/>
                <w:color w:val="000000"/>
                <w:sz w:val="20"/>
                <w:szCs w:val="20"/>
              </w:rPr>
              <w:t>5</w:t>
            </w:r>
            <w:r w:rsidRPr="00E73F71">
              <w:rPr>
                <w:rFonts w:eastAsia="Times New Roman" w:cs="Calibri"/>
                <w:color w:val="000000"/>
                <w:sz w:val="20"/>
                <w:szCs w:val="20"/>
              </w:rPr>
              <w:t>)</w:t>
            </w:r>
          </w:p>
        </w:tc>
      </w:tr>
      <w:tr w:rsidR="00250DD4" w:rsidRPr="00266036" w14:paraId="2770BED8" w14:textId="61770531" w:rsidTr="00963CCE">
        <w:trPr>
          <w:trHeight w:val="262"/>
        </w:trPr>
        <w:tc>
          <w:tcPr>
            <w:tcW w:w="2970" w:type="dxa"/>
            <w:vMerge/>
            <w:tcBorders>
              <w:left w:val="nil"/>
              <w:right w:val="single" w:sz="4" w:space="0" w:color="auto"/>
            </w:tcBorders>
          </w:tcPr>
          <w:p w14:paraId="4C3A7F4A" w14:textId="77777777" w:rsidR="00250DD4" w:rsidRPr="00266036" w:rsidRDefault="00250DD4" w:rsidP="00203634">
            <w:pPr>
              <w:spacing w:after="0" w:line="240" w:lineRule="auto"/>
              <w:rPr>
                <w:rFonts w:ascii="Calibri" w:eastAsia="Times New Roman" w:hAnsi="Calibri" w:cs="Calibri"/>
                <w:b/>
                <w:bCs/>
                <w:color w:val="000000"/>
                <w:sz w:val="20"/>
                <w:szCs w:val="20"/>
                <w:lang w:val="en-GB"/>
              </w:rPr>
            </w:pPr>
          </w:p>
        </w:tc>
        <w:tc>
          <w:tcPr>
            <w:tcW w:w="4950" w:type="dxa"/>
            <w:tcBorders>
              <w:top w:val="nil"/>
              <w:left w:val="single" w:sz="4" w:space="0" w:color="auto"/>
              <w:right w:val="nil"/>
            </w:tcBorders>
            <w:shd w:val="clear" w:color="auto" w:fill="auto"/>
            <w:noWrap/>
            <w:vAlign w:val="center"/>
            <w:hideMark/>
          </w:tcPr>
          <w:p w14:paraId="7B3218D0" w14:textId="77777777" w:rsidR="00250DD4" w:rsidRPr="00266036" w:rsidRDefault="00250DD4" w:rsidP="00203634">
            <w:pPr>
              <w:pStyle w:val="NoSpacing"/>
              <w:rPr>
                <w:sz w:val="20"/>
                <w:szCs w:val="20"/>
                <w:lang w:val="en-GB"/>
              </w:rPr>
            </w:pPr>
            <w:r w:rsidRPr="00266036">
              <w:rPr>
                <w:sz w:val="20"/>
                <w:szCs w:val="20"/>
                <w:lang w:val="en-GB"/>
              </w:rPr>
              <w:t>Eligible</w:t>
            </w:r>
          </w:p>
        </w:tc>
        <w:tc>
          <w:tcPr>
            <w:tcW w:w="1732" w:type="dxa"/>
            <w:tcBorders>
              <w:top w:val="nil"/>
              <w:left w:val="nil"/>
              <w:right w:val="nil"/>
            </w:tcBorders>
            <w:shd w:val="clear" w:color="auto" w:fill="auto"/>
            <w:noWrap/>
            <w:vAlign w:val="center"/>
            <w:hideMark/>
          </w:tcPr>
          <w:p w14:paraId="4BEEE916" w14:textId="4C13C47A" w:rsidR="00250DD4" w:rsidRPr="00266036" w:rsidRDefault="00250DD4" w:rsidP="00203634">
            <w:pPr>
              <w:spacing w:after="0" w:line="240" w:lineRule="auto"/>
              <w:jc w:val="right"/>
              <w:rPr>
                <w:rFonts w:ascii="Calibri" w:eastAsia="Times New Roman" w:hAnsi="Calibri" w:cs="Calibri"/>
                <w:color w:val="000000"/>
                <w:sz w:val="20"/>
                <w:szCs w:val="20"/>
                <w:lang w:val="en-GB"/>
              </w:rPr>
            </w:pPr>
            <w:r w:rsidRPr="00A33116">
              <w:rPr>
                <w:rFonts w:eastAsia="Times New Roman" w:cs="Calibri"/>
                <w:color w:val="000000"/>
                <w:sz w:val="20"/>
                <w:szCs w:val="20"/>
              </w:rPr>
              <w:t>7</w:t>
            </w:r>
            <w:r>
              <w:rPr>
                <w:rFonts w:eastAsia="Times New Roman" w:cs="Calibri"/>
                <w:color w:val="000000"/>
                <w:sz w:val="20"/>
                <w:szCs w:val="20"/>
              </w:rPr>
              <w:t>,</w:t>
            </w:r>
            <w:r w:rsidRPr="00A33116">
              <w:rPr>
                <w:rFonts w:eastAsia="Times New Roman" w:cs="Calibri"/>
                <w:color w:val="000000"/>
                <w:sz w:val="20"/>
                <w:szCs w:val="20"/>
              </w:rPr>
              <w:t>845</w:t>
            </w:r>
            <w:r>
              <w:rPr>
                <w:rFonts w:eastAsia="Times New Roman" w:cs="Calibri"/>
                <w:color w:val="000000"/>
                <w:sz w:val="20"/>
                <w:szCs w:val="20"/>
              </w:rPr>
              <w:t>,</w:t>
            </w:r>
            <w:r w:rsidRPr="00A33116">
              <w:rPr>
                <w:rFonts w:eastAsia="Times New Roman" w:cs="Calibri"/>
                <w:color w:val="000000"/>
                <w:sz w:val="20"/>
                <w:szCs w:val="20"/>
              </w:rPr>
              <w:t>130</w:t>
            </w:r>
            <w:r w:rsidRPr="00A33116" w:rsidDel="00A33116">
              <w:rPr>
                <w:rFonts w:eastAsia="Times New Roman" w:cs="Calibri"/>
                <w:color w:val="000000"/>
                <w:sz w:val="20"/>
                <w:szCs w:val="20"/>
              </w:rPr>
              <w:t xml:space="preserve"> </w:t>
            </w:r>
            <w:r w:rsidRPr="00E73F71">
              <w:rPr>
                <w:rFonts w:eastAsia="Times New Roman" w:cs="Calibri"/>
                <w:color w:val="000000"/>
                <w:sz w:val="20"/>
                <w:szCs w:val="20"/>
              </w:rPr>
              <w:t>(12</w:t>
            </w:r>
            <w:r w:rsidR="00795537">
              <w:rPr>
                <w:rFonts w:eastAsia="Times New Roman" w:cs="Calibri"/>
                <w:color w:val="000000"/>
                <w:sz w:val="20"/>
                <w:szCs w:val="20"/>
              </w:rPr>
              <w:t>·</w:t>
            </w:r>
            <w:r>
              <w:rPr>
                <w:rFonts w:eastAsia="Times New Roman" w:cs="Calibri"/>
                <w:color w:val="000000"/>
                <w:sz w:val="20"/>
                <w:szCs w:val="20"/>
              </w:rPr>
              <w:t>5</w:t>
            </w:r>
            <w:r w:rsidRPr="00E73F71">
              <w:rPr>
                <w:rFonts w:eastAsia="Times New Roman" w:cs="Calibri"/>
                <w:color w:val="000000"/>
                <w:sz w:val="20"/>
                <w:szCs w:val="20"/>
              </w:rPr>
              <w:t>)</w:t>
            </w:r>
          </w:p>
        </w:tc>
      </w:tr>
      <w:tr w:rsidR="00963CCE" w:rsidRPr="00266036" w14:paraId="0878AAEC" w14:textId="77777777" w:rsidTr="00963CCE">
        <w:trPr>
          <w:trHeight w:val="262"/>
        </w:trPr>
        <w:tc>
          <w:tcPr>
            <w:tcW w:w="2970" w:type="dxa"/>
            <w:tcBorders>
              <w:left w:val="nil"/>
              <w:right w:val="single" w:sz="4" w:space="0" w:color="auto"/>
            </w:tcBorders>
          </w:tcPr>
          <w:p w14:paraId="1732193A" w14:textId="16C22415" w:rsidR="00963CCE" w:rsidRPr="00266036" w:rsidRDefault="00963CCE" w:rsidP="00203634">
            <w:pPr>
              <w:spacing w:after="0" w:line="240" w:lineRule="auto"/>
              <w:rPr>
                <w:rFonts w:ascii="Calibri" w:eastAsia="Times New Roman" w:hAnsi="Calibri" w:cs="Calibri"/>
                <w:b/>
                <w:bCs/>
                <w:color w:val="000000"/>
                <w:sz w:val="20"/>
                <w:szCs w:val="20"/>
                <w:lang w:val="en-GB"/>
              </w:rPr>
            </w:pPr>
            <w:r>
              <w:rPr>
                <w:rFonts w:ascii="Calibri" w:eastAsia="Times New Roman" w:hAnsi="Calibri" w:cs="Calibri"/>
                <w:b/>
                <w:bCs/>
                <w:color w:val="000000"/>
                <w:sz w:val="20"/>
                <w:szCs w:val="20"/>
                <w:lang w:val="en-GB"/>
              </w:rPr>
              <w:t>Region</w:t>
            </w:r>
          </w:p>
        </w:tc>
        <w:tc>
          <w:tcPr>
            <w:tcW w:w="4950" w:type="dxa"/>
            <w:tcBorders>
              <w:left w:val="single" w:sz="4" w:space="0" w:color="auto"/>
              <w:right w:val="nil"/>
            </w:tcBorders>
            <w:shd w:val="clear" w:color="auto" w:fill="auto"/>
            <w:noWrap/>
            <w:vAlign w:val="center"/>
          </w:tcPr>
          <w:p w14:paraId="77FE7D24" w14:textId="54731554" w:rsidR="00963CCE" w:rsidRPr="00266036" w:rsidRDefault="00963CCE" w:rsidP="00203634">
            <w:pPr>
              <w:pStyle w:val="NoSpacing"/>
              <w:rPr>
                <w:sz w:val="20"/>
                <w:szCs w:val="20"/>
                <w:lang w:val="en-GB"/>
              </w:rPr>
            </w:pPr>
            <w:r>
              <w:rPr>
                <w:sz w:val="20"/>
                <w:szCs w:val="20"/>
                <w:lang w:val="en-GB"/>
              </w:rPr>
              <w:t>Northeast</w:t>
            </w:r>
          </w:p>
        </w:tc>
        <w:tc>
          <w:tcPr>
            <w:tcW w:w="1732" w:type="dxa"/>
            <w:tcBorders>
              <w:left w:val="nil"/>
              <w:right w:val="nil"/>
            </w:tcBorders>
            <w:shd w:val="clear" w:color="auto" w:fill="auto"/>
            <w:noWrap/>
            <w:vAlign w:val="center"/>
          </w:tcPr>
          <w:p w14:paraId="7913D253" w14:textId="221D6649" w:rsidR="00963CCE" w:rsidRPr="00A33116" w:rsidRDefault="00EB318C" w:rsidP="00203634">
            <w:pPr>
              <w:spacing w:after="0" w:line="240" w:lineRule="auto"/>
              <w:jc w:val="right"/>
              <w:rPr>
                <w:rFonts w:eastAsia="Times New Roman" w:cs="Calibri"/>
                <w:color w:val="000000"/>
                <w:sz w:val="20"/>
                <w:szCs w:val="20"/>
              </w:rPr>
            </w:pPr>
            <w:r>
              <w:rPr>
                <w:rFonts w:eastAsia="Times New Roman" w:cs="Calibri"/>
                <w:color w:val="000000"/>
                <w:sz w:val="20"/>
                <w:szCs w:val="20"/>
              </w:rPr>
              <w:t>12,374,875 (19</w:t>
            </w:r>
            <w:r w:rsidR="00795537">
              <w:rPr>
                <w:rFonts w:eastAsia="Times New Roman" w:cs="Calibri"/>
                <w:color w:val="000000"/>
                <w:sz w:val="20"/>
                <w:szCs w:val="20"/>
              </w:rPr>
              <w:t>·</w:t>
            </w:r>
            <w:r>
              <w:rPr>
                <w:rFonts w:eastAsia="Times New Roman" w:cs="Calibri"/>
                <w:color w:val="000000"/>
                <w:sz w:val="20"/>
                <w:szCs w:val="20"/>
              </w:rPr>
              <w:t>6)</w:t>
            </w:r>
          </w:p>
        </w:tc>
      </w:tr>
      <w:tr w:rsidR="00963CCE" w:rsidRPr="00266036" w14:paraId="4C9E122E" w14:textId="77777777" w:rsidTr="00963CCE">
        <w:trPr>
          <w:trHeight w:val="262"/>
        </w:trPr>
        <w:tc>
          <w:tcPr>
            <w:tcW w:w="2970" w:type="dxa"/>
            <w:tcBorders>
              <w:left w:val="nil"/>
              <w:right w:val="single" w:sz="4" w:space="0" w:color="auto"/>
            </w:tcBorders>
          </w:tcPr>
          <w:p w14:paraId="1841E173" w14:textId="77777777" w:rsidR="00963CCE" w:rsidRPr="00266036" w:rsidRDefault="00963CCE" w:rsidP="00203634">
            <w:pPr>
              <w:spacing w:after="0" w:line="240" w:lineRule="auto"/>
              <w:rPr>
                <w:rFonts w:ascii="Calibri" w:eastAsia="Times New Roman" w:hAnsi="Calibri" w:cs="Calibri"/>
                <w:b/>
                <w:bCs/>
                <w:color w:val="000000"/>
                <w:sz w:val="20"/>
                <w:szCs w:val="20"/>
                <w:lang w:val="en-GB"/>
              </w:rPr>
            </w:pPr>
          </w:p>
        </w:tc>
        <w:tc>
          <w:tcPr>
            <w:tcW w:w="4950" w:type="dxa"/>
            <w:tcBorders>
              <w:left w:val="single" w:sz="4" w:space="0" w:color="auto"/>
              <w:right w:val="nil"/>
            </w:tcBorders>
            <w:shd w:val="clear" w:color="auto" w:fill="auto"/>
            <w:noWrap/>
            <w:vAlign w:val="center"/>
          </w:tcPr>
          <w:p w14:paraId="3272B7B8" w14:textId="14FF2D76" w:rsidR="00963CCE" w:rsidRPr="00266036" w:rsidRDefault="00963CCE" w:rsidP="00EB318C">
            <w:pPr>
              <w:pStyle w:val="NoSpacing"/>
              <w:rPr>
                <w:sz w:val="20"/>
                <w:szCs w:val="20"/>
                <w:lang w:val="en-GB"/>
              </w:rPr>
            </w:pPr>
            <w:r>
              <w:rPr>
                <w:sz w:val="20"/>
                <w:szCs w:val="20"/>
                <w:lang w:val="en-GB"/>
              </w:rPr>
              <w:t>South</w:t>
            </w:r>
          </w:p>
        </w:tc>
        <w:tc>
          <w:tcPr>
            <w:tcW w:w="1732" w:type="dxa"/>
            <w:tcBorders>
              <w:left w:val="nil"/>
              <w:right w:val="nil"/>
            </w:tcBorders>
            <w:shd w:val="clear" w:color="auto" w:fill="auto"/>
            <w:noWrap/>
            <w:vAlign w:val="center"/>
          </w:tcPr>
          <w:p w14:paraId="75FED77F" w14:textId="106C06A0" w:rsidR="00963CCE" w:rsidRPr="00A33116" w:rsidRDefault="00EB318C" w:rsidP="00203634">
            <w:pPr>
              <w:spacing w:after="0" w:line="240" w:lineRule="auto"/>
              <w:jc w:val="right"/>
              <w:rPr>
                <w:rFonts w:eastAsia="Times New Roman" w:cs="Calibri"/>
                <w:color w:val="000000"/>
                <w:sz w:val="20"/>
                <w:szCs w:val="20"/>
              </w:rPr>
            </w:pPr>
            <w:r>
              <w:rPr>
                <w:rFonts w:eastAsia="Times New Roman" w:cs="Calibri"/>
                <w:color w:val="000000"/>
                <w:sz w:val="20"/>
                <w:szCs w:val="20"/>
              </w:rPr>
              <w:t>24,085,710 (38</w:t>
            </w:r>
            <w:r w:rsidR="00795537">
              <w:rPr>
                <w:rFonts w:eastAsia="Times New Roman" w:cs="Calibri"/>
                <w:color w:val="000000"/>
                <w:sz w:val="20"/>
                <w:szCs w:val="20"/>
              </w:rPr>
              <w:t>·</w:t>
            </w:r>
            <w:r>
              <w:rPr>
                <w:rFonts w:eastAsia="Times New Roman" w:cs="Calibri"/>
                <w:color w:val="000000"/>
                <w:sz w:val="20"/>
                <w:szCs w:val="20"/>
              </w:rPr>
              <w:t>2)</w:t>
            </w:r>
          </w:p>
        </w:tc>
      </w:tr>
      <w:tr w:rsidR="00963CCE" w:rsidRPr="00266036" w14:paraId="5B74BD76" w14:textId="77777777" w:rsidTr="00963CCE">
        <w:trPr>
          <w:trHeight w:val="262"/>
        </w:trPr>
        <w:tc>
          <w:tcPr>
            <w:tcW w:w="2970" w:type="dxa"/>
            <w:tcBorders>
              <w:left w:val="nil"/>
              <w:right w:val="single" w:sz="4" w:space="0" w:color="auto"/>
            </w:tcBorders>
          </w:tcPr>
          <w:p w14:paraId="24BF22A2" w14:textId="77777777" w:rsidR="00963CCE" w:rsidRPr="00266036" w:rsidRDefault="00963CCE" w:rsidP="00203634">
            <w:pPr>
              <w:spacing w:after="0" w:line="240" w:lineRule="auto"/>
              <w:rPr>
                <w:rFonts w:ascii="Calibri" w:eastAsia="Times New Roman" w:hAnsi="Calibri" w:cs="Calibri"/>
                <w:b/>
                <w:bCs/>
                <w:color w:val="000000"/>
                <w:sz w:val="20"/>
                <w:szCs w:val="20"/>
                <w:lang w:val="en-GB"/>
              </w:rPr>
            </w:pPr>
          </w:p>
        </w:tc>
        <w:tc>
          <w:tcPr>
            <w:tcW w:w="4950" w:type="dxa"/>
            <w:tcBorders>
              <w:left w:val="single" w:sz="4" w:space="0" w:color="auto"/>
              <w:right w:val="nil"/>
            </w:tcBorders>
            <w:shd w:val="clear" w:color="auto" w:fill="auto"/>
            <w:noWrap/>
            <w:vAlign w:val="center"/>
          </w:tcPr>
          <w:p w14:paraId="53A065B6" w14:textId="30592ECC" w:rsidR="00963CCE" w:rsidRPr="00266036" w:rsidRDefault="00963CCE" w:rsidP="00203634">
            <w:pPr>
              <w:pStyle w:val="NoSpacing"/>
              <w:rPr>
                <w:sz w:val="20"/>
                <w:szCs w:val="20"/>
                <w:lang w:val="en-GB"/>
              </w:rPr>
            </w:pPr>
            <w:r>
              <w:rPr>
                <w:sz w:val="20"/>
                <w:szCs w:val="20"/>
                <w:lang w:val="en-GB"/>
              </w:rPr>
              <w:t>Midwest</w:t>
            </w:r>
          </w:p>
        </w:tc>
        <w:tc>
          <w:tcPr>
            <w:tcW w:w="1732" w:type="dxa"/>
            <w:tcBorders>
              <w:left w:val="nil"/>
              <w:right w:val="nil"/>
            </w:tcBorders>
            <w:shd w:val="clear" w:color="auto" w:fill="auto"/>
            <w:noWrap/>
            <w:vAlign w:val="center"/>
          </w:tcPr>
          <w:p w14:paraId="4B6ACE2F" w14:textId="099706C8" w:rsidR="00963CCE" w:rsidRPr="00A33116" w:rsidRDefault="00EB318C" w:rsidP="00203634">
            <w:pPr>
              <w:spacing w:after="0" w:line="240" w:lineRule="auto"/>
              <w:jc w:val="right"/>
              <w:rPr>
                <w:rFonts w:eastAsia="Times New Roman" w:cs="Calibri"/>
                <w:color w:val="000000"/>
                <w:sz w:val="20"/>
                <w:szCs w:val="20"/>
              </w:rPr>
            </w:pPr>
            <w:r>
              <w:rPr>
                <w:rFonts w:eastAsia="Times New Roman" w:cs="Calibri"/>
                <w:color w:val="000000"/>
                <w:sz w:val="20"/>
                <w:szCs w:val="20"/>
              </w:rPr>
              <w:t>15,254,270 (24</w:t>
            </w:r>
            <w:r w:rsidR="00795537">
              <w:rPr>
                <w:rFonts w:eastAsia="Times New Roman" w:cs="Calibri"/>
                <w:color w:val="000000"/>
                <w:sz w:val="20"/>
                <w:szCs w:val="20"/>
              </w:rPr>
              <w:t>·</w:t>
            </w:r>
            <w:r>
              <w:rPr>
                <w:rFonts w:eastAsia="Times New Roman" w:cs="Calibri"/>
                <w:color w:val="000000"/>
                <w:sz w:val="20"/>
                <w:szCs w:val="20"/>
              </w:rPr>
              <w:t>2)</w:t>
            </w:r>
          </w:p>
        </w:tc>
      </w:tr>
      <w:tr w:rsidR="00963CCE" w:rsidRPr="00266036" w14:paraId="6571A86E" w14:textId="77777777" w:rsidTr="00963CCE">
        <w:trPr>
          <w:trHeight w:val="262"/>
        </w:trPr>
        <w:tc>
          <w:tcPr>
            <w:tcW w:w="2970" w:type="dxa"/>
            <w:tcBorders>
              <w:left w:val="nil"/>
              <w:bottom w:val="single" w:sz="4" w:space="0" w:color="auto"/>
              <w:right w:val="single" w:sz="4" w:space="0" w:color="auto"/>
            </w:tcBorders>
          </w:tcPr>
          <w:p w14:paraId="28953049" w14:textId="77777777" w:rsidR="00963CCE" w:rsidRPr="00266036" w:rsidRDefault="00963CCE" w:rsidP="00203634">
            <w:pPr>
              <w:spacing w:after="0" w:line="240" w:lineRule="auto"/>
              <w:rPr>
                <w:rFonts w:ascii="Calibri" w:eastAsia="Times New Roman" w:hAnsi="Calibri" w:cs="Calibri"/>
                <w:b/>
                <w:bCs/>
                <w:color w:val="000000"/>
                <w:sz w:val="20"/>
                <w:szCs w:val="20"/>
                <w:lang w:val="en-GB"/>
              </w:rPr>
            </w:pPr>
          </w:p>
        </w:tc>
        <w:tc>
          <w:tcPr>
            <w:tcW w:w="4950" w:type="dxa"/>
            <w:tcBorders>
              <w:left w:val="single" w:sz="4" w:space="0" w:color="auto"/>
              <w:bottom w:val="single" w:sz="4" w:space="0" w:color="auto"/>
              <w:right w:val="nil"/>
            </w:tcBorders>
            <w:shd w:val="clear" w:color="auto" w:fill="auto"/>
            <w:noWrap/>
            <w:vAlign w:val="center"/>
          </w:tcPr>
          <w:p w14:paraId="7E6A20E1" w14:textId="551F66A7" w:rsidR="00963CCE" w:rsidRPr="00266036" w:rsidRDefault="00963CCE" w:rsidP="00203634">
            <w:pPr>
              <w:pStyle w:val="NoSpacing"/>
              <w:rPr>
                <w:sz w:val="20"/>
                <w:szCs w:val="20"/>
                <w:lang w:val="en-GB"/>
              </w:rPr>
            </w:pPr>
            <w:r>
              <w:rPr>
                <w:sz w:val="20"/>
                <w:szCs w:val="20"/>
                <w:lang w:val="en-GB"/>
              </w:rPr>
              <w:t>West</w:t>
            </w:r>
          </w:p>
        </w:tc>
        <w:tc>
          <w:tcPr>
            <w:tcW w:w="1732" w:type="dxa"/>
            <w:tcBorders>
              <w:left w:val="nil"/>
              <w:bottom w:val="single" w:sz="4" w:space="0" w:color="auto"/>
              <w:right w:val="nil"/>
            </w:tcBorders>
            <w:shd w:val="clear" w:color="auto" w:fill="auto"/>
            <w:noWrap/>
            <w:vAlign w:val="center"/>
          </w:tcPr>
          <w:p w14:paraId="487C5910" w14:textId="52F35B4E" w:rsidR="00963CCE" w:rsidRPr="00A33116" w:rsidRDefault="00EB318C" w:rsidP="00203634">
            <w:pPr>
              <w:spacing w:after="0" w:line="240" w:lineRule="auto"/>
              <w:jc w:val="right"/>
              <w:rPr>
                <w:rFonts w:eastAsia="Times New Roman" w:cs="Calibri"/>
                <w:color w:val="000000"/>
                <w:sz w:val="20"/>
                <w:szCs w:val="20"/>
              </w:rPr>
            </w:pPr>
            <w:r>
              <w:rPr>
                <w:rFonts w:eastAsia="Times New Roman" w:cs="Calibri"/>
                <w:color w:val="000000"/>
                <w:sz w:val="20"/>
                <w:szCs w:val="20"/>
              </w:rPr>
              <w:t>11,294318 (17</w:t>
            </w:r>
            <w:r w:rsidR="00795537">
              <w:rPr>
                <w:rFonts w:eastAsia="Times New Roman" w:cs="Calibri"/>
                <w:color w:val="000000"/>
                <w:sz w:val="20"/>
                <w:szCs w:val="20"/>
              </w:rPr>
              <w:t>·</w:t>
            </w:r>
            <w:r>
              <w:rPr>
                <w:rFonts w:eastAsia="Times New Roman" w:cs="Calibri"/>
                <w:color w:val="000000"/>
                <w:sz w:val="20"/>
                <w:szCs w:val="20"/>
              </w:rPr>
              <w:t>9)</w:t>
            </w:r>
          </w:p>
        </w:tc>
      </w:tr>
      <w:tr w:rsidR="00CE4566" w:rsidRPr="00266036" w14:paraId="3A293BF2" w14:textId="77777777" w:rsidTr="00CE4566">
        <w:trPr>
          <w:trHeight w:val="521"/>
        </w:trPr>
        <w:tc>
          <w:tcPr>
            <w:tcW w:w="2970" w:type="dxa"/>
            <w:tcBorders>
              <w:left w:val="nil"/>
              <w:bottom w:val="single" w:sz="4" w:space="0" w:color="auto"/>
              <w:right w:val="single" w:sz="4" w:space="0" w:color="auto"/>
            </w:tcBorders>
            <w:vAlign w:val="center"/>
          </w:tcPr>
          <w:p w14:paraId="065BC335" w14:textId="59DE6B24" w:rsidR="00CE4566" w:rsidRPr="00266036" w:rsidRDefault="00CE4566" w:rsidP="00CE4566">
            <w:pPr>
              <w:spacing w:after="0" w:line="240" w:lineRule="auto"/>
              <w:rPr>
                <w:rFonts w:ascii="Calibri" w:eastAsia="Times New Roman" w:hAnsi="Calibri" w:cs="Calibri"/>
                <w:b/>
                <w:bCs/>
                <w:color w:val="000000"/>
                <w:sz w:val="20"/>
                <w:szCs w:val="20"/>
                <w:lang w:val="en-GB"/>
              </w:rPr>
            </w:pPr>
            <w:r>
              <w:rPr>
                <w:rFonts w:ascii="Calibri" w:eastAsia="Times New Roman" w:hAnsi="Calibri" w:cs="Calibri"/>
                <w:b/>
                <w:bCs/>
                <w:color w:val="000000"/>
                <w:sz w:val="20"/>
                <w:szCs w:val="20"/>
                <w:lang w:val="en-GB"/>
              </w:rPr>
              <w:t>Zip code-level covariates</w:t>
            </w:r>
            <w:r>
              <w:rPr>
                <w:b/>
                <w:sz w:val="20"/>
                <w:szCs w:val="20"/>
                <w:vertAlign w:val="superscript"/>
                <w:lang w:val="en-GB"/>
              </w:rPr>
              <w:t xml:space="preserve"> a</w:t>
            </w:r>
          </w:p>
        </w:tc>
        <w:tc>
          <w:tcPr>
            <w:tcW w:w="4950" w:type="dxa"/>
            <w:tcBorders>
              <w:top w:val="nil"/>
              <w:left w:val="single" w:sz="4" w:space="0" w:color="auto"/>
              <w:bottom w:val="single" w:sz="4" w:space="0" w:color="auto"/>
            </w:tcBorders>
            <w:shd w:val="clear" w:color="auto" w:fill="auto"/>
            <w:noWrap/>
            <w:vAlign w:val="center"/>
          </w:tcPr>
          <w:p w14:paraId="5D6E0A63" w14:textId="77777777" w:rsidR="00CE4566" w:rsidRPr="00250DD4" w:rsidRDefault="00CE4566" w:rsidP="00CE4566">
            <w:pPr>
              <w:spacing w:after="0" w:line="240" w:lineRule="auto"/>
              <w:rPr>
                <w:b/>
                <w:sz w:val="20"/>
                <w:szCs w:val="20"/>
                <w:lang w:val="en-GB"/>
              </w:rPr>
            </w:pPr>
            <w:r w:rsidRPr="00250DD4">
              <w:rPr>
                <w:b/>
                <w:sz w:val="20"/>
                <w:szCs w:val="20"/>
                <w:lang w:val="en-GB"/>
              </w:rPr>
              <w:t>Aggregated data (2000-2016)</w:t>
            </w:r>
          </w:p>
        </w:tc>
        <w:tc>
          <w:tcPr>
            <w:tcW w:w="1732" w:type="dxa"/>
            <w:tcBorders>
              <w:top w:val="nil"/>
              <w:bottom w:val="single" w:sz="4" w:space="0" w:color="auto"/>
              <w:right w:val="nil"/>
            </w:tcBorders>
            <w:shd w:val="clear" w:color="auto" w:fill="auto"/>
            <w:vAlign w:val="center"/>
          </w:tcPr>
          <w:p w14:paraId="095C6F5F" w14:textId="68B433D3" w:rsidR="00CE4566" w:rsidRPr="00250DD4" w:rsidRDefault="00CE4566" w:rsidP="00CE4566">
            <w:pPr>
              <w:spacing w:after="0" w:line="240" w:lineRule="auto"/>
              <w:jc w:val="center"/>
              <w:rPr>
                <w:b/>
                <w:sz w:val="20"/>
                <w:szCs w:val="20"/>
                <w:lang w:val="en-GB"/>
              </w:rPr>
            </w:pPr>
            <w:r>
              <w:rPr>
                <w:b/>
                <w:sz w:val="20"/>
                <w:szCs w:val="20"/>
                <w:lang w:val="en-GB"/>
              </w:rPr>
              <w:t>Median (IQR)</w:t>
            </w:r>
          </w:p>
        </w:tc>
      </w:tr>
      <w:tr w:rsidR="00EF423E" w:rsidRPr="00266036" w14:paraId="59CFEE2C" w14:textId="77777777" w:rsidTr="00CE4566">
        <w:trPr>
          <w:trHeight w:val="262"/>
        </w:trPr>
        <w:tc>
          <w:tcPr>
            <w:tcW w:w="2970" w:type="dxa"/>
            <w:tcBorders>
              <w:top w:val="single" w:sz="4" w:space="0" w:color="auto"/>
              <w:left w:val="nil"/>
              <w:right w:val="single" w:sz="4" w:space="0" w:color="auto"/>
            </w:tcBorders>
          </w:tcPr>
          <w:p w14:paraId="5F2F4AD9" w14:textId="4A20E54D" w:rsidR="00EF423E" w:rsidRPr="00266036" w:rsidRDefault="00EF423E" w:rsidP="00EF423E">
            <w:pPr>
              <w:spacing w:after="0" w:line="240" w:lineRule="auto"/>
              <w:rPr>
                <w:rFonts w:ascii="Calibri" w:eastAsia="Times New Roman" w:hAnsi="Calibri" w:cs="Calibri"/>
                <w:b/>
                <w:bCs/>
                <w:color w:val="000000"/>
                <w:sz w:val="20"/>
                <w:szCs w:val="20"/>
                <w:lang w:val="en-GB"/>
              </w:rPr>
            </w:pPr>
            <w:r>
              <w:rPr>
                <w:rFonts w:ascii="Calibri" w:eastAsia="Times New Roman" w:hAnsi="Calibri" w:cs="Calibri"/>
                <w:b/>
                <w:bCs/>
                <w:color w:val="000000"/>
                <w:sz w:val="20"/>
                <w:szCs w:val="20"/>
              </w:rPr>
              <w:t>Natural environment measures</w:t>
            </w:r>
          </w:p>
        </w:tc>
        <w:tc>
          <w:tcPr>
            <w:tcW w:w="4950" w:type="dxa"/>
            <w:tcBorders>
              <w:top w:val="single" w:sz="4" w:space="0" w:color="auto"/>
              <w:left w:val="single" w:sz="4" w:space="0" w:color="auto"/>
              <w:bottom w:val="nil"/>
              <w:right w:val="nil"/>
            </w:tcBorders>
            <w:shd w:val="clear" w:color="auto" w:fill="auto"/>
            <w:noWrap/>
          </w:tcPr>
          <w:p w14:paraId="345741DF" w14:textId="2CB83577" w:rsidR="00EF423E" w:rsidRPr="00266036" w:rsidRDefault="00A848A4" w:rsidP="00A848A4">
            <w:pPr>
              <w:pStyle w:val="NoSpacing"/>
              <w:rPr>
                <w:sz w:val="20"/>
                <w:szCs w:val="20"/>
                <w:lang w:val="en-GB"/>
              </w:rPr>
            </w:pPr>
            <w:r>
              <w:rPr>
                <w:rFonts w:ascii="Calibri" w:eastAsia="Times New Roman" w:hAnsi="Calibri" w:cs="Calibri"/>
                <w:color w:val="000000"/>
                <w:sz w:val="20"/>
                <w:szCs w:val="20"/>
              </w:rPr>
              <w:t>% Public park</w:t>
            </w:r>
            <w:r w:rsidR="0073291F">
              <w:rPr>
                <w:rFonts w:ascii="Calibri" w:eastAsia="Times New Roman" w:hAnsi="Calibri" w:cs="Calibri"/>
                <w:color w:val="000000"/>
                <w:sz w:val="20"/>
                <w:szCs w:val="20"/>
              </w:rPr>
              <w:t xml:space="preserve"> cover</w:t>
            </w:r>
          </w:p>
        </w:tc>
        <w:tc>
          <w:tcPr>
            <w:tcW w:w="1732" w:type="dxa"/>
            <w:tcBorders>
              <w:top w:val="single" w:sz="4" w:space="0" w:color="auto"/>
              <w:left w:val="nil"/>
              <w:bottom w:val="nil"/>
              <w:right w:val="nil"/>
            </w:tcBorders>
            <w:shd w:val="clear" w:color="auto" w:fill="auto"/>
            <w:noWrap/>
            <w:vAlign w:val="bottom"/>
          </w:tcPr>
          <w:p w14:paraId="1286D617" w14:textId="0982FA3F" w:rsidR="00EF423E" w:rsidRPr="00A33116" w:rsidRDefault="00A848A4" w:rsidP="00A848A4">
            <w:pPr>
              <w:spacing w:after="0" w:line="240" w:lineRule="auto"/>
              <w:jc w:val="right"/>
              <w:rPr>
                <w:rFonts w:eastAsia="Times New Roman" w:cs="Calibri"/>
                <w:color w:val="000000"/>
                <w:sz w:val="20"/>
                <w:szCs w:val="20"/>
              </w:rPr>
            </w:pPr>
            <w:r>
              <w:rPr>
                <w:rFonts w:eastAsia="Times New Roman" w:cstheme="minorHAnsi"/>
                <w:color w:val="000000"/>
                <w:sz w:val="20"/>
                <w:szCs w:val="20"/>
              </w:rPr>
              <w:t>7</w:t>
            </w:r>
            <w:r w:rsidR="00795537">
              <w:rPr>
                <w:rFonts w:eastAsia="Times New Roman" w:cstheme="minorHAnsi"/>
                <w:color w:val="000000"/>
                <w:sz w:val="20"/>
                <w:szCs w:val="20"/>
              </w:rPr>
              <w:t>·</w:t>
            </w:r>
            <w:r>
              <w:rPr>
                <w:rFonts w:eastAsia="Times New Roman" w:cstheme="minorHAnsi"/>
                <w:color w:val="000000"/>
                <w:sz w:val="20"/>
                <w:szCs w:val="20"/>
              </w:rPr>
              <w:t>5</w:t>
            </w:r>
            <w:r w:rsidR="00EF423E" w:rsidRPr="008971A6">
              <w:rPr>
                <w:rFonts w:eastAsia="Times New Roman" w:cstheme="minorHAnsi"/>
                <w:color w:val="000000"/>
                <w:sz w:val="20"/>
                <w:szCs w:val="20"/>
              </w:rPr>
              <w:t xml:space="preserve"> (1</w:t>
            </w:r>
            <w:r>
              <w:rPr>
                <w:rFonts w:eastAsia="Times New Roman" w:cstheme="minorHAnsi"/>
                <w:color w:val="000000"/>
                <w:sz w:val="20"/>
                <w:szCs w:val="20"/>
              </w:rPr>
              <w:t>5</w:t>
            </w:r>
            <w:r w:rsidR="00795537">
              <w:rPr>
                <w:rFonts w:eastAsia="Times New Roman" w:cstheme="minorHAnsi"/>
                <w:color w:val="000000"/>
                <w:sz w:val="20"/>
                <w:szCs w:val="20"/>
              </w:rPr>
              <w:t>·</w:t>
            </w:r>
            <w:r>
              <w:rPr>
                <w:rFonts w:eastAsia="Times New Roman" w:cstheme="minorHAnsi"/>
                <w:color w:val="000000"/>
                <w:sz w:val="20"/>
                <w:szCs w:val="20"/>
              </w:rPr>
              <w:t>9</w:t>
            </w:r>
            <w:r w:rsidR="00EF423E" w:rsidRPr="008971A6">
              <w:rPr>
                <w:rFonts w:eastAsia="Times New Roman" w:cstheme="minorHAnsi"/>
                <w:color w:val="000000"/>
                <w:sz w:val="20"/>
                <w:szCs w:val="20"/>
              </w:rPr>
              <w:t>)</w:t>
            </w:r>
          </w:p>
        </w:tc>
      </w:tr>
      <w:tr w:rsidR="00EF423E" w:rsidRPr="00266036" w14:paraId="078C1BAB" w14:textId="77777777" w:rsidTr="00CE4566">
        <w:trPr>
          <w:trHeight w:val="262"/>
        </w:trPr>
        <w:tc>
          <w:tcPr>
            <w:tcW w:w="2970" w:type="dxa"/>
            <w:tcBorders>
              <w:left w:val="nil"/>
              <w:right w:val="single" w:sz="4" w:space="0" w:color="auto"/>
            </w:tcBorders>
          </w:tcPr>
          <w:p w14:paraId="18F0E235" w14:textId="00A74BAB" w:rsidR="00EF423E" w:rsidRPr="00266036" w:rsidRDefault="00EF423E" w:rsidP="00EF423E">
            <w:pPr>
              <w:spacing w:after="0" w:line="240" w:lineRule="auto"/>
              <w:rPr>
                <w:rFonts w:ascii="Calibri" w:eastAsia="Times New Roman" w:hAnsi="Calibri" w:cs="Calibri"/>
                <w:b/>
                <w:bCs/>
                <w:color w:val="000000"/>
                <w:sz w:val="20"/>
                <w:szCs w:val="20"/>
                <w:lang w:val="en-GB"/>
              </w:rPr>
            </w:pPr>
          </w:p>
        </w:tc>
        <w:tc>
          <w:tcPr>
            <w:tcW w:w="4950" w:type="dxa"/>
            <w:tcBorders>
              <w:top w:val="nil"/>
              <w:left w:val="single" w:sz="4" w:space="0" w:color="auto"/>
              <w:bottom w:val="nil"/>
              <w:right w:val="nil"/>
            </w:tcBorders>
            <w:shd w:val="clear" w:color="auto" w:fill="auto"/>
            <w:noWrap/>
          </w:tcPr>
          <w:p w14:paraId="6C22C505" w14:textId="3CB503EB" w:rsidR="00EF423E" w:rsidRPr="00266036" w:rsidRDefault="00EF423E" w:rsidP="00EF423E">
            <w:pPr>
              <w:pStyle w:val="NoSpacing"/>
              <w:rPr>
                <w:sz w:val="20"/>
                <w:szCs w:val="20"/>
                <w:lang w:val="en-GB"/>
              </w:rPr>
            </w:pPr>
            <w:r>
              <w:rPr>
                <w:rFonts w:ascii="Calibri" w:eastAsia="Times New Roman" w:hAnsi="Calibri" w:cs="Calibri"/>
                <w:color w:val="000000"/>
                <w:sz w:val="20"/>
                <w:szCs w:val="20"/>
              </w:rPr>
              <w:t>NDVI</w:t>
            </w:r>
          </w:p>
        </w:tc>
        <w:tc>
          <w:tcPr>
            <w:tcW w:w="1732" w:type="dxa"/>
            <w:tcBorders>
              <w:top w:val="nil"/>
              <w:left w:val="nil"/>
              <w:bottom w:val="nil"/>
              <w:right w:val="nil"/>
            </w:tcBorders>
            <w:shd w:val="clear" w:color="auto" w:fill="auto"/>
            <w:noWrap/>
            <w:vAlign w:val="bottom"/>
          </w:tcPr>
          <w:p w14:paraId="0CED52BF" w14:textId="3CDD9697" w:rsidR="00EF423E" w:rsidRPr="00A33116" w:rsidRDefault="00EF423E" w:rsidP="00EF423E">
            <w:pPr>
              <w:spacing w:after="0" w:line="240" w:lineRule="auto"/>
              <w:jc w:val="right"/>
              <w:rPr>
                <w:rFonts w:eastAsia="Times New Roman" w:cs="Calibri"/>
                <w:color w:val="000000"/>
                <w:sz w:val="20"/>
                <w:szCs w:val="20"/>
              </w:rPr>
            </w:pPr>
            <w:r w:rsidRPr="008971A6">
              <w:rPr>
                <w:rFonts w:eastAsia="Times New Roman" w:cstheme="minorHAnsi"/>
                <w:color w:val="000000"/>
                <w:sz w:val="20"/>
                <w:szCs w:val="20"/>
              </w:rPr>
              <w:t>0</w:t>
            </w:r>
            <w:r w:rsidR="00795537">
              <w:rPr>
                <w:rFonts w:eastAsia="Times New Roman" w:cstheme="minorHAnsi"/>
                <w:color w:val="000000"/>
                <w:sz w:val="20"/>
                <w:szCs w:val="20"/>
              </w:rPr>
              <w:t>·</w:t>
            </w:r>
            <w:r w:rsidRPr="008971A6">
              <w:rPr>
                <w:rFonts w:eastAsia="Times New Roman" w:cstheme="minorHAnsi"/>
                <w:color w:val="000000"/>
                <w:sz w:val="20"/>
                <w:szCs w:val="20"/>
              </w:rPr>
              <w:t>52 (0</w:t>
            </w:r>
            <w:r w:rsidR="00795537">
              <w:rPr>
                <w:rFonts w:eastAsia="Times New Roman" w:cstheme="minorHAnsi"/>
                <w:color w:val="000000"/>
                <w:sz w:val="20"/>
                <w:szCs w:val="20"/>
              </w:rPr>
              <w:t>·</w:t>
            </w:r>
            <w:r w:rsidRPr="008971A6">
              <w:rPr>
                <w:rFonts w:eastAsia="Times New Roman" w:cstheme="minorHAnsi"/>
                <w:color w:val="000000"/>
                <w:sz w:val="20"/>
                <w:szCs w:val="20"/>
              </w:rPr>
              <w:t>27)</w:t>
            </w:r>
          </w:p>
        </w:tc>
      </w:tr>
      <w:tr w:rsidR="00EF423E" w:rsidRPr="00266036" w14:paraId="01675439" w14:textId="77777777" w:rsidTr="00CE4566">
        <w:trPr>
          <w:trHeight w:val="262"/>
        </w:trPr>
        <w:tc>
          <w:tcPr>
            <w:tcW w:w="2970" w:type="dxa"/>
            <w:tcBorders>
              <w:left w:val="nil"/>
              <w:right w:val="single" w:sz="4" w:space="0" w:color="auto"/>
            </w:tcBorders>
          </w:tcPr>
          <w:p w14:paraId="250E1E07" w14:textId="2D0E9752" w:rsidR="00EF423E" w:rsidRPr="00266036" w:rsidRDefault="00EF423E" w:rsidP="00EF423E">
            <w:pPr>
              <w:spacing w:after="0" w:line="240" w:lineRule="auto"/>
              <w:rPr>
                <w:rFonts w:ascii="Calibri" w:eastAsia="Times New Roman" w:hAnsi="Calibri" w:cs="Calibri"/>
                <w:b/>
                <w:bCs/>
                <w:color w:val="000000"/>
                <w:sz w:val="20"/>
                <w:szCs w:val="20"/>
                <w:lang w:val="en-GB"/>
              </w:rPr>
            </w:pPr>
          </w:p>
        </w:tc>
        <w:tc>
          <w:tcPr>
            <w:tcW w:w="4950" w:type="dxa"/>
            <w:tcBorders>
              <w:top w:val="nil"/>
              <w:left w:val="single" w:sz="4" w:space="0" w:color="auto"/>
              <w:bottom w:val="nil"/>
              <w:right w:val="nil"/>
            </w:tcBorders>
            <w:shd w:val="clear" w:color="auto" w:fill="auto"/>
            <w:noWrap/>
          </w:tcPr>
          <w:p w14:paraId="29A2C125" w14:textId="739BE0A1" w:rsidR="00EF423E" w:rsidRPr="00266036" w:rsidRDefault="00EF423E" w:rsidP="00EF423E">
            <w:pPr>
              <w:pStyle w:val="NoSpacing"/>
              <w:rPr>
                <w:sz w:val="20"/>
                <w:szCs w:val="20"/>
                <w:lang w:val="en-GB"/>
              </w:rPr>
            </w:pPr>
            <w:r>
              <w:rPr>
                <w:rFonts w:ascii="Calibri" w:eastAsia="Times New Roman" w:hAnsi="Calibri" w:cs="Calibri"/>
                <w:color w:val="000000"/>
                <w:sz w:val="20"/>
                <w:szCs w:val="20"/>
              </w:rPr>
              <w:t>% Blue space</w:t>
            </w:r>
            <w:r w:rsidR="0073291F">
              <w:rPr>
                <w:rFonts w:ascii="Calibri" w:eastAsia="Times New Roman" w:hAnsi="Calibri" w:cs="Calibri"/>
                <w:color w:val="000000"/>
                <w:sz w:val="20"/>
                <w:szCs w:val="20"/>
              </w:rPr>
              <w:t xml:space="preserve"> cover</w:t>
            </w:r>
            <w:r>
              <w:rPr>
                <w:rFonts w:ascii="Calibri" w:eastAsia="Times New Roman" w:hAnsi="Calibri" w:cs="Calibri"/>
                <w:color w:val="000000"/>
                <w:sz w:val="20"/>
                <w:szCs w:val="20"/>
              </w:rPr>
              <w:t xml:space="preserve"> (1000m buffer)</w:t>
            </w:r>
          </w:p>
        </w:tc>
        <w:tc>
          <w:tcPr>
            <w:tcW w:w="1732" w:type="dxa"/>
            <w:tcBorders>
              <w:top w:val="nil"/>
              <w:left w:val="nil"/>
              <w:bottom w:val="nil"/>
              <w:right w:val="nil"/>
            </w:tcBorders>
            <w:shd w:val="clear" w:color="auto" w:fill="auto"/>
            <w:noWrap/>
            <w:vAlign w:val="bottom"/>
          </w:tcPr>
          <w:p w14:paraId="63D870AC" w14:textId="6197172A" w:rsidR="00EF423E" w:rsidRPr="00A33116" w:rsidRDefault="00EF423E" w:rsidP="00EF423E">
            <w:pPr>
              <w:spacing w:after="0" w:line="240" w:lineRule="auto"/>
              <w:jc w:val="right"/>
              <w:rPr>
                <w:rFonts w:eastAsia="Times New Roman" w:cs="Calibri"/>
                <w:color w:val="000000"/>
                <w:sz w:val="20"/>
                <w:szCs w:val="20"/>
              </w:rPr>
            </w:pPr>
            <w:r w:rsidRPr="008971A6">
              <w:rPr>
                <w:rFonts w:eastAsia="Times New Roman" w:cstheme="minorHAnsi"/>
                <w:color w:val="000000"/>
                <w:sz w:val="20"/>
                <w:szCs w:val="20"/>
              </w:rPr>
              <w:t>0</w:t>
            </w:r>
            <w:r w:rsidR="00795537">
              <w:rPr>
                <w:rFonts w:eastAsia="Times New Roman" w:cstheme="minorHAnsi"/>
                <w:color w:val="000000"/>
                <w:sz w:val="20"/>
                <w:szCs w:val="20"/>
              </w:rPr>
              <w:t>·</w:t>
            </w:r>
            <w:r w:rsidRPr="008971A6">
              <w:rPr>
                <w:rFonts w:eastAsia="Times New Roman" w:cstheme="minorHAnsi"/>
                <w:color w:val="000000"/>
                <w:sz w:val="20"/>
                <w:szCs w:val="20"/>
              </w:rPr>
              <w:t>5 (3</w:t>
            </w:r>
            <w:r w:rsidR="00795537">
              <w:rPr>
                <w:rFonts w:eastAsia="Times New Roman" w:cstheme="minorHAnsi"/>
                <w:color w:val="000000"/>
                <w:sz w:val="20"/>
                <w:szCs w:val="20"/>
              </w:rPr>
              <w:t>·</w:t>
            </w:r>
            <w:r w:rsidRPr="008971A6">
              <w:rPr>
                <w:rFonts w:eastAsia="Times New Roman" w:cstheme="minorHAnsi"/>
                <w:color w:val="000000"/>
                <w:sz w:val="20"/>
                <w:szCs w:val="20"/>
              </w:rPr>
              <w:t>2)</w:t>
            </w:r>
          </w:p>
        </w:tc>
      </w:tr>
      <w:tr w:rsidR="00EF423E" w:rsidRPr="00266036" w14:paraId="2D47929A" w14:textId="77777777" w:rsidTr="00CE4566">
        <w:trPr>
          <w:trHeight w:val="262"/>
        </w:trPr>
        <w:tc>
          <w:tcPr>
            <w:tcW w:w="2970" w:type="dxa"/>
            <w:tcBorders>
              <w:left w:val="nil"/>
              <w:right w:val="single" w:sz="4" w:space="0" w:color="auto"/>
            </w:tcBorders>
          </w:tcPr>
          <w:p w14:paraId="7416CB19" w14:textId="23CFE11C" w:rsidR="00EF423E" w:rsidRPr="00266036" w:rsidRDefault="00EF423E" w:rsidP="00EF423E">
            <w:pPr>
              <w:spacing w:after="0" w:line="240" w:lineRule="auto"/>
              <w:rPr>
                <w:rFonts w:ascii="Calibri" w:eastAsia="Times New Roman" w:hAnsi="Calibri" w:cs="Calibri"/>
                <w:b/>
                <w:bCs/>
                <w:color w:val="000000"/>
                <w:sz w:val="20"/>
                <w:szCs w:val="20"/>
                <w:lang w:val="en-GB"/>
              </w:rPr>
            </w:pPr>
          </w:p>
        </w:tc>
        <w:tc>
          <w:tcPr>
            <w:tcW w:w="4950" w:type="dxa"/>
            <w:tcBorders>
              <w:top w:val="nil"/>
              <w:left w:val="single" w:sz="4" w:space="0" w:color="auto"/>
              <w:bottom w:val="nil"/>
              <w:right w:val="nil"/>
            </w:tcBorders>
            <w:shd w:val="clear" w:color="auto" w:fill="auto"/>
            <w:noWrap/>
            <w:vAlign w:val="center"/>
          </w:tcPr>
          <w:p w14:paraId="297A675C" w14:textId="74A83226" w:rsidR="00EF423E" w:rsidRPr="00266036" w:rsidRDefault="00EF423E" w:rsidP="00EF423E">
            <w:pPr>
              <w:pStyle w:val="NoSpacing"/>
              <w:rPr>
                <w:sz w:val="20"/>
                <w:szCs w:val="20"/>
                <w:lang w:val="en-GB"/>
              </w:rPr>
            </w:pPr>
            <w:r>
              <w:rPr>
                <w:rFonts w:ascii="Calibri" w:eastAsia="Times New Roman" w:hAnsi="Calibri" w:cs="Calibri"/>
                <w:color w:val="000000"/>
                <w:sz w:val="20"/>
                <w:szCs w:val="20"/>
              </w:rPr>
              <w:t xml:space="preserve">% Blue space </w:t>
            </w:r>
            <w:r w:rsidR="0073291F">
              <w:rPr>
                <w:rFonts w:ascii="Calibri" w:eastAsia="Times New Roman" w:hAnsi="Calibri" w:cs="Calibri"/>
                <w:color w:val="000000"/>
                <w:sz w:val="20"/>
                <w:szCs w:val="20"/>
              </w:rPr>
              <w:t xml:space="preserve">cover </w:t>
            </w:r>
            <w:r>
              <w:rPr>
                <w:rFonts w:ascii="Calibri" w:eastAsia="Times New Roman" w:hAnsi="Calibri" w:cs="Calibri"/>
                <w:color w:val="000000"/>
                <w:sz w:val="20"/>
                <w:szCs w:val="20"/>
              </w:rPr>
              <w:t>(no buffer)</w:t>
            </w:r>
          </w:p>
        </w:tc>
        <w:tc>
          <w:tcPr>
            <w:tcW w:w="1732" w:type="dxa"/>
            <w:tcBorders>
              <w:top w:val="nil"/>
              <w:left w:val="nil"/>
              <w:bottom w:val="nil"/>
              <w:right w:val="nil"/>
            </w:tcBorders>
            <w:shd w:val="clear" w:color="auto" w:fill="auto"/>
            <w:noWrap/>
            <w:vAlign w:val="bottom"/>
          </w:tcPr>
          <w:p w14:paraId="57DBFB61" w14:textId="690AEA8A" w:rsidR="00EF423E" w:rsidRPr="00A33116" w:rsidRDefault="00EF423E" w:rsidP="00EF423E">
            <w:pPr>
              <w:spacing w:after="0" w:line="240" w:lineRule="auto"/>
              <w:jc w:val="right"/>
              <w:rPr>
                <w:rFonts w:eastAsia="Times New Roman" w:cs="Calibri"/>
                <w:color w:val="000000"/>
                <w:sz w:val="20"/>
                <w:szCs w:val="20"/>
              </w:rPr>
            </w:pPr>
            <w:r w:rsidRPr="008971A6">
              <w:rPr>
                <w:rFonts w:eastAsia="Times New Roman" w:cstheme="minorHAnsi"/>
                <w:color w:val="000000"/>
                <w:sz w:val="20"/>
                <w:szCs w:val="20"/>
              </w:rPr>
              <w:t>0</w:t>
            </w:r>
            <w:r w:rsidR="00795537">
              <w:rPr>
                <w:rFonts w:eastAsia="Times New Roman" w:cstheme="minorHAnsi"/>
                <w:color w:val="000000"/>
                <w:sz w:val="20"/>
                <w:szCs w:val="20"/>
              </w:rPr>
              <w:t>·</w:t>
            </w:r>
            <w:r w:rsidRPr="008971A6">
              <w:rPr>
                <w:rFonts w:eastAsia="Times New Roman" w:cstheme="minorHAnsi"/>
                <w:color w:val="000000"/>
                <w:sz w:val="20"/>
                <w:szCs w:val="20"/>
              </w:rPr>
              <w:t>3 (1</w:t>
            </w:r>
            <w:r w:rsidR="00795537">
              <w:rPr>
                <w:rFonts w:eastAsia="Times New Roman" w:cstheme="minorHAnsi"/>
                <w:color w:val="000000"/>
                <w:sz w:val="20"/>
                <w:szCs w:val="20"/>
              </w:rPr>
              <w:t>·</w:t>
            </w:r>
            <w:r w:rsidRPr="008971A6">
              <w:rPr>
                <w:rFonts w:eastAsia="Times New Roman" w:cstheme="minorHAnsi"/>
                <w:color w:val="000000"/>
                <w:sz w:val="20"/>
                <w:szCs w:val="20"/>
              </w:rPr>
              <w:t>3)</w:t>
            </w:r>
          </w:p>
        </w:tc>
      </w:tr>
      <w:tr w:rsidR="00EF423E" w:rsidRPr="00266036" w14:paraId="2ACCCBAA" w14:textId="77777777" w:rsidTr="00CE4566">
        <w:trPr>
          <w:trHeight w:val="262"/>
        </w:trPr>
        <w:tc>
          <w:tcPr>
            <w:tcW w:w="2970" w:type="dxa"/>
            <w:tcBorders>
              <w:left w:val="nil"/>
              <w:right w:val="single" w:sz="4" w:space="0" w:color="auto"/>
            </w:tcBorders>
            <w:vAlign w:val="center"/>
          </w:tcPr>
          <w:p w14:paraId="3048B5DE" w14:textId="72B1740C" w:rsidR="00EF423E" w:rsidRPr="00266036" w:rsidRDefault="00EF423E" w:rsidP="00EF423E">
            <w:pPr>
              <w:spacing w:after="0" w:line="240" w:lineRule="auto"/>
              <w:rPr>
                <w:rFonts w:ascii="Calibri" w:eastAsia="Times New Roman" w:hAnsi="Calibri" w:cs="Calibri"/>
                <w:b/>
                <w:bCs/>
                <w:color w:val="000000"/>
                <w:sz w:val="20"/>
                <w:szCs w:val="20"/>
                <w:lang w:val="en-GB"/>
              </w:rPr>
            </w:pPr>
            <w:r w:rsidRPr="00987FEF">
              <w:rPr>
                <w:rFonts w:ascii="Calibri" w:eastAsia="Times New Roman" w:hAnsi="Calibri" w:cs="Calibri"/>
                <w:b/>
                <w:bCs/>
                <w:color w:val="000000"/>
                <w:sz w:val="20"/>
                <w:szCs w:val="20"/>
              </w:rPr>
              <w:t>US census covariates</w:t>
            </w:r>
          </w:p>
        </w:tc>
        <w:tc>
          <w:tcPr>
            <w:tcW w:w="4950" w:type="dxa"/>
            <w:tcBorders>
              <w:top w:val="nil"/>
              <w:left w:val="single" w:sz="4" w:space="0" w:color="auto"/>
              <w:bottom w:val="nil"/>
              <w:right w:val="nil"/>
            </w:tcBorders>
            <w:shd w:val="clear" w:color="auto" w:fill="auto"/>
            <w:noWrap/>
            <w:vAlign w:val="center"/>
          </w:tcPr>
          <w:p w14:paraId="7075CD47" w14:textId="412E2644" w:rsidR="00EF423E" w:rsidRPr="00266036" w:rsidRDefault="00EF423E" w:rsidP="00EF423E">
            <w:pPr>
              <w:pStyle w:val="NoSpacing"/>
              <w:rPr>
                <w:sz w:val="20"/>
                <w:szCs w:val="20"/>
                <w:lang w:val="en-GB"/>
              </w:rPr>
            </w:pPr>
            <w:r w:rsidRPr="00987FEF">
              <w:rPr>
                <w:rFonts w:ascii="Calibri" w:eastAsia="Times New Roman" w:hAnsi="Calibri" w:cs="Calibri"/>
                <w:color w:val="000000"/>
                <w:sz w:val="20"/>
                <w:szCs w:val="20"/>
              </w:rPr>
              <w:t xml:space="preserve">Population density </w:t>
            </w:r>
            <w:r>
              <w:rPr>
                <w:rFonts w:ascii="Calibri" w:eastAsia="Times New Roman" w:hAnsi="Calibri" w:cs="Calibri"/>
                <w:color w:val="000000"/>
                <w:sz w:val="20"/>
                <w:szCs w:val="20"/>
              </w:rPr>
              <w:t>(</w:t>
            </w:r>
            <w:r w:rsidRPr="00987FEF">
              <w:rPr>
                <w:rFonts w:ascii="Calibri" w:eastAsia="Times New Roman" w:hAnsi="Calibri" w:cs="Calibri"/>
                <w:color w:val="000000"/>
                <w:sz w:val="20"/>
                <w:szCs w:val="20"/>
              </w:rPr>
              <w:t>persons/mile</w:t>
            </w:r>
            <w:r w:rsidRPr="00987FEF">
              <w:rPr>
                <w:rFonts w:ascii="Calibri" w:eastAsia="Times New Roman" w:hAnsi="Calibri" w:cs="Calibri"/>
                <w:color w:val="000000"/>
                <w:sz w:val="20"/>
                <w:szCs w:val="20"/>
                <w:vertAlign w:val="superscript"/>
              </w:rPr>
              <w:t>2</w:t>
            </w:r>
            <w:r w:rsidRPr="00987FEF">
              <w:rPr>
                <w:rFonts w:ascii="Calibri" w:eastAsia="Times New Roman" w:hAnsi="Calibri" w:cs="Calibri"/>
                <w:color w:val="000000"/>
                <w:sz w:val="20"/>
                <w:szCs w:val="20"/>
              </w:rPr>
              <w:t>)</w:t>
            </w:r>
          </w:p>
        </w:tc>
        <w:tc>
          <w:tcPr>
            <w:tcW w:w="1732" w:type="dxa"/>
            <w:tcBorders>
              <w:top w:val="nil"/>
              <w:left w:val="nil"/>
              <w:bottom w:val="nil"/>
              <w:right w:val="nil"/>
            </w:tcBorders>
            <w:shd w:val="clear" w:color="auto" w:fill="auto"/>
            <w:noWrap/>
            <w:vAlign w:val="bottom"/>
          </w:tcPr>
          <w:p w14:paraId="72510F81" w14:textId="5E6E1787" w:rsidR="00EF423E" w:rsidRPr="00A33116" w:rsidRDefault="00EF423E" w:rsidP="00EF423E">
            <w:pPr>
              <w:spacing w:after="0" w:line="240" w:lineRule="auto"/>
              <w:jc w:val="right"/>
              <w:rPr>
                <w:rFonts w:eastAsia="Times New Roman" w:cs="Calibri"/>
                <w:color w:val="000000"/>
                <w:sz w:val="20"/>
                <w:szCs w:val="20"/>
              </w:rPr>
            </w:pPr>
            <w:r w:rsidRPr="008971A6">
              <w:rPr>
                <w:rFonts w:eastAsia="Times New Roman" w:cstheme="minorHAnsi"/>
                <w:color w:val="000000"/>
                <w:sz w:val="20"/>
                <w:szCs w:val="20"/>
              </w:rPr>
              <w:t>517</w:t>
            </w:r>
            <w:r w:rsidR="00795537">
              <w:rPr>
                <w:rFonts w:eastAsia="Times New Roman" w:cstheme="minorHAnsi"/>
                <w:color w:val="000000"/>
                <w:sz w:val="20"/>
                <w:szCs w:val="20"/>
              </w:rPr>
              <w:t>·</w:t>
            </w:r>
            <w:r w:rsidRPr="008971A6">
              <w:rPr>
                <w:rFonts w:eastAsia="Times New Roman" w:cstheme="minorHAnsi"/>
                <w:color w:val="000000"/>
                <w:sz w:val="20"/>
                <w:szCs w:val="20"/>
              </w:rPr>
              <w:t>4 (2919</w:t>
            </w:r>
            <w:r w:rsidR="00795537">
              <w:rPr>
                <w:rFonts w:eastAsia="Times New Roman" w:cstheme="minorHAnsi"/>
                <w:color w:val="000000"/>
                <w:sz w:val="20"/>
                <w:szCs w:val="20"/>
              </w:rPr>
              <w:t>·</w:t>
            </w:r>
            <w:r>
              <w:rPr>
                <w:rFonts w:eastAsia="Times New Roman" w:cstheme="minorHAnsi"/>
                <w:color w:val="000000"/>
                <w:sz w:val="20"/>
                <w:szCs w:val="20"/>
              </w:rPr>
              <w:t>0</w:t>
            </w:r>
            <w:r w:rsidRPr="008971A6">
              <w:rPr>
                <w:rFonts w:eastAsia="Times New Roman" w:cstheme="minorHAnsi"/>
                <w:color w:val="000000"/>
                <w:sz w:val="20"/>
                <w:szCs w:val="20"/>
              </w:rPr>
              <w:t>)</w:t>
            </w:r>
          </w:p>
        </w:tc>
      </w:tr>
      <w:tr w:rsidR="00EF423E" w:rsidRPr="00266036" w14:paraId="5A172D7D" w14:textId="77777777" w:rsidTr="00CE4566">
        <w:trPr>
          <w:trHeight w:val="262"/>
        </w:trPr>
        <w:tc>
          <w:tcPr>
            <w:tcW w:w="2970" w:type="dxa"/>
            <w:tcBorders>
              <w:left w:val="nil"/>
              <w:right w:val="single" w:sz="4" w:space="0" w:color="auto"/>
            </w:tcBorders>
            <w:vAlign w:val="center"/>
          </w:tcPr>
          <w:p w14:paraId="0DADFFB8" w14:textId="4E360825" w:rsidR="00EF423E" w:rsidRPr="00266036" w:rsidRDefault="00EF423E" w:rsidP="00EF423E">
            <w:pPr>
              <w:spacing w:after="0" w:line="240" w:lineRule="auto"/>
              <w:rPr>
                <w:rFonts w:ascii="Calibri" w:eastAsia="Times New Roman" w:hAnsi="Calibri" w:cs="Calibri"/>
                <w:b/>
                <w:bCs/>
                <w:color w:val="000000"/>
                <w:sz w:val="20"/>
                <w:szCs w:val="20"/>
                <w:lang w:val="en-GB"/>
              </w:rPr>
            </w:pPr>
          </w:p>
        </w:tc>
        <w:tc>
          <w:tcPr>
            <w:tcW w:w="4950" w:type="dxa"/>
            <w:tcBorders>
              <w:top w:val="nil"/>
              <w:left w:val="single" w:sz="4" w:space="0" w:color="auto"/>
              <w:bottom w:val="nil"/>
              <w:right w:val="nil"/>
            </w:tcBorders>
            <w:shd w:val="clear" w:color="auto" w:fill="auto"/>
            <w:noWrap/>
            <w:vAlign w:val="center"/>
          </w:tcPr>
          <w:p w14:paraId="6737E9D8" w14:textId="788DCF6C" w:rsidR="00EF423E" w:rsidRPr="00266036" w:rsidRDefault="00EF423E" w:rsidP="00EF423E">
            <w:pPr>
              <w:pStyle w:val="NoSpacing"/>
              <w:rPr>
                <w:sz w:val="20"/>
                <w:szCs w:val="20"/>
                <w:lang w:val="en-GB"/>
              </w:rPr>
            </w:pPr>
            <w:r w:rsidRPr="00987FEF">
              <w:rPr>
                <w:rFonts w:ascii="Calibri" w:eastAsia="Times New Roman" w:hAnsi="Calibri" w:cs="Calibri"/>
                <w:color w:val="000000"/>
                <w:sz w:val="20"/>
                <w:szCs w:val="20"/>
              </w:rPr>
              <w:t>Median home value ($1,000)</w:t>
            </w:r>
          </w:p>
        </w:tc>
        <w:tc>
          <w:tcPr>
            <w:tcW w:w="1732" w:type="dxa"/>
            <w:tcBorders>
              <w:top w:val="nil"/>
              <w:left w:val="nil"/>
              <w:bottom w:val="nil"/>
              <w:right w:val="nil"/>
            </w:tcBorders>
            <w:shd w:val="clear" w:color="auto" w:fill="auto"/>
            <w:noWrap/>
            <w:vAlign w:val="bottom"/>
          </w:tcPr>
          <w:p w14:paraId="6712DF8E" w14:textId="2BBCD0FD" w:rsidR="00EF423E" w:rsidRPr="00A33116" w:rsidRDefault="00EF423E" w:rsidP="00EF423E">
            <w:pPr>
              <w:spacing w:after="0" w:line="240" w:lineRule="auto"/>
              <w:jc w:val="right"/>
              <w:rPr>
                <w:rFonts w:eastAsia="Times New Roman" w:cs="Calibri"/>
                <w:color w:val="000000"/>
                <w:sz w:val="20"/>
                <w:szCs w:val="20"/>
              </w:rPr>
            </w:pPr>
            <w:r w:rsidRPr="008971A6">
              <w:rPr>
                <w:rFonts w:eastAsia="Times New Roman" w:cstheme="minorHAnsi"/>
                <w:color w:val="000000"/>
                <w:sz w:val="20"/>
                <w:szCs w:val="20"/>
              </w:rPr>
              <w:t>139</w:t>
            </w:r>
            <w:r w:rsidR="00795537">
              <w:rPr>
                <w:rFonts w:eastAsia="Times New Roman" w:cstheme="minorHAnsi"/>
                <w:color w:val="000000"/>
                <w:sz w:val="20"/>
                <w:szCs w:val="20"/>
              </w:rPr>
              <w:t>·</w:t>
            </w:r>
            <w:r w:rsidRPr="008971A6">
              <w:rPr>
                <w:rFonts w:eastAsia="Times New Roman" w:cstheme="minorHAnsi"/>
                <w:color w:val="000000"/>
                <w:sz w:val="20"/>
                <w:szCs w:val="20"/>
              </w:rPr>
              <w:t>4 (145</w:t>
            </w:r>
            <w:r w:rsidR="00795537">
              <w:rPr>
                <w:rFonts w:eastAsia="Times New Roman" w:cstheme="minorHAnsi"/>
                <w:color w:val="000000"/>
                <w:sz w:val="20"/>
                <w:szCs w:val="20"/>
              </w:rPr>
              <w:t>·</w:t>
            </w:r>
            <w:r w:rsidRPr="008971A6">
              <w:rPr>
                <w:rFonts w:eastAsia="Times New Roman" w:cstheme="minorHAnsi"/>
                <w:color w:val="000000"/>
                <w:sz w:val="20"/>
                <w:szCs w:val="20"/>
              </w:rPr>
              <w:t>3)</w:t>
            </w:r>
          </w:p>
        </w:tc>
      </w:tr>
      <w:tr w:rsidR="00EF423E" w:rsidRPr="00266036" w14:paraId="6D4E7C93" w14:textId="77777777" w:rsidTr="00CE4566">
        <w:trPr>
          <w:trHeight w:val="262"/>
        </w:trPr>
        <w:tc>
          <w:tcPr>
            <w:tcW w:w="2970" w:type="dxa"/>
            <w:tcBorders>
              <w:left w:val="nil"/>
              <w:right w:val="single" w:sz="4" w:space="0" w:color="auto"/>
            </w:tcBorders>
            <w:vAlign w:val="center"/>
          </w:tcPr>
          <w:p w14:paraId="07955598" w14:textId="09E3505B" w:rsidR="00EF423E" w:rsidRPr="00266036" w:rsidRDefault="00EF423E" w:rsidP="00EF423E">
            <w:pPr>
              <w:spacing w:after="0" w:line="240" w:lineRule="auto"/>
              <w:rPr>
                <w:rFonts w:ascii="Calibri" w:eastAsia="Times New Roman" w:hAnsi="Calibri" w:cs="Calibri"/>
                <w:b/>
                <w:bCs/>
                <w:color w:val="000000"/>
                <w:sz w:val="20"/>
                <w:szCs w:val="20"/>
                <w:lang w:val="en-GB"/>
              </w:rPr>
            </w:pPr>
          </w:p>
        </w:tc>
        <w:tc>
          <w:tcPr>
            <w:tcW w:w="4950" w:type="dxa"/>
            <w:tcBorders>
              <w:top w:val="nil"/>
              <w:left w:val="single" w:sz="4" w:space="0" w:color="auto"/>
              <w:bottom w:val="nil"/>
              <w:right w:val="nil"/>
            </w:tcBorders>
            <w:shd w:val="clear" w:color="auto" w:fill="auto"/>
            <w:noWrap/>
            <w:vAlign w:val="center"/>
          </w:tcPr>
          <w:p w14:paraId="07016763" w14:textId="1260C582" w:rsidR="00EF423E" w:rsidRPr="00266036" w:rsidRDefault="00EF423E" w:rsidP="00EF423E">
            <w:pPr>
              <w:pStyle w:val="NoSpacing"/>
              <w:rPr>
                <w:sz w:val="20"/>
                <w:szCs w:val="20"/>
                <w:lang w:val="en-GB"/>
              </w:rPr>
            </w:pPr>
            <w:r w:rsidRPr="00987FEF">
              <w:rPr>
                <w:rFonts w:ascii="Calibri" w:eastAsia="Times New Roman" w:hAnsi="Calibri" w:cs="Calibri"/>
                <w:color w:val="000000"/>
                <w:sz w:val="20"/>
                <w:szCs w:val="20"/>
              </w:rPr>
              <w:t>Median household income ($1,000)</w:t>
            </w:r>
          </w:p>
        </w:tc>
        <w:tc>
          <w:tcPr>
            <w:tcW w:w="1732" w:type="dxa"/>
            <w:tcBorders>
              <w:top w:val="nil"/>
              <w:left w:val="nil"/>
              <w:bottom w:val="nil"/>
              <w:right w:val="nil"/>
            </w:tcBorders>
            <w:shd w:val="clear" w:color="auto" w:fill="auto"/>
            <w:noWrap/>
            <w:vAlign w:val="bottom"/>
          </w:tcPr>
          <w:p w14:paraId="5BE7F929" w14:textId="62FAE428" w:rsidR="00EF423E" w:rsidRPr="00A33116" w:rsidRDefault="00EF423E" w:rsidP="00EF423E">
            <w:pPr>
              <w:spacing w:after="0" w:line="240" w:lineRule="auto"/>
              <w:jc w:val="right"/>
              <w:rPr>
                <w:rFonts w:eastAsia="Times New Roman" w:cs="Calibri"/>
                <w:color w:val="000000"/>
                <w:sz w:val="20"/>
                <w:szCs w:val="20"/>
              </w:rPr>
            </w:pPr>
            <w:r w:rsidRPr="008971A6">
              <w:rPr>
                <w:rFonts w:eastAsia="Times New Roman" w:cstheme="minorHAnsi"/>
                <w:color w:val="000000"/>
                <w:sz w:val="20"/>
                <w:szCs w:val="20"/>
              </w:rPr>
              <w:t>46</w:t>
            </w:r>
            <w:r w:rsidR="00795537">
              <w:rPr>
                <w:rFonts w:eastAsia="Times New Roman" w:cstheme="minorHAnsi"/>
                <w:color w:val="000000"/>
                <w:sz w:val="20"/>
                <w:szCs w:val="20"/>
              </w:rPr>
              <w:t>·</w:t>
            </w:r>
            <w:r>
              <w:rPr>
                <w:rFonts w:eastAsia="Times New Roman" w:cstheme="minorHAnsi"/>
                <w:color w:val="000000"/>
                <w:sz w:val="20"/>
                <w:szCs w:val="20"/>
              </w:rPr>
              <w:t>0</w:t>
            </w:r>
            <w:r w:rsidRPr="008971A6">
              <w:rPr>
                <w:rFonts w:eastAsia="Times New Roman" w:cstheme="minorHAnsi"/>
                <w:color w:val="000000"/>
                <w:sz w:val="20"/>
                <w:szCs w:val="20"/>
              </w:rPr>
              <w:t xml:space="preserve"> (24</w:t>
            </w:r>
            <w:r w:rsidR="00795537">
              <w:rPr>
                <w:rFonts w:eastAsia="Times New Roman" w:cstheme="minorHAnsi"/>
                <w:color w:val="000000"/>
                <w:sz w:val="20"/>
                <w:szCs w:val="20"/>
              </w:rPr>
              <w:t>·</w:t>
            </w:r>
            <w:r w:rsidRPr="008971A6">
              <w:rPr>
                <w:rFonts w:eastAsia="Times New Roman" w:cstheme="minorHAnsi"/>
                <w:color w:val="000000"/>
                <w:sz w:val="20"/>
                <w:szCs w:val="20"/>
              </w:rPr>
              <w:t>9)</w:t>
            </w:r>
          </w:p>
        </w:tc>
      </w:tr>
      <w:tr w:rsidR="00EF423E" w:rsidRPr="00266036" w14:paraId="7E089C19" w14:textId="77777777" w:rsidTr="00CE4566">
        <w:trPr>
          <w:trHeight w:val="262"/>
        </w:trPr>
        <w:tc>
          <w:tcPr>
            <w:tcW w:w="2970" w:type="dxa"/>
            <w:tcBorders>
              <w:left w:val="nil"/>
              <w:right w:val="single" w:sz="4" w:space="0" w:color="auto"/>
            </w:tcBorders>
            <w:vAlign w:val="center"/>
          </w:tcPr>
          <w:p w14:paraId="7E280240" w14:textId="708E6F86" w:rsidR="00EF423E" w:rsidRPr="00266036" w:rsidRDefault="00EF423E" w:rsidP="00EF423E">
            <w:pPr>
              <w:spacing w:after="0" w:line="240" w:lineRule="auto"/>
              <w:rPr>
                <w:rFonts w:ascii="Calibri" w:eastAsia="Times New Roman" w:hAnsi="Calibri" w:cs="Calibri"/>
                <w:b/>
                <w:bCs/>
                <w:color w:val="000000"/>
                <w:sz w:val="20"/>
                <w:szCs w:val="20"/>
                <w:lang w:val="en-GB"/>
              </w:rPr>
            </w:pPr>
          </w:p>
        </w:tc>
        <w:tc>
          <w:tcPr>
            <w:tcW w:w="4950" w:type="dxa"/>
            <w:tcBorders>
              <w:top w:val="nil"/>
              <w:left w:val="single" w:sz="4" w:space="0" w:color="auto"/>
              <w:bottom w:val="nil"/>
              <w:right w:val="nil"/>
            </w:tcBorders>
            <w:shd w:val="clear" w:color="auto" w:fill="auto"/>
            <w:noWrap/>
            <w:vAlign w:val="center"/>
          </w:tcPr>
          <w:p w14:paraId="5FEB4F34" w14:textId="191D96C9" w:rsidR="00EF423E" w:rsidRPr="00266036" w:rsidRDefault="00EF423E" w:rsidP="00EF423E">
            <w:pPr>
              <w:pStyle w:val="NoSpacing"/>
              <w:rPr>
                <w:sz w:val="20"/>
                <w:szCs w:val="20"/>
                <w:lang w:val="en-GB"/>
              </w:rPr>
            </w:pPr>
            <w:r w:rsidRPr="00987FEF">
              <w:rPr>
                <w:sz w:val="20"/>
                <w:szCs w:val="20"/>
              </w:rPr>
              <w:t>% with less than a high school degree</w:t>
            </w:r>
          </w:p>
        </w:tc>
        <w:tc>
          <w:tcPr>
            <w:tcW w:w="1732" w:type="dxa"/>
            <w:tcBorders>
              <w:top w:val="nil"/>
              <w:left w:val="nil"/>
              <w:bottom w:val="nil"/>
              <w:right w:val="nil"/>
            </w:tcBorders>
            <w:shd w:val="clear" w:color="auto" w:fill="auto"/>
            <w:noWrap/>
            <w:vAlign w:val="bottom"/>
          </w:tcPr>
          <w:p w14:paraId="614A64C4" w14:textId="19E387D1" w:rsidR="00EF423E" w:rsidRPr="00A33116" w:rsidRDefault="00EF423E" w:rsidP="00EF423E">
            <w:pPr>
              <w:spacing w:after="0" w:line="240" w:lineRule="auto"/>
              <w:jc w:val="right"/>
              <w:rPr>
                <w:rFonts w:eastAsia="Times New Roman" w:cs="Calibri"/>
                <w:color w:val="000000"/>
                <w:sz w:val="20"/>
                <w:szCs w:val="20"/>
              </w:rPr>
            </w:pPr>
            <w:r w:rsidRPr="008971A6">
              <w:rPr>
                <w:rFonts w:eastAsia="Times New Roman" w:cstheme="minorHAnsi"/>
                <w:color w:val="000000"/>
                <w:sz w:val="20"/>
                <w:szCs w:val="20"/>
              </w:rPr>
              <w:t>24</w:t>
            </w:r>
            <w:r w:rsidR="00795537">
              <w:rPr>
                <w:rFonts w:eastAsia="Times New Roman" w:cstheme="minorHAnsi"/>
                <w:color w:val="000000"/>
                <w:sz w:val="20"/>
                <w:szCs w:val="20"/>
              </w:rPr>
              <w:t>·</w:t>
            </w:r>
            <w:r w:rsidRPr="008971A6">
              <w:rPr>
                <w:rFonts w:eastAsia="Times New Roman" w:cstheme="minorHAnsi"/>
                <w:color w:val="000000"/>
                <w:sz w:val="20"/>
                <w:szCs w:val="20"/>
              </w:rPr>
              <w:t>7 (21</w:t>
            </w:r>
            <w:r w:rsidR="00795537">
              <w:rPr>
                <w:rFonts w:eastAsia="Times New Roman" w:cstheme="minorHAnsi"/>
                <w:color w:val="000000"/>
                <w:sz w:val="20"/>
                <w:szCs w:val="20"/>
              </w:rPr>
              <w:t>·</w:t>
            </w:r>
            <w:r w:rsidRPr="008971A6">
              <w:rPr>
                <w:rFonts w:eastAsia="Times New Roman" w:cstheme="minorHAnsi"/>
                <w:color w:val="000000"/>
                <w:sz w:val="20"/>
                <w:szCs w:val="20"/>
              </w:rPr>
              <w:t>6)</w:t>
            </w:r>
          </w:p>
        </w:tc>
      </w:tr>
      <w:tr w:rsidR="00EF423E" w:rsidRPr="00266036" w14:paraId="477E64BD" w14:textId="77777777" w:rsidTr="00CE4566">
        <w:trPr>
          <w:trHeight w:val="262"/>
        </w:trPr>
        <w:tc>
          <w:tcPr>
            <w:tcW w:w="2970" w:type="dxa"/>
            <w:tcBorders>
              <w:left w:val="nil"/>
              <w:right w:val="single" w:sz="4" w:space="0" w:color="auto"/>
            </w:tcBorders>
            <w:vAlign w:val="center"/>
          </w:tcPr>
          <w:p w14:paraId="2B5976AD" w14:textId="235957ED" w:rsidR="00EF423E" w:rsidRPr="00266036" w:rsidRDefault="00EF423E" w:rsidP="00EF423E">
            <w:pPr>
              <w:spacing w:after="0" w:line="240" w:lineRule="auto"/>
              <w:rPr>
                <w:rFonts w:ascii="Calibri" w:eastAsia="Times New Roman" w:hAnsi="Calibri" w:cs="Calibri"/>
                <w:b/>
                <w:bCs/>
                <w:color w:val="000000"/>
                <w:sz w:val="20"/>
                <w:szCs w:val="20"/>
                <w:lang w:val="en-GB"/>
              </w:rPr>
            </w:pPr>
          </w:p>
        </w:tc>
        <w:tc>
          <w:tcPr>
            <w:tcW w:w="4950" w:type="dxa"/>
            <w:tcBorders>
              <w:top w:val="nil"/>
              <w:left w:val="single" w:sz="4" w:space="0" w:color="auto"/>
              <w:bottom w:val="nil"/>
              <w:right w:val="nil"/>
            </w:tcBorders>
            <w:shd w:val="clear" w:color="auto" w:fill="auto"/>
            <w:noWrap/>
            <w:vAlign w:val="center"/>
          </w:tcPr>
          <w:p w14:paraId="222A8D9C" w14:textId="5292FE9D" w:rsidR="00EF423E" w:rsidRPr="00266036" w:rsidRDefault="00EF423E" w:rsidP="00EF423E">
            <w:pPr>
              <w:pStyle w:val="NoSpacing"/>
              <w:rPr>
                <w:sz w:val="20"/>
                <w:szCs w:val="20"/>
                <w:lang w:val="en-GB"/>
              </w:rPr>
            </w:pPr>
            <w:r w:rsidRPr="00987FEF">
              <w:rPr>
                <w:sz w:val="20"/>
                <w:szCs w:val="20"/>
              </w:rPr>
              <w:t>% below the poverty level</w:t>
            </w:r>
          </w:p>
        </w:tc>
        <w:tc>
          <w:tcPr>
            <w:tcW w:w="1732" w:type="dxa"/>
            <w:tcBorders>
              <w:top w:val="nil"/>
              <w:left w:val="nil"/>
              <w:bottom w:val="nil"/>
              <w:right w:val="nil"/>
            </w:tcBorders>
            <w:shd w:val="clear" w:color="auto" w:fill="auto"/>
            <w:noWrap/>
            <w:vAlign w:val="bottom"/>
          </w:tcPr>
          <w:p w14:paraId="55876D71" w14:textId="3C2A0684" w:rsidR="00EF423E" w:rsidRPr="00A33116" w:rsidRDefault="00EF423E" w:rsidP="00EF423E">
            <w:pPr>
              <w:spacing w:after="0" w:line="240" w:lineRule="auto"/>
              <w:jc w:val="right"/>
              <w:rPr>
                <w:rFonts w:eastAsia="Times New Roman" w:cs="Calibri"/>
                <w:color w:val="000000"/>
                <w:sz w:val="20"/>
                <w:szCs w:val="20"/>
              </w:rPr>
            </w:pPr>
            <w:r w:rsidRPr="008971A6">
              <w:rPr>
                <w:rFonts w:eastAsia="Times New Roman" w:cstheme="minorHAnsi"/>
                <w:color w:val="000000"/>
                <w:sz w:val="20"/>
                <w:szCs w:val="20"/>
              </w:rPr>
              <w:t>8</w:t>
            </w:r>
            <w:r w:rsidR="00795537">
              <w:rPr>
                <w:rFonts w:eastAsia="Times New Roman" w:cstheme="minorHAnsi"/>
                <w:color w:val="000000"/>
                <w:sz w:val="20"/>
                <w:szCs w:val="20"/>
              </w:rPr>
              <w:t>·</w:t>
            </w:r>
            <w:r w:rsidRPr="008971A6">
              <w:rPr>
                <w:rFonts w:eastAsia="Times New Roman" w:cstheme="minorHAnsi"/>
                <w:color w:val="000000"/>
                <w:sz w:val="20"/>
                <w:szCs w:val="20"/>
              </w:rPr>
              <w:t>6 (8</w:t>
            </w:r>
            <w:r w:rsidR="00795537">
              <w:rPr>
                <w:rFonts w:eastAsia="Times New Roman" w:cstheme="minorHAnsi"/>
                <w:color w:val="000000"/>
                <w:sz w:val="20"/>
                <w:szCs w:val="20"/>
              </w:rPr>
              <w:t>·</w:t>
            </w:r>
            <w:r w:rsidRPr="008971A6">
              <w:rPr>
                <w:rFonts w:eastAsia="Times New Roman" w:cstheme="minorHAnsi"/>
                <w:color w:val="000000"/>
                <w:sz w:val="20"/>
                <w:szCs w:val="20"/>
              </w:rPr>
              <w:t>2)</w:t>
            </w:r>
          </w:p>
        </w:tc>
      </w:tr>
      <w:tr w:rsidR="00EF423E" w:rsidRPr="00266036" w14:paraId="6244EDDC" w14:textId="77777777" w:rsidTr="00CE4566">
        <w:trPr>
          <w:trHeight w:val="262"/>
        </w:trPr>
        <w:tc>
          <w:tcPr>
            <w:tcW w:w="2970" w:type="dxa"/>
            <w:tcBorders>
              <w:left w:val="nil"/>
              <w:right w:val="single" w:sz="4" w:space="0" w:color="auto"/>
            </w:tcBorders>
            <w:vAlign w:val="center"/>
          </w:tcPr>
          <w:p w14:paraId="56EB7496" w14:textId="358ED678" w:rsidR="00EF423E" w:rsidRPr="00266036" w:rsidRDefault="00EF423E" w:rsidP="00EF423E">
            <w:pPr>
              <w:spacing w:after="0" w:line="240" w:lineRule="auto"/>
              <w:rPr>
                <w:rFonts w:ascii="Calibri" w:eastAsia="Times New Roman" w:hAnsi="Calibri" w:cs="Calibri"/>
                <w:b/>
                <w:bCs/>
                <w:color w:val="000000"/>
                <w:sz w:val="20"/>
                <w:szCs w:val="20"/>
                <w:lang w:val="en-GB"/>
              </w:rPr>
            </w:pPr>
          </w:p>
        </w:tc>
        <w:tc>
          <w:tcPr>
            <w:tcW w:w="4950" w:type="dxa"/>
            <w:tcBorders>
              <w:top w:val="nil"/>
              <w:left w:val="single" w:sz="4" w:space="0" w:color="auto"/>
              <w:bottom w:val="nil"/>
              <w:right w:val="nil"/>
            </w:tcBorders>
            <w:shd w:val="clear" w:color="auto" w:fill="auto"/>
            <w:noWrap/>
            <w:vAlign w:val="center"/>
          </w:tcPr>
          <w:p w14:paraId="21E474BD" w14:textId="3B35A9CE" w:rsidR="00EF423E" w:rsidRPr="00266036" w:rsidRDefault="00EF423E" w:rsidP="00EF423E">
            <w:pPr>
              <w:pStyle w:val="NoSpacing"/>
              <w:rPr>
                <w:sz w:val="20"/>
                <w:szCs w:val="20"/>
                <w:lang w:val="en-GB"/>
              </w:rPr>
            </w:pPr>
            <w:r w:rsidRPr="00987FEF">
              <w:rPr>
                <w:sz w:val="20"/>
                <w:szCs w:val="20"/>
              </w:rPr>
              <w:t>% owner-occupied housing units</w:t>
            </w:r>
          </w:p>
        </w:tc>
        <w:tc>
          <w:tcPr>
            <w:tcW w:w="1732" w:type="dxa"/>
            <w:tcBorders>
              <w:top w:val="nil"/>
              <w:left w:val="nil"/>
              <w:bottom w:val="nil"/>
              <w:right w:val="nil"/>
            </w:tcBorders>
            <w:shd w:val="clear" w:color="auto" w:fill="auto"/>
            <w:noWrap/>
            <w:vAlign w:val="bottom"/>
          </w:tcPr>
          <w:p w14:paraId="545F2CC2" w14:textId="0B25D32D" w:rsidR="00EF423E" w:rsidRPr="00A33116" w:rsidRDefault="00EF423E" w:rsidP="00EF423E">
            <w:pPr>
              <w:spacing w:after="0" w:line="240" w:lineRule="auto"/>
              <w:jc w:val="right"/>
              <w:rPr>
                <w:rFonts w:eastAsia="Times New Roman" w:cs="Calibri"/>
                <w:color w:val="000000"/>
                <w:sz w:val="20"/>
                <w:szCs w:val="20"/>
              </w:rPr>
            </w:pPr>
            <w:r w:rsidRPr="008971A6">
              <w:rPr>
                <w:rFonts w:eastAsia="Times New Roman" w:cstheme="minorHAnsi"/>
                <w:color w:val="000000"/>
                <w:sz w:val="20"/>
                <w:szCs w:val="20"/>
              </w:rPr>
              <w:t>71</w:t>
            </w:r>
            <w:r w:rsidR="00795537">
              <w:rPr>
                <w:rFonts w:eastAsia="Times New Roman" w:cstheme="minorHAnsi"/>
                <w:color w:val="000000"/>
                <w:sz w:val="20"/>
                <w:szCs w:val="20"/>
              </w:rPr>
              <w:t>·</w:t>
            </w:r>
            <w:r w:rsidRPr="008971A6">
              <w:rPr>
                <w:rFonts w:eastAsia="Times New Roman" w:cstheme="minorHAnsi"/>
                <w:color w:val="000000"/>
                <w:sz w:val="20"/>
                <w:szCs w:val="20"/>
              </w:rPr>
              <w:t>8 (21</w:t>
            </w:r>
            <w:r w:rsidR="00795537">
              <w:rPr>
                <w:rFonts w:eastAsia="Times New Roman" w:cstheme="minorHAnsi"/>
                <w:color w:val="000000"/>
                <w:sz w:val="20"/>
                <w:szCs w:val="20"/>
              </w:rPr>
              <w:t>·</w:t>
            </w:r>
            <w:r w:rsidRPr="008971A6">
              <w:rPr>
                <w:rFonts w:eastAsia="Times New Roman" w:cstheme="minorHAnsi"/>
                <w:color w:val="000000"/>
                <w:sz w:val="20"/>
                <w:szCs w:val="20"/>
              </w:rPr>
              <w:t>4)</w:t>
            </w:r>
          </w:p>
        </w:tc>
      </w:tr>
      <w:tr w:rsidR="00EF423E" w:rsidRPr="00266036" w14:paraId="492CD122" w14:textId="77777777" w:rsidTr="00CE4566">
        <w:trPr>
          <w:trHeight w:val="262"/>
        </w:trPr>
        <w:tc>
          <w:tcPr>
            <w:tcW w:w="2970" w:type="dxa"/>
            <w:tcBorders>
              <w:left w:val="nil"/>
              <w:right w:val="single" w:sz="4" w:space="0" w:color="auto"/>
            </w:tcBorders>
            <w:vAlign w:val="center"/>
          </w:tcPr>
          <w:p w14:paraId="0965F388" w14:textId="43C69C59" w:rsidR="00EF423E" w:rsidRPr="00266036" w:rsidRDefault="00EF423E" w:rsidP="00EF423E">
            <w:pPr>
              <w:spacing w:after="0" w:line="240" w:lineRule="auto"/>
              <w:rPr>
                <w:rFonts w:ascii="Calibri" w:eastAsia="Times New Roman" w:hAnsi="Calibri" w:cs="Calibri"/>
                <w:b/>
                <w:bCs/>
                <w:color w:val="000000"/>
                <w:sz w:val="20"/>
                <w:szCs w:val="20"/>
                <w:lang w:val="en-GB"/>
              </w:rPr>
            </w:pPr>
          </w:p>
        </w:tc>
        <w:tc>
          <w:tcPr>
            <w:tcW w:w="4950" w:type="dxa"/>
            <w:tcBorders>
              <w:top w:val="nil"/>
              <w:left w:val="single" w:sz="4" w:space="0" w:color="auto"/>
              <w:bottom w:val="nil"/>
              <w:right w:val="nil"/>
            </w:tcBorders>
            <w:shd w:val="clear" w:color="auto" w:fill="auto"/>
            <w:noWrap/>
            <w:vAlign w:val="center"/>
          </w:tcPr>
          <w:p w14:paraId="273C5D62" w14:textId="291CC913" w:rsidR="00EF423E" w:rsidRPr="00266036" w:rsidRDefault="00EF423E" w:rsidP="00EF423E">
            <w:pPr>
              <w:pStyle w:val="NoSpacing"/>
              <w:rPr>
                <w:sz w:val="20"/>
                <w:szCs w:val="20"/>
                <w:lang w:val="en-GB"/>
              </w:rPr>
            </w:pPr>
            <w:r w:rsidRPr="00987FEF">
              <w:rPr>
                <w:rFonts w:ascii="Calibri" w:eastAsia="Times New Roman" w:hAnsi="Calibri" w:cs="Calibri"/>
                <w:color w:val="000000"/>
                <w:sz w:val="20"/>
                <w:szCs w:val="20"/>
              </w:rPr>
              <w:t>% Black</w:t>
            </w:r>
          </w:p>
        </w:tc>
        <w:tc>
          <w:tcPr>
            <w:tcW w:w="1732" w:type="dxa"/>
            <w:tcBorders>
              <w:top w:val="nil"/>
              <w:left w:val="nil"/>
              <w:bottom w:val="nil"/>
              <w:right w:val="nil"/>
            </w:tcBorders>
            <w:shd w:val="clear" w:color="auto" w:fill="auto"/>
            <w:noWrap/>
            <w:vAlign w:val="bottom"/>
          </w:tcPr>
          <w:p w14:paraId="51D73C30" w14:textId="50B7E4D4" w:rsidR="00EF423E" w:rsidRPr="00A33116" w:rsidRDefault="00EF423E" w:rsidP="00EF423E">
            <w:pPr>
              <w:spacing w:after="0" w:line="240" w:lineRule="auto"/>
              <w:jc w:val="right"/>
              <w:rPr>
                <w:rFonts w:eastAsia="Times New Roman" w:cs="Calibri"/>
                <w:color w:val="000000"/>
                <w:sz w:val="20"/>
                <w:szCs w:val="20"/>
              </w:rPr>
            </w:pPr>
            <w:r w:rsidRPr="008971A6">
              <w:rPr>
                <w:rFonts w:eastAsia="Times New Roman" w:cstheme="minorHAnsi"/>
                <w:color w:val="000000"/>
                <w:sz w:val="20"/>
                <w:szCs w:val="20"/>
              </w:rPr>
              <w:t>3</w:t>
            </w:r>
            <w:r w:rsidR="00795537">
              <w:rPr>
                <w:rFonts w:eastAsia="Times New Roman" w:cstheme="minorHAnsi"/>
                <w:color w:val="000000"/>
                <w:sz w:val="20"/>
                <w:szCs w:val="20"/>
              </w:rPr>
              <w:t>·</w:t>
            </w:r>
            <w:r w:rsidRPr="008971A6">
              <w:rPr>
                <w:rFonts w:eastAsia="Times New Roman" w:cstheme="minorHAnsi"/>
                <w:color w:val="000000"/>
                <w:sz w:val="20"/>
                <w:szCs w:val="20"/>
              </w:rPr>
              <w:t>7 (13</w:t>
            </w:r>
            <w:r w:rsidR="00795537">
              <w:rPr>
                <w:rFonts w:eastAsia="Times New Roman" w:cstheme="minorHAnsi"/>
                <w:color w:val="000000"/>
                <w:sz w:val="20"/>
                <w:szCs w:val="20"/>
              </w:rPr>
              <w:t>·</w:t>
            </w:r>
            <w:r w:rsidRPr="008971A6">
              <w:rPr>
                <w:rFonts w:eastAsia="Times New Roman" w:cstheme="minorHAnsi"/>
                <w:color w:val="000000"/>
                <w:sz w:val="20"/>
                <w:szCs w:val="20"/>
              </w:rPr>
              <w:t>5)</w:t>
            </w:r>
          </w:p>
        </w:tc>
      </w:tr>
      <w:tr w:rsidR="00EF423E" w:rsidRPr="00266036" w14:paraId="7D68A467" w14:textId="77777777" w:rsidTr="00CE4566">
        <w:trPr>
          <w:trHeight w:val="262"/>
        </w:trPr>
        <w:tc>
          <w:tcPr>
            <w:tcW w:w="2970" w:type="dxa"/>
            <w:tcBorders>
              <w:left w:val="nil"/>
              <w:right w:val="single" w:sz="4" w:space="0" w:color="auto"/>
            </w:tcBorders>
            <w:vAlign w:val="center"/>
          </w:tcPr>
          <w:p w14:paraId="575FDB12" w14:textId="3568EB9B" w:rsidR="00EF423E" w:rsidRPr="00266036" w:rsidRDefault="00EF423E" w:rsidP="00EF423E">
            <w:pPr>
              <w:spacing w:after="0" w:line="240" w:lineRule="auto"/>
              <w:rPr>
                <w:rFonts w:ascii="Calibri" w:eastAsia="Times New Roman" w:hAnsi="Calibri" w:cs="Calibri"/>
                <w:b/>
                <w:bCs/>
                <w:color w:val="000000"/>
                <w:sz w:val="20"/>
                <w:szCs w:val="20"/>
                <w:lang w:val="en-GB"/>
              </w:rPr>
            </w:pPr>
          </w:p>
        </w:tc>
        <w:tc>
          <w:tcPr>
            <w:tcW w:w="4950" w:type="dxa"/>
            <w:tcBorders>
              <w:top w:val="nil"/>
              <w:left w:val="single" w:sz="4" w:space="0" w:color="auto"/>
              <w:bottom w:val="nil"/>
              <w:right w:val="nil"/>
            </w:tcBorders>
            <w:shd w:val="clear" w:color="auto" w:fill="auto"/>
            <w:noWrap/>
            <w:vAlign w:val="center"/>
          </w:tcPr>
          <w:p w14:paraId="13641397" w14:textId="3F20358C" w:rsidR="00EF423E" w:rsidRPr="00266036" w:rsidRDefault="00EF423E" w:rsidP="00EF423E">
            <w:pPr>
              <w:pStyle w:val="NoSpacing"/>
              <w:rPr>
                <w:sz w:val="20"/>
                <w:szCs w:val="20"/>
                <w:lang w:val="en-GB"/>
              </w:rPr>
            </w:pPr>
            <w:r w:rsidRPr="00987FEF">
              <w:rPr>
                <w:rFonts w:ascii="Calibri" w:eastAsia="Times New Roman" w:hAnsi="Calibri" w:cs="Calibri"/>
                <w:color w:val="000000"/>
                <w:sz w:val="20"/>
                <w:szCs w:val="20"/>
              </w:rPr>
              <w:t>% Hispanic</w:t>
            </w:r>
          </w:p>
        </w:tc>
        <w:tc>
          <w:tcPr>
            <w:tcW w:w="1732" w:type="dxa"/>
            <w:tcBorders>
              <w:top w:val="nil"/>
              <w:left w:val="nil"/>
              <w:bottom w:val="nil"/>
              <w:right w:val="nil"/>
            </w:tcBorders>
            <w:shd w:val="clear" w:color="auto" w:fill="auto"/>
            <w:noWrap/>
            <w:vAlign w:val="bottom"/>
          </w:tcPr>
          <w:p w14:paraId="0150375D" w14:textId="1F4439EB" w:rsidR="00EF423E" w:rsidRPr="00A33116" w:rsidRDefault="00EF423E" w:rsidP="00EF423E">
            <w:pPr>
              <w:spacing w:after="0" w:line="240" w:lineRule="auto"/>
              <w:jc w:val="right"/>
              <w:rPr>
                <w:rFonts w:eastAsia="Times New Roman" w:cs="Calibri"/>
                <w:color w:val="000000"/>
                <w:sz w:val="20"/>
                <w:szCs w:val="20"/>
              </w:rPr>
            </w:pPr>
            <w:r w:rsidRPr="008971A6">
              <w:rPr>
                <w:rFonts w:eastAsia="Times New Roman" w:cstheme="minorHAnsi"/>
                <w:color w:val="000000"/>
                <w:sz w:val="20"/>
                <w:szCs w:val="20"/>
              </w:rPr>
              <w:t>5</w:t>
            </w:r>
            <w:r w:rsidR="00795537">
              <w:rPr>
                <w:rFonts w:eastAsia="Times New Roman" w:cstheme="minorHAnsi"/>
                <w:color w:val="000000"/>
                <w:sz w:val="20"/>
                <w:szCs w:val="20"/>
              </w:rPr>
              <w:t>·</w:t>
            </w:r>
            <w:r>
              <w:rPr>
                <w:rFonts w:eastAsia="Times New Roman" w:cstheme="minorHAnsi"/>
                <w:color w:val="000000"/>
                <w:sz w:val="20"/>
                <w:szCs w:val="20"/>
              </w:rPr>
              <w:t>0</w:t>
            </w:r>
            <w:r w:rsidRPr="008971A6">
              <w:rPr>
                <w:rFonts w:eastAsia="Times New Roman" w:cstheme="minorHAnsi"/>
                <w:color w:val="000000"/>
                <w:sz w:val="20"/>
                <w:szCs w:val="20"/>
              </w:rPr>
              <w:t xml:space="preserve"> (14</w:t>
            </w:r>
            <w:r w:rsidR="00795537">
              <w:rPr>
                <w:rFonts w:eastAsia="Times New Roman" w:cstheme="minorHAnsi"/>
                <w:color w:val="000000"/>
                <w:sz w:val="20"/>
                <w:szCs w:val="20"/>
              </w:rPr>
              <w:t>·</w:t>
            </w:r>
            <w:r>
              <w:rPr>
                <w:rFonts w:eastAsia="Times New Roman" w:cstheme="minorHAnsi"/>
                <w:color w:val="000000"/>
                <w:sz w:val="20"/>
                <w:szCs w:val="20"/>
              </w:rPr>
              <w:t>0</w:t>
            </w:r>
            <w:r w:rsidRPr="008971A6">
              <w:rPr>
                <w:rFonts w:eastAsia="Times New Roman" w:cstheme="minorHAnsi"/>
                <w:color w:val="000000"/>
                <w:sz w:val="20"/>
                <w:szCs w:val="20"/>
              </w:rPr>
              <w:t>)</w:t>
            </w:r>
          </w:p>
        </w:tc>
      </w:tr>
      <w:tr w:rsidR="00EF423E" w:rsidRPr="00266036" w14:paraId="0CE707C6" w14:textId="77777777" w:rsidTr="00CE4566">
        <w:trPr>
          <w:trHeight w:val="262"/>
        </w:trPr>
        <w:tc>
          <w:tcPr>
            <w:tcW w:w="2970" w:type="dxa"/>
            <w:tcBorders>
              <w:left w:val="nil"/>
              <w:right w:val="single" w:sz="4" w:space="0" w:color="auto"/>
            </w:tcBorders>
            <w:vAlign w:val="center"/>
          </w:tcPr>
          <w:p w14:paraId="0CA35A97" w14:textId="29BC5406" w:rsidR="00EF423E" w:rsidRPr="00266036" w:rsidRDefault="00EF423E" w:rsidP="00EF423E">
            <w:pPr>
              <w:spacing w:after="0" w:line="240" w:lineRule="auto"/>
              <w:rPr>
                <w:rFonts w:ascii="Calibri" w:eastAsia="Times New Roman" w:hAnsi="Calibri" w:cs="Calibri"/>
                <w:b/>
                <w:bCs/>
                <w:color w:val="000000"/>
                <w:sz w:val="20"/>
                <w:szCs w:val="20"/>
                <w:lang w:val="en-GB"/>
              </w:rPr>
            </w:pPr>
            <w:r>
              <w:rPr>
                <w:rFonts w:ascii="Calibri" w:eastAsia="Times New Roman" w:hAnsi="Calibri" w:cs="Calibri"/>
                <w:b/>
                <w:bCs/>
                <w:color w:val="000000"/>
                <w:sz w:val="20"/>
                <w:szCs w:val="20"/>
              </w:rPr>
              <w:t>BRFSS covariate</w:t>
            </w:r>
          </w:p>
        </w:tc>
        <w:tc>
          <w:tcPr>
            <w:tcW w:w="4950" w:type="dxa"/>
            <w:tcBorders>
              <w:top w:val="nil"/>
              <w:left w:val="single" w:sz="4" w:space="0" w:color="auto"/>
              <w:bottom w:val="nil"/>
              <w:right w:val="nil"/>
            </w:tcBorders>
            <w:shd w:val="clear" w:color="auto" w:fill="auto"/>
            <w:noWrap/>
            <w:vAlign w:val="bottom"/>
          </w:tcPr>
          <w:p w14:paraId="71D70847" w14:textId="5135D0B4" w:rsidR="00EF423E" w:rsidRPr="00266036" w:rsidRDefault="00EF423E" w:rsidP="00EF423E">
            <w:pPr>
              <w:pStyle w:val="NoSpacing"/>
              <w:rPr>
                <w:sz w:val="20"/>
                <w:szCs w:val="20"/>
                <w:lang w:val="en-GB"/>
              </w:rPr>
            </w:pPr>
            <w:r w:rsidRPr="00987FEF">
              <w:rPr>
                <w:rFonts w:ascii="Calibri" w:eastAsia="Times New Roman" w:hAnsi="Calibri" w:cs="Calibri"/>
                <w:color w:val="000000"/>
                <w:sz w:val="20"/>
                <w:szCs w:val="20"/>
              </w:rPr>
              <w:t>% ever smoked</w:t>
            </w:r>
          </w:p>
        </w:tc>
        <w:tc>
          <w:tcPr>
            <w:tcW w:w="1732" w:type="dxa"/>
            <w:tcBorders>
              <w:top w:val="nil"/>
              <w:left w:val="nil"/>
              <w:bottom w:val="nil"/>
              <w:right w:val="nil"/>
            </w:tcBorders>
            <w:shd w:val="clear" w:color="auto" w:fill="auto"/>
            <w:noWrap/>
            <w:vAlign w:val="bottom"/>
          </w:tcPr>
          <w:p w14:paraId="61657930" w14:textId="2D579B8A" w:rsidR="00EF423E" w:rsidRPr="00A33116" w:rsidRDefault="00EF423E" w:rsidP="00EF423E">
            <w:pPr>
              <w:spacing w:after="0" w:line="240" w:lineRule="auto"/>
              <w:jc w:val="right"/>
              <w:rPr>
                <w:rFonts w:eastAsia="Times New Roman" w:cs="Calibri"/>
                <w:color w:val="000000"/>
                <w:sz w:val="20"/>
                <w:szCs w:val="20"/>
              </w:rPr>
            </w:pPr>
            <w:r w:rsidRPr="008971A6">
              <w:rPr>
                <w:rFonts w:eastAsia="Times New Roman" w:cstheme="minorHAnsi"/>
                <w:color w:val="000000"/>
                <w:sz w:val="20"/>
                <w:szCs w:val="20"/>
              </w:rPr>
              <w:t>46</w:t>
            </w:r>
            <w:r w:rsidR="00795537">
              <w:rPr>
                <w:rFonts w:eastAsia="Times New Roman" w:cstheme="minorHAnsi"/>
                <w:color w:val="000000"/>
                <w:sz w:val="20"/>
                <w:szCs w:val="20"/>
              </w:rPr>
              <w:t>·</w:t>
            </w:r>
            <w:r w:rsidRPr="008971A6">
              <w:rPr>
                <w:rFonts w:eastAsia="Times New Roman" w:cstheme="minorHAnsi"/>
                <w:color w:val="000000"/>
                <w:sz w:val="20"/>
                <w:szCs w:val="20"/>
              </w:rPr>
              <w:t>2 (9</w:t>
            </w:r>
            <w:r w:rsidR="00795537">
              <w:rPr>
                <w:rFonts w:eastAsia="Times New Roman" w:cstheme="minorHAnsi"/>
                <w:color w:val="000000"/>
                <w:sz w:val="20"/>
                <w:szCs w:val="20"/>
              </w:rPr>
              <w:t>·</w:t>
            </w:r>
            <w:r w:rsidRPr="008971A6">
              <w:rPr>
                <w:rFonts w:eastAsia="Times New Roman" w:cstheme="minorHAnsi"/>
                <w:color w:val="000000"/>
                <w:sz w:val="20"/>
                <w:szCs w:val="20"/>
              </w:rPr>
              <w:t>1)</w:t>
            </w:r>
          </w:p>
        </w:tc>
      </w:tr>
      <w:tr w:rsidR="00EF423E" w:rsidRPr="00266036" w14:paraId="07FC8932" w14:textId="77777777" w:rsidTr="00CE4566">
        <w:trPr>
          <w:trHeight w:val="262"/>
        </w:trPr>
        <w:tc>
          <w:tcPr>
            <w:tcW w:w="2970" w:type="dxa"/>
            <w:tcBorders>
              <w:left w:val="nil"/>
              <w:right w:val="single" w:sz="4" w:space="0" w:color="auto"/>
            </w:tcBorders>
            <w:vAlign w:val="center"/>
          </w:tcPr>
          <w:p w14:paraId="1B06B256" w14:textId="71744B20" w:rsidR="00EF423E" w:rsidRPr="00266036" w:rsidRDefault="00EF423E" w:rsidP="00EF423E">
            <w:pPr>
              <w:spacing w:after="0" w:line="240" w:lineRule="auto"/>
              <w:rPr>
                <w:rFonts w:ascii="Calibri" w:eastAsia="Times New Roman" w:hAnsi="Calibri" w:cs="Calibri"/>
                <w:b/>
                <w:bCs/>
                <w:color w:val="000000"/>
                <w:sz w:val="20"/>
                <w:szCs w:val="20"/>
                <w:lang w:val="en-GB"/>
              </w:rPr>
            </w:pPr>
            <w:r w:rsidRPr="00202315">
              <w:rPr>
                <w:rFonts w:ascii="Calibri" w:eastAsia="Times New Roman" w:hAnsi="Calibri" w:cs="Calibri"/>
                <w:b/>
                <w:bCs/>
                <w:color w:val="000000"/>
                <w:sz w:val="20"/>
                <w:szCs w:val="20"/>
              </w:rPr>
              <w:t>Other environmental exposures</w:t>
            </w:r>
          </w:p>
        </w:tc>
        <w:tc>
          <w:tcPr>
            <w:tcW w:w="4950" w:type="dxa"/>
            <w:tcBorders>
              <w:top w:val="nil"/>
              <w:left w:val="single" w:sz="4" w:space="0" w:color="auto"/>
              <w:bottom w:val="nil"/>
              <w:right w:val="nil"/>
            </w:tcBorders>
            <w:shd w:val="clear" w:color="auto" w:fill="auto"/>
            <w:noWrap/>
            <w:vAlign w:val="center"/>
          </w:tcPr>
          <w:p w14:paraId="6AF45998" w14:textId="2A438D09" w:rsidR="00EF423E" w:rsidRPr="00266036" w:rsidRDefault="00EF423E" w:rsidP="00EF423E">
            <w:pPr>
              <w:pStyle w:val="NoSpacing"/>
              <w:rPr>
                <w:sz w:val="20"/>
                <w:szCs w:val="20"/>
                <w:lang w:val="en-GB"/>
              </w:rPr>
            </w:pPr>
            <w:r>
              <w:rPr>
                <w:rFonts w:ascii="Calibri" w:eastAsia="Times New Roman" w:hAnsi="Calibri" w:cs="Calibri"/>
                <w:color w:val="000000"/>
                <w:sz w:val="20"/>
                <w:szCs w:val="20"/>
              </w:rPr>
              <w:t xml:space="preserve">summer temperature </w:t>
            </w:r>
            <w:r w:rsidRPr="00987FEF">
              <w:rPr>
                <w:rFonts w:ascii="Calibri" w:eastAsia="Times New Roman" w:hAnsi="Calibri" w:cs="Calibri"/>
                <w:color w:val="000000"/>
                <w:sz w:val="20"/>
                <w:szCs w:val="20"/>
              </w:rPr>
              <w:t>(°C)</w:t>
            </w:r>
          </w:p>
        </w:tc>
        <w:tc>
          <w:tcPr>
            <w:tcW w:w="1732" w:type="dxa"/>
            <w:tcBorders>
              <w:top w:val="nil"/>
              <w:left w:val="nil"/>
              <w:bottom w:val="nil"/>
              <w:right w:val="nil"/>
            </w:tcBorders>
            <w:shd w:val="clear" w:color="auto" w:fill="auto"/>
            <w:noWrap/>
            <w:vAlign w:val="center"/>
          </w:tcPr>
          <w:p w14:paraId="3B1DF994" w14:textId="08A2EFFB" w:rsidR="00EF423E" w:rsidRPr="00A33116" w:rsidRDefault="00EF423E" w:rsidP="00EF423E">
            <w:pPr>
              <w:spacing w:after="0" w:line="240" w:lineRule="auto"/>
              <w:jc w:val="right"/>
              <w:rPr>
                <w:rFonts w:eastAsia="Times New Roman" w:cs="Calibri"/>
                <w:color w:val="000000"/>
                <w:sz w:val="20"/>
                <w:szCs w:val="20"/>
              </w:rPr>
            </w:pPr>
            <w:r w:rsidRPr="008971A6">
              <w:rPr>
                <w:rFonts w:eastAsia="Times New Roman" w:cstheme="minorHAnsi"/>
                <w:color w:val="000000"/>
                <w:sz w:val="20"/>
                <w:szCs w:val="20"/>
              </w:rPr>
              <w:t>29</w:t>
            </w:r>
            <w:r w:rsidR="00795537">
              <w:rPr>
                <w:rFonts w:eastAsia="Times New Roman" w:cstheme="minorHAnsi"/>
                <w:color w:val="000000"/>
                <w:sz w:val="20"/>
                <w:szCs w:val="20"/>
              </w:rPr>
              <w:t>·</w:t>
            </w:r>
            <w:r w:rsidRPr="008971A6">
              <w:rPr>
                <w:rFonts w:eastAsia="Times New Roman" w:cstheme="minorHAnsi"/>
                <w:color w:val="000000"/>
                <w:sz w:val="20"/>
                <w:szCs w:val="20"/>
              </w:rPr>
              <w:t>9 (5</w:t>
            </w:r>
            <w:r w:rsidR="00795537">
              <w:rPr>
                <w:rFonts w:eastAsia="Times New Roman" w:cstheme="minorHAnsi"/>
                <w:color w:val="000000"/>
                <w:sz w:val="20"/>
                <w:szCs w:val="20"/>
              </w:rPr>
              <w:t>·</w:t>
            </w:r>
            <w:r w:rsidRPr="008971A6">
              <w:rPr>
                <w:rFonts w:eastAsia="Times New Roman" w:cstheme="minorHAnsi"/>
                <w:color w:val="000000"/>
                <w:sz w:val="20"/>
                <w:szCs w:val="20"/>
              </w:rPr>
              <w:t>2)</w:t>
            </w:r>
          </w:p>
        </w:tc>
      </w:tr>
      <w:tr w:rsidR="00EF423E" w:rsidRPr="00266036" w14:paraId="6F71390F" w14:textId="77777777" w:rsidTr="00CE4566">
        <w:trPr>
          <w:trHeight w:val="262"/>
        </w:trPr>
        <w:tc>
          <w:tcPr>
            <w:tcW w:w="2970" w:type="dxa"/>
            <w:tcBorders>
              <w:left w:val="nil"/>
              <w:right w:val="single" w:sz="4" w:space="0" w:color="auto"/>
            </w:tcBorders>
            <w:vAlign w:val="center"/>
          </w:tcPr>
          <w:p w14:paraId="015A83B9" w14:textId="2CD7000C" w:rsidR="00EF423E" w:rsidRPr="00250DD4" w:rsidRDefault="00EF423E" w:rsidP="00EF423E">
            <w:pPr>
              <w:spacing w:after="0" w:line="240" w:lineRule="auto"/>
              <w:rPr>
                <w:rFonts w:ascii="Calibri" w:eastAsia="Times New Roman" w:hAnsi="Calibri" w:cs="Calibri"/>
                <w:color w:val="000000"/>
                <w:sz w:val="20"/>
                <w:szCs w:val="20"/>
              </w:rPr>
            </w:pPr>
          </w:p>
        </w:tc>
        <w:tc>
          <w:tcPr>
            <w:tcW w:w="4950" w:type="dxa"/>
            <w:tcBorders>
              <w:top w:val="nil"/>
              <w:left w:val="single" w:sz="4" w:space="0" w:color="auto"/>
              <w:bottom w:val="nil"/>
              <w:right w:val="nil"/>
            </w:tcBorders>
            <w:shd w:val="clear" w:color="auto" w:fill="auto"/>
            <w:noWrap/>
            <w:vAlign w:val="center"/>
          </w:tcPr>
          <w:p w14:paraId="087C0B08" w14:textId="4BC601A7" w:rsidR="00EF423E" w:rsidRPr="00266036" w:rsidRDefault="00EF423E" w:rsidP="00EF423E">
            <w:pPr>
              <w:pStyle w:val="NoSpacing"/>
              <w:rPr>
                <w:sz w:val="20"/>
                <w:szCs w:val="20"/>
                <w:lang w:val="en-GB"/>
              </w:rPr>
            </w:pPr>
            <w:r>
              <w:rPr>
                <w:rFonts w:ascii="Calibri" w:eastAsia="Times New Roman" w:hAnsi="Calibri" w:cs="Calibri"/>
                <w:color w:val="000000"/>
                <w:sz w:val="20"/>
                <w:szCs w:val="20"/>
              </w:rPr>
              <w:t xml:space="preserve">summer specific humidity </w:t>
            </w:r>
            <w:r w:rsidRPr="00987FEF">
              <w:rPr>
                <w:rFonts w:ascii="Calibri" w:eastAsia="Times New Roman" w:hAnsi="Calibri" w:cs="Calibri"/>
                <w:color w:val="000000"/>
                <w:sz w:val="20"/>
                <w:szCs w:val="20"/>
              </w:rPr>
              <w:t>(</w:t>
            </w:r>
            <w:r w:rsidRPr="00987FEF">
              <w:rPr>
                <w:sz w:val="20"/>
                <w:szCs w:val="20"/>
              </w:rPr>
              <w:t>g of water vapor / kg of dry air)</w:t>
            </w:r>
          </w:p>
        </w:tc>
        <w:tc>
          <w:tcPr>
            <w:tcW w:w="1732" w:type="dxa"/>
            <w:tcBorders>
              <w:top w:val="nil"/>
              <w:left w:val="nil"/>
              <w:bottom w:val="nil"/>
              <w:right w:val="nil"/>
            </w:tcBorders>
            <w:shd w:val="clear" w:color="auto" w:fill="auto"/>
            <w:noWrap/>
            <w:vAlign w:val="bottom"/>
          </w:tcPr>
          <w:p w14:paraId="19BFD593" w14:textId="611C52DA" w:rsidR="00EF423E" w:rsidRPr="00A33116" w:rsidRDefault="00EF423E" w:rsidP="00EF423E">
            <w:pPr>
              <w:spacing w:after="0" w:line="240" w:lineRule="auto"/>
              <w:jc w:val="right"/>
              <w:rPr>
                <w:rFonts w:eastAsia="Times New Roman" w:cs="Calibri"/>
                <w:color w:val="000000"/>
                <w:sz w:val="20"/>
                <w:szCs w:val="20"/>
              </w:rPr>
            </w:pPr>
            <w:r w:rsidRPr="008971A6">
              <w:rPr>
                <w:rFonts w:eastAsia="Times New Roman" w:cstheme="minorHAnsi"/>
                <w:color w:val="000000"/>
                <w:sz w:val="20"/>
                <w:szCs w:val="20"/>
              </w:rPr>
              <w:t>12</w:t>
            </w:r>
            <w:r w:rsidR="00795537">
              <w:rPr>
                <w:rFonts w:eastAsia="Times New Roman" w:cstheme="minorHAnsi"/>
                <w:color w:val="000000"/>
                <w:sz w:val="20"/>
                <w:szCs w:val="20"/>
              </w:rPr>
              <w:t>·</w:t>
            </w:r>
            <w:r>
              <w:rPr>
                <w:rFonts w:eastAsia="Times New Roman" w:cstheme="minorHAnsi"/>
                <w:color w:val="000000"/>
                <w:sz w:val="20"/>
                <w:szCs w:val="20"/>
              </w:rPr>
              <w:t>0</w:t>
            </w:r>
            <w:r w:rsidRPr="008971A6">
              <w:rPr>
                <w:rFonts w:eastAsia="Times New Roman" w:cstheme="minorHAnsi"/>
                <w:color w:val="000000"/>
                <w:sz w:val="20"/>
                <w:szCs w:val="20"/>
              </w:rPr>
              <w:t xml:space="preserve"> (4</w:t>
            </w:r>
            <w:r w:rsidR="00795537">
              <w:rPr>
                <w:rFonts w:eastAsia="Times New Roman" w:cstheme="minorHAnsi"/>
                <w:color w:val="000000"/>
                <w:sz w:val="20"/>
                <w:szCs w:val="20"/>
              </w:rPr>
              <w:t>·</w:t>
            </w:r>
            <w:r>
              <w:rPr>
                <w:rFonts w:eastAsia="Times New Roman" w:cstheme="minorHAnsi"/>
                <w:color w:val="000000"/>
                <w:sz w:val="20"/>
                <w:szCs w:val="20"/>
              </w:rPr>
              <w:t>0</w:t>
            </w:r>
            <w:r w:rsidRPr="008971A6">
              <w:rPr>
                <w:rFonts w:eastAsia="Times New Roman" w:cstheme="minorHAnsi"/>
                <w:color w:val="000000"/>
                <w:sz w:val="20"/>
                <w:szCs w:val="20"/>
              </w:rPr>
              <w:t>)</w:t>
            </w:r>
          </w:p>
        </w:tc>
      </w:tr>
      <w:tr w:rsidR="00EF423E" w:rsidRPr="00266036" w14:paraId="6F5E7B8E" w14:textId="77777777" w:rsidTr="00CE4566">
        <w:trPr>
          <w:trHeight w:val="187"/>
        </w:trPr>
        <w:tc>
          <w:tcPr>
            <w:tcW w:w="2970" w:type="dxa"/>
            <w:tcBorders>
              <w:left w:val="nil"/>
              <w:right w:val="single" w:sz="4" w:space="0" w:color="auto"/>
            </w:tcBorders>
            <w:vAlign w:val="center"/>
          </w:tcPr>
          <w:p w14:paraId="65A6F609" w14:textId="4F2997A9" w:rsidR="00EF423E" w:rsidRPr="00202315" w:rsidRDefault="00EF423E" w:rsidP="00EF423E">
            <w:pPr>
              <w:spacing w:after="0" w:line="240" w:lineRule="auto"/>
              <w:rPr>
                <w:rFonts w:ascii="Calibri" w:eastAsia="Times New Roman" w:hAnsi="Calibri" w:cs="Calibri"/>
                <w:b/>
                <w:bCs/>
                <w:color w:val="000000"/>
                <w:sz w:val="20"/>
                <w:szCs w:val="20"/>
              </w:rPr>
            </w:pPr>
          </w:p>
        </w:tc>
        <w:tc>
          <w:tcPr>
            <w:tcW w:w="4950" w:type="dxa"/>
            <w:tcBorders>
              <w:top w:val="nil"/>
              <w:left w:val="single" w:sz="4" w:space="0" w:color="auto"/>
              <w:bottom w:val="nil"/>
              <w:right w:val="nil"/>
            </w:tcBorders>
            <w:shd w:val="clear" w:color="auto" w:fill="auto"/>
            <w:noWrap/>
            <w:vAlign w:val="center"/>
          </w:tcPr>
          <w:p w14:paraId="5139A9FC" w14:textId="062AD550" w:rsidR="00EF423E" w:rsidRPr="00266036" w:rsidRDefault="00EF423E" w:rsidP="00EF423E">
            <w:pPr>
              <w:pStyle w:val="NoSpacing"/>
              <w:rPr>
                <w:sz w:val="20"/>
                <w:szCs w:val="20"/>
                <w:lang w:val="en-GB"/>
              </w:rPr>
            </w:pPr>
            <w:r>
              <w:rPr>
                <w:rFonts w:ascii="Calibri" w:eastAsia="Times New Roman" w:hAnsi="Calibri" w:cs="Calibri"/>
                <w:color w:val="000000"/>
                <w:sz w:val="20"/>
                <w:szCs w:val="20"/>
              </w:rPr>
              <w:t>summer total precipitation (mm, daily total)</w:t>
            </w:r>
          </w:p>
        </w:tc>
        <w:tc>
          <w:tcPr>
            <w:tcW w:w="1732" w:type="dxa"/>
            <w:tcBorders>
              <w:top w:val="nil"/>
              <w:left w:val="nil"/>
              <w:bottom w:val="nil"/>
              <w:right w:val="nil"/>
            </w:tcBorders>
            <w:shd w:val="clear" w:color="auto" w:fill="auto"/>
            <w:noWrap/>
            <w:vAlign w:val="bottom"/>
          </w:tcPr>
          <w:p w14:paraId="2C3B05E9" w14:textId="7D05A1D0" w:rsidR="00EF423E" w:rsidRPr="00A33116" w:rsidRDefault="00EF423E" w:rsidP="00EF423E">
            <w:pPr>
              <w:spacing w:after="0" w:line="240" w:lineRule="auto"/>
              <w:jc w:val="right"/>
              <w:rPr>
                <w:rFonts w:eastAsia="Times New Roman" w:cs="Calibri"/>
                <w:color w:val="000000"/>
                <w:sz w:val="20"/>
                <w:szCs w:val="20"/>
              </w:rPr>
            </w:pPr>
            <w:r w:rsidRPr="008971A6">
              <w:rPr>
                <w:rFonts w:eastAsia="Times New Roman" w:cstheme="minorHAnsi"/>
                <w:color w:val="000000"/>
                <w:sz w:val="20"/>
                <w:szCs w:val="20"/>
              </w:rPr>
              <w:t>3</w:t>
            </w:r>
            <w:r w:rsidR="00795537">
              <w:rPr>
                <w:rFonts w:eastAsia="Times New Roman" w:cstheme="minorHAnsi"/>
                <w:color w:val="000000"/>
                <w:sz w:val="20"/>
                <w:szCs w:val="20"/>
              </w:rPr>
              <w:t>·</w:t>
            </w:r>
            <w:r w:rsidRPr="008971A6">
              <w:rPr>
                <w:rFonts w:eastAsia="Times New Roman" w:cstheme="minorHAnsi"/>
                <w:color w:val="000000"/>
                <w:sz w:val="20"/>
                <w:szCs w:val="20"/>
              </w:rPr>
              <w:t>1 (2</w:t>
            </w:r>
            <w:r w:rsidR="00795537">
              <w:rPr>
                <w:rFonts w:eastAsia="Times New Roman" w:cstheme="minorHAnsi"/>
                <w:color w:val="000000"/>
                <w:sz w:val="20"/>
                <w:szCs w:val="20"/>
              </w:rPr>
              <w:t>·</w:t>
            </w:r>
            <w:r w:rsidRPr="008971A6">
              <w:rPr>
                <w:rFonts w:eastAsia="Times New Roman" w:cstheme="minorHAnsi"/>
                <w:color w:val="000000"/>
                <w:sz w:val="20"/>
                <w:szCs w:val="20"/>
              </w:rPr>
              <w:t>3)</w:t>
            </w:r>
          </w:p>
        </w:tc>
      </w:tr>
      <w:tr w:rsidR="00EF423E" w:rsidRPr="00266036" w14:paraId="32CE2743" w14:textId="77777777" w:rsidTr="00CE4566">
        <w:trPr>
          <w:trHeight w:val="262"/>
        </w:trPr>
        <w:tc>
          <w:tcPr>
            <w:tcW w:w="2970" w:type="dxa"/>
            <w:tcBorders>
              <w:left w:val="nil"/>
              <w:right w:val="single" w:sz="4" w:space="0" w:color="auto"/>
            </w:tcBorders>
            <w:vAlign w:val="center"/>
          </w:tcPr>
          <w:p w14:paraId="16B6F478" w14:textId="09AC1D4B" w:rsidR="00EF423E" w:rsidRPr="00202315" w:rsidRDefault="00EF423E" w:rsidP="00EF423E">
            <w:pPr>
              <w:spacing w:after="0" w:line="240" w:lineRule="auto"/>
              <w:rPr>
                <w:rFonts w:ascii="Calibri" w:eastAsia="Times New Roman" w:hAnsi="Calibri" w:cs="Calibri"/>
                <w:b/>
                <w:bCs/>
                <w:color w:val="000000"/>
                <w:sz w:val="20"/>
                <w:szCs w:val="20"/>
              </w:rPr>
            </w:pPr>
          </w:p>
        </w:tc>
        <w:tc>
          <w:tcPr>
            <w:tcW w:w="4950" w:type="dxa"/>
            <w:tcBorders>
              <w:top w:val="nil"/>
              <w:left w:val="single" w:sz="4" w:space="0" w:color="auto"/>
              <w:bottom w:val="nil"/>
              <w:right w:val="nil"/>
            </w:tcBorders>
            <w:shd w:val="clear" w:color="auto" w:fill="auto"/>
            <w:noWrap/>
            <w:vAlign w:val="center"/>
          </w:tcPr>
          <w:p w14:paraId="03CD5911" w14:textId="7EA2F23C" w:rsidR="00EF423E" w:rsidRPr="00266036" w:rsidRDefault="00EF423E" w:rsidP="00EF423E">
            <w:pPr>
              <w:pStyle w:val="NoSpacing"/>
              <w:rPr>
                <w:sz w:val="20"/>
                <w:szCs w:val="20"/>
                <w:lang w:val="en-GB"/>
              </w:rPr>
            </w:pPr>
            <w:r>
              <w:rPr>
                <w:rFonts w:ascii="Calibri" w:eastAsia="Times New Roman" w:hAnsi="Calibri" w:cs="Calibri"/>
                <w:color w:val="000000"/>
                <w:sz w:val="20"/>
                <w:szCs w:val="20"/>
              </w:rPr>
              <w:t>PM</w:t>
            </w:r>
            <w:r w:rsidRPr="001D1C60">
              <w:rPr>
                <w:rFonts w:ascii="Calibri" w:eastAsia="Times New Roman" w:hAnsi="Calibri" w:cs="Calibri"/>
                <w:color w:val="000000"/>
                <w:sz w:val="20"/>
                <w:szCs w:val="20"/>
                <w:vertAlign w:val="subscript"/>
              </w:rPr>
              <w:t>2.5</w:t>
            </w:r>
            <w:r>
              <w:rPr>
                <w:rFonts w:ascii="Calibri" w:eastAsia="Times New Roman" w:hAnsi="Calibri" w:cs="Calibri"/>
                <w:color w:val="000000"/>
                <w:sz w:val="20"/>
                <w:szCs w:val="20"/>
              </w:rPr>
              <w:t xml:space="preserve"> (µg/m</w:t>
            </w:r>
            <w:r w:rsidRPr="00250DD4">
              <w:rPr>
                <w:rFonts w:ascii="Calibri" w:eastAsia="Times New Roman" w:hAnsi="Calibri" w:cs="Calibri"/>
                <w:color w:val="000000"/>
                <w:sz w:val="20"/>
                <w:szCs w:val="20"/>
                <w:vertAlign w:val="superscript"/>
              </w:rPr>
              <w:t>3</w:t>
            </w:r>
            <w:r>
              <w:rPr>
                <w:rFonts w:ascii="Calibri" w:eastAsia="Times New Roman" w:hAnsi="Calibri" w:cs="Calibri"/>
                <w:color w:val="000000"/>
                <w:sz w:val="20"/>
                <w:szCs w:val="20"/>
              </w:rPr>
              <w:t>)</w:t>
            </w:r>
          </w:p>
        </w:tc>
        <w:tc>
          <w:tcPr>
            <w:tcW w:w="1732" w:type="dxa"/>
            <w:tcBorders>
              <w:top w:val="nil"/>
              <w:left w:val="nil"/>
              <w:bottom w:val="nil"/>
              <w:right w:val="nil"/>
            </w:tcBorders>
            <w:shd w:val="clear" w:color="auto" w:fill="auto"/>
            <w:noWrap/>
            <w:vAlign w:val="bottom"/>
          </w:tcPr>
          <w:p w14:paraId="77DEA0DD" w14:textId="62CA41DD" w:rsidR="00EF423E" w:rsidRPr="00A33116" w:rsidRDefault="00EF423E" w:rsidP="00EF423E">
            <w:pPr>
              <w:spacing w:after="0" w:line="240" w:lineRule="auto"/>
              <w:jc w:val="right"/>
              <w:rPr>
                <w:rFonts w:eastAsia="Times New Roman" w:cs="Calibri"/>
                <w:color w:val="000000"/>
                <w:sz w:val="20"/>
                <w:szCs w:val="20"/>
              </w:rPr>
            </w:pPr>
            <w:r>
              <w:rPr>
                <w:rFonts w:eastAsia="Times New Roman" w:cstheme="minorHAnsi"/>
                <w:color w:val="000000"/>
                <w:sz w:val="20"/>
                <w:szCs w:val="20"/>
              </w:rPr>
              <w:t>9</w:t>
            </w:r>
            <w:r w:rsidR="00795537">
              <w:rPr>
                <w:rFonts w:eastAsia="Times New Roman" w:cstheme="minorHAnsi"/>
                <w:color w:val="000000"/>
                <w:sz w:val="20"/>
                <w:szCs w:val="20"/>
              </w:rPr>
              <w:t>·</w:t>
            </w:r>
            <w:r>
              <w:rPr>
                <w:rFonts w:eastAsia="Times New Roman" w:cstheme="minorHAnsi"/>
                <w:color w:val="000000"/>
                <w:sz w:val="20"/>
                <w:szCs w:val="20"/>
              </w:rPr>
              <w:t>7 (4</w:t>
            </w:r>
            <w:r w:rsidR="00795537">
              <w:rPr>
                <w:rFonts w:eastAsia="Times New Roman" w:cstheme="minorHAnsi"/>
                <w:color w:val="000000"/>
                <w:sz w:val="20"/>
                <w:szCs w:val="20"/>
              </w:rPr>
              <w:t>·</w:t>
            </w:r>
            <w:r>
              <w:rPr>
                <w:rFonts w:eastAsia="Times New Roman" w:cstheme="minorHAnsi"/>
                <w:color w:val="000000"/>
                <w:sz w:val="20"/>
                <w:szCs w:val="20"/>
              </w:rPr>
              <w:t>0)</w:t>
            </w:r>
          </w:p>
        </w:tc>
      </w:tr>
      <w:tr w:rsidR="00EF423E" w:rsidRPr="00266036" w14:paraId="58812190" w14:textId="77777777" w:rsidTr="00CE4566">
        <w:trPr>
          <w:trHeight w:val="262"/>
        </w:trPr>
        <w:tc>
          <w:tcPr>
            <w:tcW w:w="2970" w:type="dxa"/>
            <w:tcBorders>
              <w:left w:val="nil"/>
              <w:right w:val="single" w:sz="4" w:space="0" w:color="auto"/>
            </w:tcBorders>
            <w:vAlign w:val="center"/>
          </w:tcPr>
          <w:p w14:paraId="29C4FB40" w14:textId="2AEC7321" w:rsidR="00EF423E" w:rsidRPr="00202315" w:rsidRDefault="00EF423E" w:rsidP="00EF423E">
            <w:pPr>
              <w:spacing w:after="0" w:line="240" w:lineRule="auto"/>
              <w:rPr>
                <w:rFonts w:ascii="Calibri" w:eastAsia="Times New Roman" w:hAnsi="Calibri" w:cs="Calibri"/>
                <w:b/>
                <w:bCs/>
                <w:color w:val="000000"/>
                <w:sz w:val="20"/>
                <w:szCs w:val="20"/>
              </w:rPr>
            </w:pPr>
          </w:p>
        </w:tc>
        <w:tc>
          <w:tcPr>
            <w:tcW w:w="4950" w:type="dxa"/>
            <w:tcBorders>
              <w:top w:val="nil"/>
              <w:left w:val="single" w:sz="4" w:space="0" w:color="auto"/>
              <w:bottom w:val="nil"/>
              <w:right w:val="nil"/>
            </w:tcBorders>
            <w:shd w:val="clear" w:color="auto" w:fill="auto"/>
            <w:noWrap/>
            <w:vAlign w:val="center"/>
          </w:tcPr>
          <w:p w14:paraId="04E78BCA" w14:textId="7B783ADA" w:rsidR="00EF423E" w:rsidRPr="00266036" w:rsidRDefault="00EF423E" w:rsidP="00EF423E">
            <w:pPr>
              <w:pStyle w:val="NoSpacing"/>
              <w:rPr>
                <w:sz w:val="20"/>
                <w:szCs w:val="20"/>
                <w:lang w:val="en-GB"/>
              </w:rPr>
            </w:pPr>
            <w:r>
              <w:rPr>
                <w:rFonts w:ascii="Calibri" w:eastAsia="Times New Roman" w:hAnsi="Calibri" w:cs="Calibri"/>
                <w:color w:val="000000"/>
                <w:sz w:val="20"/>
                <w:szCs w:val="20"/>
              </w:rPr>
              <w:t>NO</w:t>
            </w:r>
            <w:r w:rsidRPr="001D1C60">
              <w:rPr>
                <w:rFonts w:ascii="Calibri" w:eastAsia="Times New Roman" w:hAnsi="Calibri" w:cs="Calibri"/>
                <w:color w:val="000000"/>
                <w:sz w:val="20"/>
                <w:szCs w:val="20"/>
                <w:vertAlign w:val="subscript"/>
              </w:rPr>
              <w:t>2</w:t>
            </w:r>
            <w:r>
              <w:rPr>
                <w:rFonts w:ascii="Calibri" w:eastAsia="Times New Roman" w:hAnsi="Calibri" w:cs="Calibri"/>
                <w:color w:val="000000"/>
                <w:sz w:val="20"/>
                <w:szCs w:val="20"/>
              </w:rPr>
              <w:t xml:space="preserve"> (ppb)</w:t>
            </w:r>
          </w:p>
        </w:tc>
        <w:tc>
          <w:tcPr>
            <w:tcW w:w="1732" w:type="dxa"/>
            <w:tcBorders>
              <w:top w:val="nil"/>
              <w:left w:val="nil"/>
              <w:bottom w:val="nil"/>
              <w:right w:val="nil"/>
            </w:tcBorders>
            <w:shd w:val="clear" w:color="auto" w:fill="auto"/>
            <w:noWrap/>
            <w:vAlign w:val="bottom"/>
          </w:tcPr>
          <w:p w14:paraId="41EA6713" w14:textId="64AAAAFE" w:rsidR="00EF423E" w:rsidRPr="00A33116" w:rsidRDefault="00EF423E" w:rsidP="00EF423E">
            <w:pPr>
              <w:spacing w:after="0" w:line="240" w:lineRule="auto"/>
              <w:jc w:val="right"/>
              <w:rPr>
                <w:rFonts w:eastAsia="Times New Roman" w:cs="Calibri"/>
                <w:color w:val="000000"/>
                <w:sz w:val="20"/>
                <w:szCs w:val="20"/>
              </w:rPr>
            </w:pPr>
            <w:r>
              <w:rPr>
                <w:rFonts w:eastAsia="Times New Roman" w:cstheme="minorHAnsi"/>
                <w:color w:val="000000"/>
                <w:sz w:val="20"/>
                <w:szCs w:val="20"/>
              </w:rPr>
              <w:t>16</w:t>
            </w:r>
            <w:r w:rsidR="00795537">
              <w:rPr>
                <w:rFonts w:eastAsia="Times New Roman" w:cstheme="minorHAnsi"/>
                <w:color w:val="000000"/>
                <w:sz w:val="20"/>
                <w:szCs w:val="20"/>
              </w:rPr>
              <w:t>·</w:t>
            </w:r>
            <w:r>
              <w:rPr>
                <w:rFonts w:eastAsia="Times New Roman" w:cstheme="minorHAnsi"/>
                <w:color w:val="000000"/>
                <w:sz w:val="20"/>
                <w:szCs w:val="20"/>
              </w:rPr>
              <w:t>3 (13</w:t>
            </w:r>
            <w:r w:rsidR="00795537">
              <w:rPr>
                <w:rFonts w:eastAsia="Times New Roman" w:cstheme="minorHAnsi"/>
                <w:color w:val="000000"/>
                <w:sz w:val="20"/>
                <w:szCs w:val="20"/>
              </w:rPr>
              <w:t>·</w:t>
            </w:r>
            <w:r>
              <w:rPr>
                <w:rFonts w:eastAsia="Times New Roman" w:cstheme="minorHAnsi"/>
                <w:color w:val="000000"/>
                <w:sz w:val="20"/>
                <w:szCs w:val="20"/>
              </w:rPr>
              <w:t>9)</w:t>
            </w:r>
          </w:p>
        </w:tc>
      </w:tr>
    </w:tbl>
    <w:p w14:paraId="72A004BB" w14:textId="77777777" w:rsidR="00EF423E" w:rsidRDefault="00EF423E" w:rsidP="00AF709B">
      <w:pPr>
        <w:jc w:val="both"/>
        <w:rPr>
          <w:vertAlign w:val="superscript"/>
        </w:rPr>
      </w:pPr>
    </w:p>
    <w:p w14:paraId="7B389A00" w14:textId="32E28185" w:rsidR="009251BA" w:rsidRPr="00EF423E" w:rsidRDefault="00EF423E" w:rsidP="00AF709B">
      <w:pPr>
        <w:jc w:val="both"/>
      </w:pPr>
      <w:r>
        <w:rPr>
          <w:vertAlign w:val="superscript"/>
        </w:rPr>
        <w:t>a</w:t>
      </w:r>
      <w:r>
        <w:t xml:space="preserve"> </w:t>
      </w:r>
      <w:r w:rsidRPr="00F616DF">
        <w:t xml:space="preserve">Descriptive statistics </w:t>
      </w:r>
      <w:r>
        <w:t xml:space="preserve">of the zip code level covariates </w:t>
      </w:r>
      <w:r w:rsidRPr="00F616DF">
        <w:t xml:space="preserve">are </w:t>
      </w:r>
      <w:r>
        <w:t xml:space="preserve">given for the strata (aggregated data based on zip code, year, </w:t>
      </w:r>
      <w:r w:rsidRPr="00CC4296">
        <w:t>sex, race, Medicaid eligibility, 2-year categories of age at study entry and year of follow-up</w:t>
      </w:r>
      <w:r>
        <w:t xml:space="preserve">) based on the CVD cohort. Descriptive statistics of the zip code level covariates for the RSD cohort </w:t>
      </w:r>
      <w:proofErr w:type="gramStart"/>
      <w:r>
        <w:t>are shown</w:t>
      </w:r>
      <w:proofErr w:type="gramEnd"/>
      <w:r>
        <w:t xml:space="preserve"> in Table S1.  </w:t>
      </w:r>
    </w:p>
    <w:p w14:paraId="31C87A44" w14:textId="73074F80" w:rsidR="00BA2D6C" w:rsidRDefault="00BA2D6C" w:rsidP="00AF709B">
      <w:pPr>
        <w:jc w:val="both"/>
      </w:pPr>
    </w:p>
    <w:p w14:paraId="7A81E8AB" w14:textId="64C7DC09" w:rsidR="00BA2D6C" w:rsidRDefault="00BA2D6C" w:rsidP="00AF709B">
      <w:pPr>
        <w:jc w:val="both"/>
      </w:pPr>
    </w:p>
    <w:p w14:paraId="62511F1B" w14:textId="5D2346D8" w:rsidR="00BA2D6C" w:rsidRDefault="00BA2D6C" w:rsidP="00AF709B">
      <w:pPr>
        <w:jc w:val="both"/>
      </w:pPr>
    </w:p>
    <w:p w14:paraId="0DAD029F" w14:textId="2EBBEA27" w:rsidR="003E0061" w:rsidRDefault="003E0061" w:rsidP="003E0061">
      <w:pPr>
        <w:jc w:val="both"/>
        <w:rPr>
          <w:b/>
          <w:bCs/>
          <w:lang w:val="en-GB"/>
        </w:rPr>
      </w:pPr>
      <w:r w:rsidRPr="00476207">
        <w:rPr>
          <w:b/>
          <w:bCs/>
          <w:lang w:val="en-GB"/>
        </w:rPr>
        <w:lastRenderedPageBreak/>
        <w:t xml:space="preserve">Table 2. HRs of </w:t>
      </w:r>
      <w:r w:rsidR="0073291F">
        <w:rPr>
          <w:b/>
          <w:bCs/>
          <w:lang w:val="en-GB"/>
        </w:rPr>
        <w:t xml:space="preserve">percent </w:t>
      </w:r>
      <w:r>
        <w:rPr>
          <w:b/>
          <w:bCs/>
          <w:lang w:val="en-GB"/>
        </w:rPr>
        <w:t xml:space="preserve">public park cover, NDVI and </w:t>
      </w:r>
      <w:r w:rsidR="0073291F">
        <w:rPr>
          <w:b/>
          <w:bCs/>
          <w:lang w:val="en-GB"/>
        </w:rPr>
        <w:t xml:space="preserve">percent </w:t>
      </w:r>
      <w:r>
        <w:rPr>
          <w:b/>
          <w:bCs/>
          <w:lang w:val="en-GB"/>
        </w:rPr>
        <w:t>blue space</w:t>
      </w:r>
      <w:r w:rsidR="0073291F">
        <w:rPr>
          <w:b/>
          <w:bCs/>
          <w:lang w:val="en-GB"/>
        </w:rPr>
        <w:t xml:space="preserve"> cover</w:t>
      </w:r>
      <w:r w:rsidRPr="00476207">
        <w:rPr>
          <w:b/>
          <w:bCs/>
          <w:lang w:val="en-GB"/>
        </w:rPr>
        <w:t xml:space="preserve"> with CVD and </w:t>
      </w:r>
      <w:r w:rsidR="000F6D54">
        <w:rPr>
          <w:b/>
          <w:bCs/>
          <w:lang w:val="en-GB"/>
        </w:rPr>
        <w:t>RSD</w:t>
      </w:r>
      <w:r>
        <w:rPr>
          <w:b/>
          <w:bCs/>
          <w:lang w:val="en-GB"/>
        </w:rPr>
        <w:t xml:space="preserve"> hospitalization</w:t>
      </w:r>
      <w:r w:rsidRPr="00476207">
        <w:rPr>
          <w:b/>
          <w:bCs/>
          <w:lang w:val="en-GB"/>
        </w:rPr>
        <w:t xml:space="preserve"> </w:t>
      </w:r>
      <w:r w:rsidR="00104970">
        <w:rPr>
          <w:b/>
          <w:bCs/>
          <w:lang w:val="en-GB"/>
        </w:rPr>
        <w:t>i</w:t>
      </w:r>
      <w:r w:rsidRPr="00476207">
        <w:rPr>
          <w:b/>
          <w:bCs/>
          <w:lang w:val="en-GB"/>
        </w:rPr>
        <w:t xml:space="preserve">n </w:t>
      </w:r>
      <w:r w:rsidR="00104970">
        <w:rPr>
          <w:b/>
          <w:bCs/>
          <w:lang w:val="en-GB"/>
        </w:rPr>
        <w:t>the full and urban cohort of</w:t>
      </w:r>
      <w:r w:rsidR="00EC34A3">
        <w:rPr>
          <w:b/>
          <w:bCs/>
          <w:lang w:val="en-GB"/>
        </w:rPr>
        <w:t xml:space="preserve"> U.S.</w:t>
      </w:r>
      <w:r w:rsidRPr="00476207">
        <w:rPr>
          <w:b/>
          <w:bCs/>
          <w:lang w:val="en-GB"/>
        </w:rPr>
        <w:t xml:space="preserve"> Medicare fee-for-service beneficiaries aged ≥65 </w:t>
      </w:r>
      <w:r w:rsidR="00CE4566">
        <w:rPr>
          <w:b/>
          <w:bCs/>
          <w:lang w:val="en-GB"/>
        </w:rPr>
        <w:t xml:space="preserve">years </w:t>
      </w:r>
      <w:r w:rsidRPr="00476207">
        <w:rPr>
          <w:b/>
          <w:bCs/>
          <w:lang w:val="en-GB"/>
        </w:rPr>
        <w:t>living in the contiguou</w:t>
      </w:r>
      <w:r w:rsidR="006463F3">
        <w:rPr>
          <w:b/>
          <w:bCs/>
          <w:lang w:val="en-GB"/>
        </w:rPr>
        <w:t>s</w:t>
      </w:r>
      <w:r w:rsidR="00EC34A3">
        <w:rPr>
          <w:b/>
          <w:bCs/>
          <w:lang w:val="en-GB"/>
        </w:rPr>
        <w:t xml:space="preserve"> U.S.</w:t>
      </w:r>
      <w:r w:rsidR="006463F3">
        <w:rPr>
          <w:b/>
          <w:bCs/>
          <w:lang w:val="en-GB"/>
        </w:rPr>
        <w:t xml:space="preserve"> from 2000 through 2016</w:t>
      </w:r>
      <w:r w:rsidR="00F73991">
        <w:rPr>
          <w:b/>
          <w:bCs/>
          <w:lang w:val="en-GB"/>
        </w:rPr>
        <w:t xml:space="preserve"> </w:t>
      </w:r>
      <w:r w:rsidR="00F73991" w:rsidRPr="00F73991">
        <w:rPr>
          <w:b/>
          <w:bCs/>
          <w:lang w:val="en-GB"/>
        </w:rPr>
        <w:t>(n = 63,009,173)</w:t>
      </w:r>
      <w:r w:rsidR="004C3323">
        <w:rPr>
          <w:b/>
          <w:bCs/>
          <w:lang w:val="en-GB"/>
        </w:rPr>
        <w:t>.</w:t>
      </w:r>
      <w:r w:rsidRPr="00476207">
        <w:rPr>
          <w:b/>
          <w:bCs/>
          <w:vertAlign w:val="superscript"/>
          <w:lang w:val="en-GB"/>
        </w:rPr>
        <w:t>a</w:t>
      </w:r>
      <w:r w:rsidR="00AF1579">
        <w:rPr>
          <w:b/>
          <w:bCs/>
          <w:vertAlign w:val="superscript"/>
          <w:lang w:val="en-GB"/>
        </w:rPr>
        <w:t>, b</w:t>
      </w:r>
    </w:p>
    <w:tbl>
      <w:tblPr>
        <w:tblW w:w="9570" w:type="dxa"/>
        <w:tblLayout w:type="fixed"/>
        <w:tblLook w:val="04A0" w:firstRow="1" w:lastRow="0" w:firstColumn="1" w:lastColumn="0" w:noHBand="0" w:noVBand="1"/>
      </w:tblPr>
      <w:tblGrid>
        <w:gridCol w:w="2610"/>
        <w:gridCol w:w="1740"/>
        <w:gridCol w:w="1740"/>
        <w:gridCol w:w="1740"/>
        <w:gridCol w:w="1740"/>
      </w:tblGrid>
      <w:tr w:rsidR="00DE5957" w:rsidRPr="00B85339" w14:paraId="4048EB96" w14:textId="77777777" w:rsidTr="004A65BA">
        <w:trPr>
          <w:trHeight w:val="224"/>
        </w:trPr>
        <w:tc>
          <w:tcPr>
            <w:tcW w:w="2610" w:type="dxa"/>
            <w:vMerge w:val="restart"/>
            <w:tcBorders>
              <w:top w:val="nil"/>
              <w:left w:val="nil"/>
            </w:tcBorders>
            <w:shd w:val="clear" w:color="auto" w:fill="auto"/>
            <w:noWrap/>
            <w:vAlign w:val="center"/>
          </w:tcPr>
          <w:p w14:paraId="35718580" w14:textId="05D9E5C8" w:rsidR="00DE5957" w:rsidRPr="00A848A4" w:rsidRDefault="00DE5957" w:rsidP="00203634">
            <w:pPr>
              <w:pStyle w:val="NoSpacing"/>
              <w:rPr>
                <w:rFonts w:cstheme="minorHAnsi"/>
                <w:b/>
                <w:bCs/>
                <w:szCs w:val="18"/>
              </w:rPr>
            </w:pPr>
            <w:r w:rsidRPr="00A848A4">
              <w:rPr>
                <w:rFonts w:cstheme="minorHAnsi"/>
                <w:b/>
                <w:bCs/>
                <w:szCs w:val="18"/>
              </w:rPr>
              <w:t>Exposure</w:t>
            </w:r>
            <w:r w:rsidR="00B85339" w:rsidRPr="00A848A4">
              <w:rPr>
                <w:rFonts w:cstheme="minorHAnsi"/>
                <w:b/>
                <w:bCs/>
                <w:szCs w:val="18"/>
              </w:rPr>
              <w:t xml:space="preserve"> (IQR)</w:t>
            </w:r>
          </w:p>
        </w:tc>
        <w:tc>
          <w:tcPr>
            <w:tcW w:w="3480" w:type="dxa"/>
            <w:gridSpan w:val="2"/>
            <w:tcBorders>
              <w:top w:val="nil"/>
              <w:left w:val="single" w:sz="4" w:space="0" w:color="auto"/>
              <w:bottom w:val="nil"/>
              <w:right w:val="single" w:sz="4" w:space="0" w:color="auto"/>
            </w:tcBorders>
            <w:shd w:val="clear" w:color="auto" w:fill="auto"/>
            <w:noWrap/>
            <w:vAlign w:val="center"/>
          </w:tcPr>
          <w:p w14:paraId="74B7A9B5" w14:textId="1BB9BFFD" w:rsidR="00DE5957" w:rsidRPr="00A848A4" w:rsidRDefault="00DE5957" w:rsidP="00203634">
            <w:pPr>
              <w:pStyle w:val="NoSpacing"/>
              <w:jc w:val="center"/>
              <w:rPr>
                <w:rFonts w:cstheme="minorHAnsi"/>
                <w:b/>
                <w:bCs/>
                <w:szCs w:val="18"/>
              </w:rPr>
            </w:pPr>
            <w:r w:rsidRPr="00A848A4">
              <w:rPr>
                <w:rFonts w:cstheme="minorHAnsi"/>
                <w:b/>
                <w:bCs/>
                <w:szCs w:val="18"/>
              </w:rPr>
              <w:t>CVD hospitalization</w:t>
            </w:r>
          </w:p>
        </w:tc>
        <w:tc>
          <w:tcPr>
            <w:tcW w:w="3480" w:type="dxa"/>
            <w:gridSpan w:val="2"/>
            <w:tcBorders>
              <w:top w:val="nil"/>
              <w:left w:val="single" w:sz="4" w:space="0" w:color="auto"/>
              <w:bottom w:val="nil"/>
              <w:right w:val="nil"/>
            </w:tcBorders>
          </w:tcPr>
          <w:p w14:paraId="3FF8A118" w14:textId="05A05586" w:rsidR="00DE5957" w:rsidRPr="00A848A4" w:rsidRDefault="000F6D54" w:rsidP="00203634">
            <w:pPr>
              <w:pStyle w:val="NoSpacing"/>
              <w:jc w:val="center"/>
              <w:rPr>
                <w:rFonts w:cstheme="minorHAnsi"/>
                <w:b/>
                <w:bCs/>
                <w:szCs w:val="18"/>
              </w:rPr>
            </w:pPr>
            <w:r w:rsidRPr="00A848A4">
              <w:rPr>
                <w:rFonts w:cstheme="minorHAnsi"/>
                <w:b/>
                <w:bCs/>
                <w:szCs w:val="18"/>
              </w:rPr>
              <w:t>R</w:t>
            </w:r>
            <w:r w:rsidR="00DE5957" w:rsidRPr="00A848A4">
              <w:rPr>
                <w:rFonts w:cstheme="minorHAnsi"/>
                <w:b/>
                <w:bCs/>
                <w:szCs w:val="18"/>
              </w:rPr>
              <w:t>S</w:t>
            </w:r>
            <w:r w:rsidRPr="00A848A4">
              <w:rPr>
                <w:rFonts w:cstheme="minorHAnsi"/>
                <w:b/>
                <w:bCs/>
                <w:szCs w:val="18"/>
              </w:rPr>
              <w:t>D</w:t>
            </w:r>
            <w:r w:rsidR="00DE5957" w:rsidRPr="00A848A4">
              <w:rPr>
                <w:rFonts w:cstheme="minorHAnsi"/>
                <w:b/>
                <w:bCs/>
                <w:szCs w:val="18"/>
              </w:rPr>
              <w:t xml:space="preserve"> hospitalization</w:t>
            </w:r>
          </w:p>
        </w:tc>
      </w:tr>
      <w:tr w:rsidR="00DE5957" w:rsidRPr="00B85339" w14:paraId="5EF67EB0" w14:textId="2A59809B" w:rsidTr="004A65BA">
        <w:trPr>
          <w:trHeight w:val="224"/>
        </w:trPr>
        <w:tc>
          <w:tcPr>
            <w:tcW w:w="2610" w:type="dxa"/>
            <w:vMerge/>
            <w:tcBorders>
              <w:left w:val="nil"/>
            </w:tcBorders>
            <w:shd w:val="clear" w:color="auto" w:fill="auto"/>
            <w:noWrap/>
            <w:vAlign w:val="center"/>
            <w:hideMark/>
          </w:tcPr>
          <w:p w14:paraId="373A7DE6" w14:textId="2395D507" w:rsidR="00DE5957" w:rsidRPr="00A848A4" w:rsidRDefault="00DE5957" w:rsidP="003E0061">
            <w:pPr>
              <w:pStyle w:val="NoSpacing"/>
              <w:rPr>
                <w:rFonts w:cstheme="minorHAnsi"/>
                <w:b/>
                <w:bCs/>
                <w:szCs w:val="18"/>
              </w:rPr>
            </w:pPr>
          </w:p>
        </w:tc>
        <w:tc>
          <w:tcPr>
            <w:tcW w:w="1740" w:type="dxa"/>
            <w:tcBorders>
              <w:top w:val="nil"/>
              <w:left w:val="single" w:sz="4" w:space="0" w:color="auto"/>
              <w:bottom w:val="nil"/>
              <w:right w:val="nil"/>
            </w:tcBorders>
            <w:shd w:val="clear" w:color="auto" w:fill="auto"/>
            <w:noWrap/>
            <w:vAlign w:val="center"/>
            <w:hideMark/>
          </w:tcPr>
          <w:p w14:paraId="50CF379F" w14:textId="0EE6A890" w:rsidR="00DE5957" w:rsidRPr="00A848A4" w:rsidRDefault="00DE5957" w:rsidP="003E0061">
            <w:pPr>
              <w:pStyle w:val="NoSpacing"/>
              <w:jc w:val="center"/>
              <w:rPr>
                <w:rFonts w:cstheme="minorHAnsi"/>
                <w:b/>
                <w:bCs/>
                <w:szCs w:val="18"/>
              </w:rPr>
            </w:pPr>
            <w:r w:rsidRPr="00A848A4">
              <w:rPr>
                <w:rFonts w:cstheme="minorHAnsi"/>
                <w:b/>
                <w:bCs/>
                <w:szCs w:val="18"/>
              </w:rPr>
              <w:t>Full cohort</w:t>
            </w:r>
          </w:p>
        </w:tc>
        <w:tc>
          <w:tcPr>
            <w:tcW w:w="1740" w:type="dxa"/>
            <w:tcBorders>
              <w:top w:val="nil"/>
              <w:left w:val="nil"/>
              <w:bottom w:val="nil"/>
              <w:right w:val="single" w:sz="4" w:space="0" w:color="auto"/>
            </w:tcBorders>
            <w:shd w:val="clear" w:color="auto" w:fill="auto"/>
            <w:noWrap/>
            <w:vAlign w:val="center"/>
            <w:hideMark/>
          </w:tcPr>
          <w:p w14:paraId="38959EB6" w14:textId="42D592C1" w:rsidR="00DE5957" w:rsidRPr="00A848A4" w:rsidRDefault="00DE5957" w:rsidP="003E0061">
            <w:pPr>
              <w:pStyle w:val="NoSpacing"/>
              <w:jc w:val="center"/>
              <w:rPr>
                <w:rFonts w:cstheme="minorHAnsi"/>
                <w:b/>
                <w:bCs/>
                <w:szCs w:val="18"/>
              </w:rPr>
            </w:pPr>
            <w:r w:rsidRPr="00A848A4">
              <w:rPr>
                <w:rFonts w:cstheme="minorHAnsi"/>
                <w:b/>
                <w:bCs/>
                <w:szCs w:val="18"/>
              </w:rPr>
              <w:t>Urban cohort</w:t>
            </w:r>
          </w:p>
        </w:tc>
        <w:tc>
          <w:tcPr>
            <w:tcW w:w="1740" w:type="dxa"/>
            <w:tcBorders>
              <w:top w:val="nil"/>
              <w:left w:val="single" w:sz="4" w:space="0" w:color="auto"/>
              <w:bottom w:val="nil"/>
              <w:right w:val="nil"/>
            </w:tcBorders>
            <w:vAlign w:val="center"/>
          </w:tcPr>
          <w:p w14:paraId="46A78037" w14:textId="3D87838D" w:rsidR="00DE5957" w:rsidRPr="00A848A4" w:rsidRDefault="00DE5957" w:rsidP="003E0061">
            <w:pPr>
              <w:pStyle w:val="NoSpacing"/>
              <w:jc w:val="center"/>
              <w:rPr>
                <w:rFonts w:cstheme="minorHAnsi"/>
                <w:b/>
                <w:bCs/>
                <w:szCs w:val="18"/>
              </w:rPr>
            </w:pPr>
            <w:r w:rsidRPr="00A848A4">
              <w:rPr>
                <w:rFonts w:cstheme="minorHAnsi"/>
                <w:b/>
                <w:bCs/>
                <w:szCs w:val="18"/>
              </w:rPr>
              <w:t>Full cohort</w:t>
            </w:r>
          </w:p>
        </w:tc>
        <w:tc>
          <w:tcPr>
            <w:tcW w:w="1740" w:type="dxa"/>
            <w:tcBorders>
              <w:top w:val="nil"/>
              <w:left w:val="nil"/>
              <w:bottom w:val="nil"/>
              <w:right w:val="nil"/>
            </w:tcBorders>
            <w:vAlign w:val="center"/>
          </w:tcPr>
          <w:p w14:paraId="22EEA9E1" w14:textId="12CE9091" w:rsidR="00DE5957" w:rsidRPr="00A848A4" w:rsidRDefault="00DE5957" w:rsidP="003E0061">
            <w:pPr>
              <w:pStyle w:val="NoSpacing"/>
              <w:jc w:val="center"/>
              <w:rPr>
                <w:rFonts w:cstheme="minorHAnsi"/>
                <w:b/>
                <w:bCs/>
                <w:szCs w:val="18"/>
              </w:rPr>
            </w:pPr>
            <w:r w:rsidRPr="00A848A4">
              <w:rPr>
                <w:rFonts w:cstheme="minorHAnsi"/>
                <w:b/>
                <w:bCs/>
                <w:szCs w:val="18"/>
              </w:rPr>
              <w:t>Urban cohort</w:t>
            </w:r>
          </w:p>
        </w:tc>
      </w:tr>
      <w:tr w:rsidR="00DE5957" w:rsidRPr="00B85339" w14:paraId="24BC8B0C" w14:textId="38F7E5CB" w:rsidTr="004A65BA">
        <w:trPr>
          <w:trHeight w:val="256"/>
        </w:trPr>
        <w:tc>
          <w:tcPr>
            <w:tcW w:w="2610" w:type="dxa"/>
            <w:vMerge/>
            <w:tcBorders>
              <w:left w:val="nil"/>
            </w:tcBorders>
            <w:shd w:val="clear" w:color="auto" w:fill="auto"/>
            <w:noWrap/>
            <w:vAlign w:val="center"/>
            <w:hideMark/>
          </w:tcPr>
          <w:p w14:paraId="31670639" w14:textId="77777777" w:rsidR="00DE5957" w:rsidRPr="00A848A4" w:rsidRDefault="00DE5957" w:rsidP="003E0061">
            <w:pPr>
              <w:pStyle w:val="NoSpacing"/>
              <w:rPr>
                <w:rFonts w:cstheme="minorHAnsi"/>
                <w:b/>
                <w:bCs/>
                <w:szCs w:val="18"/>
              </w:rPr>
            </w:pPr>
          </w:p>
        </w:tc>
        <w:tc>
          <w:tcPr>
            <w:tcW w:w="1740" w:type="dxa"/>
            <w:tcBorders>
              <w:top w:val="nil"/>
              <w:left w:val="single" w:sz="4" w:space="0" w:color="auto"/>
              <w:bottom w:val="single" w:sz="4" w:space="0" w:color="auto"/>
              <w:right w:val="nil"/>
            </w:tcBorders>
            <w:shd w:val="clear" w:color="auto" w:fill="auto"/>
            <w:noWrap/>
            <w:vAlign w:val="center"/>
            <w:hideMark/>
          </w:tcPr>
          <w:p w14:paraId="6EA9DDB7" w14:textId="77777777" w:rsidR="00DE5957" w:rsidRPr="00A848A4" w:rsidRDefault="00DE5957" w:rsidP="003E0061">
            <w:pPr>
              <w:pStyle w:val="NoSpacing"/>
              <w:jc w:val="center"/>
              <w:rPr>
                <w:rFonts w:cstheme="minorHAnsi"/>
                <w:b/>
                <w:bCs/>
                <w:szCs w:val="18"/>
              </w:rPr>
            </w:pPr>
            <w:r w:rsidRPr="00A848A4">
              <w:rPr>
                <w:rFonts w:cstheme="minorHAnsi"/>
                <w:b/>
                <w:bCs/>
                <w:szCs w:val="18"/>
              </w:rPr>
              <w:t>HR (95% CI)</w:t>
            </w:r>
          </w:p>
        </w:tc>
        <w:tc>
          <w:tcPr>
            <w:tcW w:w="1740" w:type="dxa"/>
            <w:tcBorders>
              <w:top w:val="nil"/>
              <w:left w:val="nil"/>
              <w:bottom w:val="single" w:sz="4" w:space="0" w:color="auto"/>
              <w:right w:val="single" w:sz="4" w:space="0" w:color="auto"/>
            </w:tcBorders>
            <w:shd w:val="clear" w:color="auto" w:fill="auto"/>
            <w:noWrap/>
            <w:vAlign w:val="center"/>
            <w:hideMark/>
          </w:tcPr>
          <w:p w14:paraId="05ABA3EE" w14:textId="77777777" w:rsidR="00DE5957" w:rsidRPr="00A848A4" w:rsidRDefault="00DE5957" w:rsidP="003E0061">
            <w:pPr>
              <w:pStyle w:val="NoSpacing"/>
              <w:jc w:val="center"/>
              <w:rPr>
                <w:rFonts w:cstheme="minorHAnsi"/>
                <w:b/>
                <w:bCs/>
                <w:szCs w:val="18"/>
              </w:rPr>
            </w:pPr>
            <w:r w:rsidRPr="00A848A4">
              <w:rPr>
                <w:rFonts w:cstheme="minorHAnsi"/>
                <w:b/>
                <w:bCs/>
                <w:szCs w:val="18"/>
              </w:rPr>
              <w:t>HR (95% CI)</w:t>
            </w:r>
          </w:p>
        </w:tc>
        <w:tc>
          <w:tcPr>
            <w:tcW w:w="1740" w:type="dxa"/>
            <w:tcBorders>
              <w:top w:val="nil"/>
              <w:left w:val="single" w:sz="4" w:space="0" w:color="auto"/>
              <w:bottom w:val="single" w:sz="4" w:space="0" w:color="auto"/>
              <w:right w:val="nil"/>
            </w:tcBorders>
            <w:vAlign w:val="center"/>
          </w:tcPr>
          <w:p w14:paraId="19377A69" w14:textId="198CC413" w:rsidR="00DE5957" w:rsidRPr="00A848A4" w:rsidRDefault="00DE5957" w:rsidP="003E0061">
            <w:pPr>
              <w:pStyle w:val="NoSpacing"/>
              <w:jc w:val="center"/>
              <w:rPr>
                <w:rFonts w:cstheme="minorHAnsi"/>
                <w:b/>
                <w:bCs/>
                <w:szCs w:val="18"/>
              </w:rPr>
            </w:pPr>
            <w:r w:rsidRPr="00A848A4">
              <w:rPr>
                <w:rFonts w:cstheme="minorHAnsi"/>
                <w:b/>
                <w:bCs/>
                <w:szCs w:val="18"/>
              </w:rPr>
              <w:t>HR (95% CI)</w:t>
            </w:r>
          </w:p>
        </w:tc>
        <w:tc>
          <w:tcPr>
            <w:tcW w:w="1740" w:type="dxa"/>
            <w:tcBorders>
              <w:top w:val="nil"/>
              <w:left w:val="nil"/>
              <w:bottom w:val="single" w:sz="4" w:space="0" w:color="auto"/>
              <w:right w:val="nil"/>
            </w:tcBorders>
            <w:vAlign w:val="center"/>
          </w:tcPr>
          <w:p w14:paraId="005FC393" w14:textId="484AC59F" w:rsidR="00DE5957" w:rsidRPr="00A848A4" w:rsidRDefault="00DE5957" w:rsidP="003E0061">
            <w:pPr>
              <w:pStyle w:val="NoSpacing"/>
              <w:jc w:val="center"/>
              <w:rPr>
                <w:rFonts w:cstheme="minorHAnsi"/>
                <w:b/>
                <w:bCs/>
                <w:szCs w:val="18"/>
              </w:rPr>
            </w:pPr>
            <w:r w:rsidRPr="00A848A4">
              <w:rPr>
                <w:rFonts w:cstheme="minorHAnsi"/>
                <w:b/>
                <w:bCs/>
                <w:szCs w:val="18"/>
              </w:rPr>
              <w:t>HR (95% CI)</w:t>
            </w:r>
          </w:p>
        </w:tc>
      </w:tr>
      <w:tr w:rsidR="00F73991" w:rsidRPr="00B85339" w14:paraId="21FE016F" w14:textId="74DE7F11" w:rsidTr="004A65BA">
        <w:trPr>
          <w:trHeight w:val="260"/>
        </w:trPr>
        <w:tc>
          <w:tcPr>
            <w:tcW w:w="2610" w:type="dxa"/>
            <w:tcBorders>
              <w:top w:val="single" w:sz="4" w:space="0" w:color="auto"/>
              <w:left w:val="nil"/>
            </w:tcBorders>
            <w:shd w:val="clear" w:color="auto" w:fill="auto"/>
            <w:noWrap/>
            <w:vAlign w:val="center"/>
          </w:tcPr>
          <w:p w14:paraId="702F1DEE" w14:textId="6F6B110D" w:rsidR="00F73991" w:rsidRPr="00A848A4" w:rsidRDefault="00F73991" w:rsidP="00F73991">
            <w:pPr>
              <w:pStyle w:val="NoSpacing"/>
              <w:rPr>
                <w:rFonts w:cstheme="minorHAnsi"/>
                <w:b/>
                <w:bCs/>
                <w:szCs w:val="18"/>
              </w:rPr>
            </w:pPr>
            <w:r w:rsidRPr="00A848A4">
              <w:rPr>
                <w:rFonts w:cstheme="minorHAnsi"/>
                <w:b/>
                <w:bCs/>
                <w:szCs w:val="18"/>
              </w:rPr>
              <w:t xml:space="preserve">% Public park </w:t>
            </w:r>
            <w:r>
              <w:rPr>
                <w:rFonts w:cstheme="minorHAnsi"/>
                <w:b/>
                <w:bCs/>
                <w:szCs w:val="18"/>
              </w:rPr>
              <w:t xml:space="preserve">cover </w:t>
            </w:r>
            <w:r w:rsidRPr="00A848A4">
              <w:rPr>
                <w:rFonts w:cstheme="minorHAnsi"/>
                <w:b/>
                <w:bCs/>
                <w:szCs w:val="18"/>
              </w:rPr>
              <w:t>(15</w:t>
            </w:r>
            <w:r w:rsidR="00795537">
              <w:rPr>
                <w:rFonts w:cstheme="minorHAnsi"/>
                <w:b/>
                <w:bCs/>
                <w:szCs w:val="18"/>
              </w:rPr>
              <w:t>·</w:t>
            </w:r>
            <w:r w:rsidRPr="00A848A4">
              <w:rPr>
                <w:rFonts w:cstheme="minorHAnsi"/>
                <w:b/>
                <w:bCs/>
                <w:szCs w:val="18"/>
              </w:rPr>
              <w:t>9)</w:t>
            </w:r>
          </w:p>
        </w:tc>
        <w:tc>
          <w:tcPr>
            <w:tcW w:w="1740" w:type="dxa"/>
            <w:tcBorders>
              <w:top w:val="single" w:sz="4" w:space="0" w:color="auto"/>
              <w:left w:val="single" w:sz="4" w:space="0" w:color="auto"/>
              <w:bottom w:val="nil"/>
              <w:right w:val="nil"/>
            </w:tcBorders>
            <w:shd w:val="clear" w:color="auto" w:fill="auto"/>
            <w:noWrap/>
            <w:vAlign w:val="bottom"/>
          </w:tcPr>
          <w:p w14:paraId="30AE4999" w14:textId="669B4C08" w:rsidR="00F73991" w:rsidRPr="00A848A4" w:rsidRDefault="00F73991" w:rsidP="00F73991">
            <w:pPr>
              <w:pStyle w:val="NoSpacing"/>
              <w:jc w:val="center"/>
              <w:rPr>
                <w:rFonts w:cstheme="minorHAnsi"/>
                <w:bCs/>
                <w:szCs w:val="18"/>
              </w:rPr>
            </w:pPr>
            <w:r w:rsidRPr="00A848A4">
              <w:rPr>
                <w:rFonts w:cstheme="minorHAnsi"/>
                <w:bCs/>
                <w:szCs w:val="18"/>
              </w:rPr>
              <w:t>1</w:t>
            </w:r>
            <w:r w:rsidR="00795537">
              <w:rPr>
                <w:rFonts w:cstheme="minorHAnsi"/>
                <w:bCs/>
                <w:szCs w:val="18"/>
              </w:rPr>
              <w:t>·</w:t>
            </w:r>
            <w:r w:rsidRPr="00A848A4">
              <w:rPr>
                <w:rFonts w:cstheme="minorHAnsi"/>
                <w:bCs/>
                <w:szCs w:val="18"/>
              </w:rPr>
              <w:t>00</w:t>
            </w:r>
            <w:r>
              <w:rPr>
                <w:rFonts w:ascii="Calibri" w:hAnsi="Calibri" w:cs="Calibri"/>
                <w:color w:val="000000"/>
              </w:rPr>
              <w:t xml:space="preserve"> (0</w:t>
            </w:r>
            <w:r w:rsidR="00795537">
              <w:rPr>
                <w:rFonts w:ascii="Calibri" w:hAnsi="Calibri" w:cs="Calibri"/>
                <w:color w:val="000000"/>
              </w:rPr>
              <w:t>·</w:t>
            </w:r>
            <w:r>
              <w:rPr>
                <w:rFonts w:ascii="Calibri" w:hAnsi="Calibri" w:cs="Calibri"/>
                <w:color w:val="000000"/>
              </w:rPr>
              <w:t xml:space="preserve">99, </w:t>
            </w:r>
            <w:r w:rsidRPr="00A848A4">
              <w:rPr>
                <w:rFonts w:cstheme="minorHAnsi"/>
                <w:bCs/>
                <w:szCs w:val="18"/>
              </w:rPr>
              <w:t>1</w:t>
            </w:r>
            <w:r w:rsidR="00795537">
              <w:rPr>
                <w:rFonts w:cstheme="minorHAnsi"/>
                <w:bCs/>
                <w:szCs w:val="18"/>
              </w:rPr>
              <w:t>·</w:t>
            </w:r>
            <w:r w:rsidRPr="00A848A4">
              <w:rPr>
                <w:rFonts w:cstheme="minorHAnsi"/>
                <w:bCs/>
                <w:szCs w:val="18"/>
              </w:rPr>
              <w:t>00</w:t>
            </w:r>
            <w:r>
              <w:rPr>
                <w:rFonts w:ascii="Calibri" w:hAnsi="Calibri" w:cs="Calibri"/>
                <w:color w:val="000000"/>
              </w:rPr>
              <w:t>)</w:t>
            </w:r>
          </w:p>
        </w:tc>
        <w:tc>
          <w:tcPr>
            <w:tcW w:w="1740" w:type="dxa"/>
            <w:tcBorders>
              <w:top w:val="single" w:sz="4" w:space="0" w:color="auto"/>
              <w:left w:val="nil"/>
              <w:bottom w:val="nil"/>
              <w:right w:val="single" w:sz="4" w:space="0" w:color="auto"/>
            </w:tcBorders>
            <w:shd w:val="clear" w:color="auto" w:fill="auto"/>
            <w:noWrap/>
            <w:vAlign w:val="bottom"/>
          </w:tcPr>
          <w:p w14:paraId="294A49CD" w14:textId="43F706EF" w:rsidR="00F73991" w:rsidRPr="00A848A4" w:rsidRDefault="00F73991" w:rsidP="00F73991">
            <w:pPr>
              <w:pStyle w:val="NoSpacing"/>
              <w:jc w:val="center"/>
              <w:rPr>
                <w:rFonts w:cstheme="minorHAnsi"/>
                <w:bCs/>
                <w:szCs w:val="18"/>
              </w:rPr>
            </w:pPr>
            <w:r>
              <w:rPr>
                <w:rFonts w:ascii="Calibri" w:hAnsi="Calibri" w:cs="Calibri"/>
                <w:color w:val="000000"/>
              </w:rPr>
              <w:t>0</w:t>
            </w:r>
            <w:r w:rsidR="00795537">
              <w:rPr>
                <w:rFonts w:ascii="Calibri" w:hAnsi="Calibri" w:cs="Calibri"/>
                <w:color w:val="000000"/>
              </w:rPr>
              <w:t>·</w:t>
            </w:r>
            <w:r>
              <w:rPr>
                <w:rFonts w:ascii="Calibri" w:hAnsi="Calibri" w:cs="Calibri"/>
                <w:color w:val="000000"/>
              </w:rPr>
              <w:t>99 (0</w:t>
            </w:r>
            <w:r w:rsidR="00795537">
              <w:rPr>
                <w:rFonts w:ascii="Calibri" w:hAnsi="Calibri" w:cs="Calibri"/>
                <w:color w:val="000000"/>
              </w:rPr>
              <w:t>·</w:t>
            </w:r>
            <w:r>
              <w:rPr>
                <w:rFonts w:ascii="Calibri" w:hAnsi="Calibri" w:cs="Calibri"/>
                <w:color w:val="000000"/>
              </w:rPr>
              <w:t>99, 1</w:t>
            </w:r>
            <w:r w:rsidR="00795537">
              <w:rPr>
                <w:rFonts w:ascii="Calibri" w:hAnsi="Calibri" w:cs="Calibri"/>
                <w:color w:val="000000"/>
              </w:rPr>
              <w:t>·</w:t>
            </w:r>
            <w:r>
              <w:rPr>
                <w:rFonts w:ascii="Calibri" w:hAnsi="Calibri" w:cs="Calibri"/>
                <w:color w:val="000000"/>
              </w:rPr>
              <w:t>00)</w:t>
            </w:r>
          </w:p>
        </w:tc>
        <w:tc>
          <w:tcPr>
            <w:tcW w:w="1740" w:type="dxa"/>
            <w:tcBorders>
              <w:top w:val="single" w:sz="4" w:space="0" w:color="auto"/>
              <w:left w:val="single" w:sz="4" w:space="0" w:color="auto"/>
              <w:bottom w:val="nil"/>
              <w:right w:val="nil"/>
            </w:tcBorders>
            <w:vAlign w:val="bottom"/>
          </w:tcPr>
          <w:p w14:paraId="16BDB6E0" w14:textId="31CBC7CA" w:rsidR="00F73991" w:rsidRPr="00A848A4" w:rsidRDefault="00F73991" w:rsidP="00F73991">
            <w:pPr>
              <w:pStyle w:val="NoSpacing"/>
              <w:jc w:val="center"/>
              <w:rPr>
                <w:rFonts w:cstheme="minorHAnsi"/>
                <w:bCs/>
                <w:szCs w:val="18"/>
              </w:rPr>
            </w:pPr>
            <w:r>
              <w:rPr>
                <w:rFonts w:ascii="Calibri" w:hAnsi="Calibri" w:cs="Calibri"/>
                <w:color w:val="000000"/>
              </w:rPr>
              <w:t>0</w:t>
            </w:r>
            <w:r w:rsidR="00795537">
              <w:rPr>
                <w:rFonts w:ascii="Calibri" w:hAnsi="Calibri" w:cs="Calibri"/>
                <w:color w:val="000000"/>
              </w:rPr>
              <w:t>·</w:t>
            </w:r>
            <w:r>
              <w:rPr>
                <w:rFonts w:ascii="Calibri" w:hAnsi="Calibri" w:cs="Calibri"/>
                <w:color w:val="000000"/>
              </w:rPr>
              <w:t>99 (0</w:t>
            </w:r>
            <w:r w:rsidR="00795537">
              <w:rPr>
                <w:rFonts w:ascii="Calibri" w:hAnsi="Calibri" w:cs="Calibri"/>
                <w:color w:val="000000"/>
              </w:rPr>
              <w:t>·</w:t>
            </w:r>
            <w:r>
              <w:rPr>
                <w:rFonts w:ascii="Calibri" w:hAnsi="Calibri" w:cs="Calibri"/>
                <w:color w:val="000000"/>
              </w:rPr>
              <w:t>99, 1</w:t>
            </w:r>
            <w:r w:rsidR="00795537">
              <w:rPr>
                <w:rFonts w:ascii="Calibri" w:hAnsi="Calibri" w:cs="Calibri"/>
                <w:color w:val="000000"/>
              </w:rPr>
              <w:t>·</w:t>
            </w:r>
            <w:r>
              <w:rPr>
                <w:rFonts w:ascii="Calibri" w:hAnsi="Calibri" w:cs="Calibri"/>
                <w:color w:val="000000"/>
              </w:rPr>
              <w:t>00)</w:t>
            </w:r>
          </w:p>
        </w:tc>
        <w:tc>
          <w:tcPr>
            <w:tcW w:w="1740" w:type="dxa"/>
            <w:tcBorders>
              <w:top w:val="single" w:sz="4" w:space="0" w:color="auto"/>
              <w:left w:val="nil"/>
              <w:bottom w:val="nil"/>
              <w:right w:val="nil"/>
            </w:tcBorders>
            <w:vAlign w:val="bottom"/>
          </w:tcPr>
          <w:p w14:paraId="071D6F71" w14:textId="1B42190F" w:rsidR="00F73991" w:rsidRPr="00A848A4" w:rsidRDefault="00F73991" w:rsidP="00F73991">
            <w:pPr>
              <w:pStyle w:val="NoSpacing"/>
              <w:jc w:val="center"/>
              <w:rPr>
                <w:rFonts w:cstheme="minorHAnsi"/>
                <w:bCs/>
                <w:szCs w:val="18"/>
              </w:rPr>
            </w:pPr>
            <w:r>
              <w:rPr>
                <w:rFonts w:ascii="Calibri" w:hAnsi="Calibri" w:cs="Calibri"/>
                <w:color w:val="000000"/>
              </w:rPr>
              <w:t>1</w:t>
            </w:r>
            <w:r w:rsidR="00795537">
              <w:rPr>
                <w:rFonts w:ascii="Calibri" w:hAnsi="Calibri" w:cs="Calibri"/>
                <w:color w:val="000000"/>
              </w:rPr>
              <w:t>·</w:t>
            </w:r>
            <w:r>
              <w:rPr>
                <w:rFonts w:ascii="Calibri" w:hAnsi="Calibri" w:cs="Calibri"/>
                <w:color w:val="000000"/>
              </w:rPr>
              <w:t>00 (0</w:t>
            </w:r>
            <w:r w:rsidR="00795537">
              <w:rPr>
                <w:rFonts w:ascii="Calibri" w:hAnsi="Calibri" w:cs="Calibri"/>
                <w:color w:val="000000"/>
              </w:rPr>
              <w:t>·</w:t>
            </w:r>
            <w:r>
              <w:rPr>
                <w:rFonts w:ascii="Calibri" w:hAnsi="Calibri" w:cs="Calibri"/>
                <w:color w:val="000000"/>
              </w:rPr>
              <w:t>99, 1</w:t>
            </w:r>
            <w:r w:rsidR="00795537">
              <w:rPr>
                <w:rFonts w:ascii="Calibri" w:hAnsi="Calibri" w:cs="Calibri"/>
                <w:color w:val="000000"/>
              </w:rPr>
              <w:t>·</w:t>
            </w:r>
            <w:r>
              <w:rPr>
                <w:rFonts w:ascii="Calibri" w:hAnsi="Calibri" w:cs="Calibri"/>
                <w:color w:val="000000"/>
              </w:rPr>
              <w:t>00)</w:t>
            </w:r>
          </w:p>
        </w:tc>
      </w:tr>
      <w:tr w:rsidR="00F73991" w:rsidRPr="00B85339" w14:paraId="0271F964" w14:textId="0F490125" w:rsidTr="004A65BA">
        <w:trPr>
          <w:trHeight w:val="256"/>
        </w:trPr>
        <w:tc>
          <w:tcPr>
            <w:tcW w:w="2610" w:type="dxa"/>
            <w:tcBorders>
              <w:left w:val="nil"/>
            </w:tcBorders>
            <w:shd w:val="clear" w:color="auto" w:fill="auto"/>
            <w:noWrap/>
            <w:vAlign w:val="center"/>
          </w:tcPr>
          <w:p w14:paraId="2889CF80" w14:textId="0326D24A" w:rsidR="00F73991" w:rsidRPr="00A848A4" w:rsidRDefault="00F73991" w:rsidP="00F73991">
            <w:pPr>
              <w:pStyle w:val="NoSpacing"/>
              <w:rPr>
                <w:rFonts w:cstheme="minorHAnsi"/>
                <w:b/>
                <w:bCs/>
                <w:szCs w:val="18"/>
              </w:rPr>
            </w:pPr>
            <w:r w:rsidRPr="00A848A4">
              <w:rPr>
                <w:rFonts w:cstheme="minorHAnsi"/>
                <w:b/>
                <w:bCs/>
                <w:szCs w:val="18"/>
              </w:rPr>
              <w:t>NDVI (0</w:t>
            </w:r>
            <w:r w:rsidR="00795537">
              <w:rPr>
                <w:rFonts w:cstheme="minorHAnsi"/>
                <w:b/>
                <w:bCs/>
                <w:szCs w:val="18"/>
              </w:rPr>
              <w:t>·</w:t>
            </w:r>
            <w:r w:rsidRPr="00A848A4">
              <w:rPr>
                <w:rFonts w:cstheme="minorHAnsi"/>
                <w:b/>
                <w:bCs/>
                <w:szCs w:val="18"/>
              </w:rPr>
              <w:t>27)</w:t>
            </w:r>
          </w:p>
        </w:tc>
        <w:tc>
          <w:tcPr>
            <w:tcW w:w="1740" w:type="dxa"/>
            <w:tcBorders>
              <w:top w:val="nil"/>
              <w:left w:val="single" w:sz="4" w:space="0" w:color="auto"/>
              <w:bottom w:val="nil"/>
              <w:right w:val="nil"/>
            </w:tcBorders>
            <w:shd w:val="clear" w:color="auto" w:fill="auto"/>
            <w:noWrap/>
            <w:vAlign w:val="bottom"/>
          </w:tcPr>
          <w:p w14:paraId="363EB4F5" w14:textId="06E9BAA0" w:rsidR="00F73991" w:rsidRPr="00A848A4" w:rsidRDefault="00F73991" w:rsidP="00F73991">
            <w:pPr>
              <w:pStyle w:val="NoSpacing"/>
              <w:jc w:val="center"/>
              <w:rPr>
                <w:rFonts w:cstheme="minorHAnsi"/>
                <w:bCs/>
                <w:szCs w:val="18"/>
              </w:rPr>
            </w:pPr>
            <w:r>
              <w:rPr>
                <w:rFonts w:ascii="Calibri" w:hAnsi="Calibri" w:cs="Calibri"/>
                <w:color w:val="000000"/>
              </w:rPr>
              <w:t>0</w:t>
            </w:r>
            <w:r w:rsidR="00795537">
              <w:rPr>
                <w:rFonts w:ascii="Calibri" w:hAnsi="Calibri" w:cs="Calibri"/>
                <w:color w:val="000000"/>
              </w:rPr>
              <w:t>·</w:t>
            </w:r>
            <w:r>
              <w:rPr>
                <w:rFonts w:ascii="Calibri" w:hAnsi="Calibri" w:cs="Calibri"/>
                <w:color w:val="000000"/>
              </w:rPr>
              <w:t>97 (0</w:t>
            </w:r>
            <w:r w:rsidR="00795537">
              <w:rPr>
                <w:rFonts w:ascii="Calibri" w:hAnsi="Calibri" w:cs="Calibri"/>
                <w:color w:val="000000"/>
              </w:rPr>
              <w:t>·</w:t>
            </w:r>
            <w:r>
              <w:rPr>
                <w:rFonts w:ascii="Calibri" w:hAnsi="Calibri" w:cs="Calibri"/>
                <w:color w:val="000000"/>
              </w:rPr>
              <w:t>96, 0</w:t>
            </w:r>
            <w:r w:rsidR="00795537">
              <w:rPr>
                <w:rFonts w:ascii="Calibri" w:hAnsi="Calibri" w:cs="Calibri"/>
                <w:color w:val="000000"/>
              </w:rPr>
              <w:t>·</w:t>
            </w:r>
            <w:r>
              <w:rPr>
                <w:rFonts w:ascii="Calibri" w:hAnsi="Calibri" w:cs="Calibri"/>
                <w:color w:val="000000"/>
              </w:rPr>
              <w:t>97)</w:t>
            </w:r>
          </w:p>
        </w:tc>
        <w:tc>
          <w:tcPr>
            <w:tcW w:w="1740" w:type="dxa"/>
            <w:tcBorders>
              <w:top w:val="nil"/>
              <w:left w:val="nil"/>
              <w:bottom w:val="nil"/>
              <w:right w:val="single" w:sz="4" w:space="0" w:color="auto"/>
            </w:tcBorders>
            <w:shd w:val="clear" w:color="auto" w:fill="auto"/>
            <w:noWrap/>
            <w:vAlign w:val="bottom"/>
          </w:tcPr>
          <w:p w14:paraId="1EB0DF44" w14:textId="5945EECF" w:rsidR="00F73991" w:rsidRPr="00A848A4" w:rsidRDefault="00F73991" w:rsidP="00F73991">
            <w:pPr>
              <w:pStyle w:val="NoSpacing"/>
              <w:jc w:val="center"/>
              <w:rPr>
                <w:rFonts w:cstheme="minorHAnsi"/>
                <w:bCs/>
                <w:szCs w:val="18"/>
              </w:rPr>
            </w:pPr>
            <w:r>
              <w:rPr>
                <w:rFonts w:ascii="Calibri" w:hAnsi="Calibri" w:cs="Calibri"/>
                <w:color w:val="000000"/>
              </w:rPr>
              <w:t>0</w:t>
            </w:r>
            <w:r w:rsidR="00795537">
              <w:rPr>
                <w:rFonts w:ascii="Calibri" w:hAnsi="Calibri" w:cs="Calibri"/>
                <w:color w:val="000000"/>
              </w:rPr>
              <w:t>·</w:t>
            </w:r>
            <w:r>
              <w:rPr>
                <w:rFonts w:ascii="Calibri" w:hAnsi="Calibri" w:cs="Calibri"/>
                <w:color w:val="000000"/>
              </w:rPr>
              <w:t>98 (0</w:t>
            </w:r>
            <w:r w:rsidR="00795537">
              <w:rPr>
                <w:rFonts w:ascii="Calibri" w:hAnsi="Calibri" w:cs="Calibri"/>
                <w:color w:val="000000"/>
              </w:rPr>
              <w:t>·</w:t>
            </w:r>
            <w:r>
              <w:rPr>
                <w:rFonts w:ascii="Calibri" w:hAnsi="Calibri" w:cs="Calibri"/>
                <w:color w:val="000000"/>
              </w:rPr>
              <w:t>97, 0</w:t>
            </w:r>
            <w:r w:rsidR="00795537">
              <w:rPr>
                <w:rFonts w:ascii="Calibri" w:hAnsi="Calibri" w:cs="Calibri"/>
                <w:color w:val="000000"/>
              </w:rPr>
              <w:t>·</w:t>
            </w:r>
            <w:r>
              <w:rPr>
                <w:rFonts w:ascii="Calibri" w:hAnsi="Calibri" w:cs="Calibri"/>
                <w:color w:val="000000"/>
              </w:rPr>
              <w:t>99)</w:t>
            </w:r>
          </w:p>
        </w:tc>
        <w:tc>
          <w:tcPr>
            <w:tcW w:w="1740" w:type="dxa"/>
            <w:tcBorders>
              <w:top w:val="nil"/>
              <w:left w:val="single" w:sz="4" w:space="0" w:color="auto"/>
              <w:bottom w:val="nil"/>
              <w:right w:val="nil"/>
            </w:tcBorders>
            <w:vAlign w:val="bottom"/>
          </w:tcPr>
          <w:p w14:paraId="7EBD99AA" w14:textId="2799DEC4" w:rsidR="00F73991" w:rsidRPr="00A848A4" w:rsidRDefault="00F73991" w:rsidP="00F73991">
            <w:pPr>
              <w:pStyle w:val="NoSpacing"/>
              <w:jc w:val="center"/>
              <w:rPr>
                <w:rFonts w:cstheme="minorHAnsi"/>
                <w:bCs/>
                <w:szCs w:val="18"/>
              </w:rPr>
            </w:pPr>
            <w:r>
              <w:rPr>
                <w:rFonts w:ascii="Calibri" w:hAnsi="Calibri" w:cs="Calibri"/>
                <w:color w:val="000000"/>
              </w:rPr>
              <w:t>0</w:t>
            </w:r>
            <w:r w:rsidR="00795537">
              <w:rPr>
                <w:rFonts w:ascii="Calibri" w:hAnsi="Calibri" w:cs="Calibri"/>
                <w:color w:val="000000"/>
              </w:rPr>
              <w:t>·</w:t>
            </w:r>
            <w:r>
              <w:rPr>
                <w:rFonts w:ascii="Calibri" w:hAnsi="Calibri" w:cs="Calibri"/>
                <w:color w:val="000000"/>
              </w:rPr>
              <w:t>99 (0</w:t>
            </w:r>
            <w:r w:rsidR="00795537">
              <w:rPr>
                <w:rFonts w:ascii="Calibri" w:hAnsi="Calibri" w:cs="Calibri"/>
                <w:color w:val="000000"/>
              </w:rPr>
              <w:t>·</w:t>
            </w:r>
            <w:r>
              <w:rPr>
                <w:rFonts w:ascii="Calibri" w:hAnsi="Calibri" w:cs="Calibri"/>
                <w:color w:val="000000"/>
              </w:rPr>
              <w:t>98, 1</w:t>
            </w:r>
            <w:r w:rsidR="00795537">
              <w:rPr>
                <w:rFonts w:ascii="Calibri" w:hAnsi="Calibri" w:cs="Calibri"/>
                <w:color w:val="000000"/>
              </w:rPr>
              <w:t>·</w:t>
            </w:r>
            <w:r>
              <w:rPr>
                <w:rFonts w:ascii="Calibri" w:hAnsi="Calibri" w:cs="Calibri"/>
                <w:color w:val="000000"/>
              </w:rPr>
              <w:t>00)</w:t>
            </w:r>
          </w:p>
        </w:tc>
        <w:tc>
          <w:tcPr>
            <w:tcW w:w="1740" w:type="dxa"/>
            <w:tcBorders>
              <w:top w:val="nil"/>
              <w:left w:val="nil"/>
              <w:bottom w:val="nil"/>
              <w:right w:val="nil"/>
            </w:tcBorders>
            <w:vAlign w:val="bottom"/>
          </w:tcPr>
          <w:p w14:paraId="4ABD1BEC" w14:textId="36BF0F8D" w:rsidR="00F73991" w:rsidRPr="00A848A4" w:rsidRDefault="00F73991" w:rsidP="00F73991">
            <w:pPr>
              <w:pStyle w:val="NoSpacing"/>
              <w:jc w:val="center"/>
              <w:rPr>
                <w:rFonts w:cstheme="minorHAnsi"/>
                <w:bCs/>
                <w:szCs w:val="18"/>
              </w:rPr>
            </w:pPr>
            <w:r>
              <w:rPr>
                <w:rFonts w:ascii="Calibri" w:hAnsi="Calibri" w:cs="Calibri"/>
                <w:color w:val="000000"/>
              </w:rPr>
              <w:t>1</w:t>
            </w:r>
            <w:r w:rsidR="00795537">
              <w:rPr>
                <w:rFonts w:ascii="Calibri" w:hAnsi="Calibri" w:cs="Calibri"/>
                <w:color w:val="000000"/>
              </w:rPr>
              <w:t>·</w:t>
            </w:r>
            <w:r>
              <w:rPr>
                <w:rFonts w:ascii="Calibri" w:hAnsi="Calibri" w:cs="Calibri"/>
                <w:color w:val="000000"/>
              </w:rPr>
              <w:t>02 (1</w:t>
            </w:r>
            <w:r w:rsidR="00795537">
              <w:rPr>
                <w:rFonts w:ascii="Calibri" w:hAnsi="Calibri" w:cs="Calibri"/>
                <w:color w:val="000000"/>
              </w:rPr>
              <w:t>·</w:t>
            </w:r>
            <w:r>
              <w:rPr>
                <w:rFonts w:ascii="Calibri" w:hAnsi="Calibri" w:cs="Calibri"/>
                <w:color w:val="000000"/>
              </w:rPr>
              <w:t>00, 1</w:t>
            </w:r>
            <w:r w:rsidR="00795537">
              <w:rPr>
                <w:rFonts w:ascii="Calibri" w:hAnsi="Calibri" w:cs="Calibri"/>
                <w:color w:val="000000"/>
              </w:rPr>
              <w:t>·</w:t>
            </w:r>
            <w:r>
              <w:rPr>
                <w:rFonts w:ascii="Calibri" w:hAnsi="Calibri" w:cs="Calibri"/>
                <w:color w:val="000000"/>
              </w:rPr>
              <w:t>03)</w:t>
            </w:r>
          </w:p>
        </w:tc>
      </w:tr>
      <w:tr w:rsidR="00F73991" w:rsidRPr="00B85339" w14:paraId="0D5B414B" w14:textId="53E50EAA" w:rsidTr="004A65BA">
        <w:trPr>
          <w:trHeight w:val="256"/>
        </w:trPr>
        <w:tc>
          <w:tcPr>
            <w:tcW w:w="2610" w:type="dxa"/>
            <w:tcBorders>
              <w:left w:val="nil"/>
            </w:tcBorders>
            <w:shd w:val="clear" w:color="auto" w:fill="auto"/>
            <w:noWrap/>
            <w:vAlign w:val="center"/>
          </w:tcPr>
          <w:p w14:paraId="697921F4" w14:textId="39F36DB0" w:rsidR="00F73991" w:rsidRPr="00A848A4" w:rsidRDefault="00F73991" w:rsidP="00F73991">
            <w:pPr>
              <w:pStyle w:val="NoSpacing"/>
              <w:rPr>
                <w:rFonts w:cstheme="minorHAnsi"/>
                <w:b/>
                <w:bCs/>
                <w:szCs w:val="18"/>
              </w:rPr>
            </w:pPr>
            <w:r w:rsidRPr="00A848A4">
              <w:rPr>
                <w:rFonts w:cstheme="minorHAnsi"/>
                <w:b/>
                <w:bCs/>
                <w:szCs w:val="18"/>
              </w:rPr>
              <w:t xml:space="preserve">% Blue space </w:t>
            </w:r>
            <w:r>
              <w:rPr>
                <w:rFonts w:cstheme="minorHAnsi"/>
                <w:b/>
                <w:bCs/>
                <w:szCs w:val="18"/>
              </w:rPr>
              <w:t xml:space="preserve">cover </w:t>
            </w:r>
            <w:r w:rsidRPr="00A848A4">
              <w:rPr>
                <w:rFonts w:cstheme="minorHAnsi"/>
                <w:b/>
                <w:bCs/>
                <w:szCs w:val="18"/>
              </w:rPr>
              <w:t>(3</w:t>
            </w:r>
            <w:r w:rsidR="00795537">
              <w:rPr>
                <w:rFonts w:cstheme="minorHAnsi"/>
                <w:b/>
                <w:bCs/>
                <w:szCs w:val="18"/>
              </w:rPr>
              <w:t>·</w:t>
            </w:r>
            <w:r w:rsidRPr="00A848A4">
              <w:rPr>
                <w:rFonts w:cstheme="minorHAnsi"/>
                <w:b/>
                <w:bCs/>
                <w:szCs w:val="18"/>
              </w:rPr>
              <w:t>2)</w:t>
            </w:r>
          </w:p>
        </w:tc>
        <w:tc>
          <w:tcPr>
            <w:tcW w:w="1740" w:type="dxa"/>
            <w:tcBorders>
              <w:top w:val="nil"/>
              <w:left w:val="single" w:sz="4" w:space="0" w:color="auto"/>
              <w:bottom w:val="nil"/>
              <w:right w:val="nil"/>
            </w:tcBorders>
            <w:shd w:val="clear" w:color="auto" w:fill="auto"/>
            <w:noWrap/>
            <w:vAlign w:val="bottom"/>
          </w:tcPr>
          <w:p w14:paraId="335CE7C6" w14:textId="7FC4F2DD" w:rsidR="00F73991" w:rsidRPr="00A848A4" w:rsidRDefault="00F73991" w:rsidP="00F73991">
            <w:pPr>
              <w:pStyle w:val="NoSpacing"/>
              <w:jc w:val="center"/>
              <w:rPr>
                <w:rFonts w:cstheme="minorHAnsi"/>
                <w:bCs/>
                <w:szCs w:val="18"/>
              </w:rPr>
            </w:pPr>
            <w:r w:rsidRPr="00A848A4">
              <w:rPr>
                <w:rFonts w:cstheme="minorHAnsi"/>
                <w:bCs/>
                <w:szCs w:val="18"/>
              </w:rPr>
              <w:t>1</w:t>
            </w:r>
            <w:r w:rsidR="00795537">
              <w:rPr>
                <w:rFonts w:cstheme="minorHAnsi"/>
                <w:bCs/>
                <w:szCs w:val="18"/>
              </w:rPr>
              <w:t>·</w:t>
            </w:r>
            <w:r w:rsidRPr="00A848A4">
              <w:rPr>
                <w:rFonts w:cstheme="minorHAnsi"/>
                <w:bCs/>
                <w:szCs w:val="18"/>
              </w:rPr>
              <w:t>00</w:t>
            </w:r>
            <w:r>
              <w:rPr>
                <w:rFonts w:ascii="Calibri" w:hAnsi="Calibri" w:cs="Calibri"/>
                <w:color w:val="000000"/>
              </w:rPr>
              <w:t xml:space="preserve"> (</w:t>
            </w:r>
            <w:r w:rsidRPr="00A848A4">
              <w:rPr>
                <w:rFonts w:cstheme="minorHAnsi"/>
                <w:bCs/>
                <w:szCs w:val="18"/>
              </w:rPr>
              <w:t>1</w:t>
            </w:r>
            <w:r w:rsidR="00795537">
              <w:rPr>
                <w:rFonts w:cstheme="minorHAnsi"/>
                <w:bCs/>
                <w:szCs w:val="18"/>
              </w:rPr>
              <w:t>·</w:t>
            </w:r>
            <w:r w:rsidRPr="00A848A4">
              <w:rPr>
                <w:rFonts w:cstheme="minorHAnsi"/>
                <w:bCs/>
                <w:szCs w:val="18"/>
              </w:rPr>
              <w:t>00</w:t>
            </w:r>
            <w:r>
              <w:rPr>
                <w:rFonts w:ascii="Calibri" w:hAnsi="Calibri" w:cs="Calibri"/>
                <w:color w:val="000000"/>
              </w:rPr>
              <w:t xml:space="preserve">, </w:t>
            </w:r>
            <w:r w:rsidRPr="00A848A4">
              <w:rPr>
                <w:rFonts w:cstheme="minorHAnsi"/>
                <w:bCs/>
                <w:szCs w:val="18"/>
              </w:rPr>
              <w:t>1</w:t>
            </w:r>
            <w:r w:rsidR="00795537">
              <w:rPr>
                <w:rFonts w:cstheme="minorHAnsi"/>
                <w:bCs/>
                <w:szCs w:val="18"/>
              </w:rPr>
              <w:t>·</w:t>
            </w:r>
            <w:r w:rsidRPr="00A848A4">
              <w:rPr>
                <w:rFonts w:cstheme="minorHAnsi"/>
                <w:bCs/>
                <w:szCs w:val="18"/>
              </w:rPr>
              <w:t>00</w:t>
            </w:r>
            <w:r>
              <w:rPr>
                <w:rFonts w:ascii="Calibri" w:hAnsi="Calibri" w:cs="Calibri"/>
                <w:color w:val="000000"/>
              </w:rPr>
              <w:t>)</w:t>
            </w:r>
          </w:p>
        </w:tc>
        <w:tc>
          <w:tcPr>
            <w:tcW w:w="1740" w:type="dxa"/>
            <w:tcBorders>
              <w:top w:val="nil"/>
              <w:left w:val="nil"/>
              <w:bottom w:val="nil"/>
              <w:right w:val="single" w:sz="4" w:space="0" w:color="auto"/>
            </w:tcBorders>
            <w:shd w:val="clear" w:color="auto" w:fill="auto"/>
            <w:noWrap/>
            <w:vAlign w:val="bottom"/>
          </w:tcPr>
          <w:p w14:paraId="0E347438" w14:textId="0608AC06" w:rsidR="00F73991" w:rsidRPr="00A848A4" w:rsidRDefault="00F73991" w:rsidP="00F73991">
            <w:pPr>
              <w:pStyle w:val="NoSpacing"/>
              <w:jc w:val="center"/>
              <w:rPr>
                <w:rFonts w:cstheme="minorHAnsi"/>
                <w:bCs/>
                <w:szCs w:val="18"/>
              </w:rPr>
            </w:pPr>
            <w:r>
              <w:rPr>
                <w:rFonts w:ascii="Calibri" w:hAnsi="Calibri" w:cs="Calibri"/>
                <w:color w:val="000000"/>
              </w:rPr>
              <w:t>1</w:t>
            </w:r>
            <w:r w:rsidR="00795537">
              <w:rPr>
                <w:rFonts w:ascii="Calibri" w:hAnsi="Calibri" w:cs="Calibri"/>
                <w:color w:val="000000"/>
              </w:rPr>
              <w:t>·</w:t>
            </w:r>
            <w:r>
              <w:rPr>
                <w:rFonts w:ascii="Calibri" w:hAnsi="Calibri" w:cs="Calibri"/>
                <w:color w:val="000000"/>
              </w:rPr>
              <w:t>00 (1</w:t>
            </w:r>
            <w:r w:rsidR="00795537">
              <w:rPr>
                <w:rFonts w:ascii="Calibri" w:hAnsi="Calibri" w:cs="Calibri"/>
                <w:color w:val="000000"/>
              </w:rPr>
              <w:t>·</w:t>
            </w:r>
            <w:r>
              <w:rPr>
                <w:rFonts w:ascii="Calibri" w:hAnsi="Calibri" w:cs="Calibri"/>
                <w:color w:val="000000"/>
              </w:rPr>
              <w:t>00, 1</w:t>
            </w:r>
            <w:r w:rsidR="00795537">
              <w:rPr>
                <w:rFonts w:ascii="Calibri" w:hAnsi="Calibri" w:cs="Calibri"/>
                <w:color w:val="000000"/>
              </w:rPr>
              <w:t>·</w:t>
            </w:r>
            <w:r>
              <w:rPr>
                <w:rFonts w:ascii="Calibri" w:hAnsi="Calibri" w:cs="Calibri"/>
                <w:color w:val="000000"/>
              </w:rPr>
              <w:t>00)</w:t>
            </w:r>
          </w:p>
        </w:tc>
        <w:tc>
          <w:tcPr>
            <w:tcW w:w="1740" w:type="dxa"/>
            <w:tcBorders>
              <w:top w:val="nil"/>
              <w:left w:val="single" w:sz="4" w:space="0" w:color="auto"/>
              <w:bottom w:val="nil"/>
              <w:right w:val="nil"/>
            </w:tcBorders>
            <w:vAlign w:val="bottom"/>
          </w:tcPr>
          <w:p w14:paraId="1570791C" w14:textId="2100931F" w:rsidR="00F73991" w:rsidRPr="00A848A4" w:rsidRDefault="00F73991" w:rsidP="00F73991">
            <w:pPr>
              <w:pStyle w:val="NoSpacing"/>
              <w:jc w:val="center"/>
              <w:rPr>
                <w:rFonts w:cstheme="minorHAnsi"/>
                <w:bCs/>
                <w:szCs w:val="18"/>
              </w:rPr>
            </w:pPr>
            <w:r>
              <w:rPr>
                <w:rFonts w:ascii="Calibri" w:hAnsi="Calibri" w:cs="Calibri"/>
                <w:color w:val="000000"/>
              </w:rPr>
              <w:t>1</w:t>
            </w:r>
            <w:r w:rsidR="00795537">
              <w:rPr>
                <w:rFonts w:ascii="Calibri" w:hAnsi="Calibri" w:cs="Calibri"/>
                <w:color w:val="000000"/>
              </w:rPr>
              <w:t>·</w:t>
            </w:r>
            <w:r>
              <w:rPr>
                <w:rFonts w:ascii="Calibri" w:hAnsi="Calibri" w:cs="Calibri"/>
                <w:color w:val="000000"/>
              </w:rPr>
              <w:t>00 (1</w:t>
            </w:r>
            <w:r w:rsidR="00795537">
              <w:rPr>
                <w:rFonts w:ascii="Calibri" w:hAnsi="Calibri" w:cs="Calibri"/>
                <w:color w:val="000000"/>
              </w:rPr>
              <w:t>·</w:t>
            </w:r>
            <w:r>
              <w:rPr>
                <w:rFonts w:ascii="Calibri" w:hAnsi="Calibri" w:cs="Calibri"/>
                <w:color w:val="000000"/>
              </w:rPr>
              <w:t>00, 1</w:t>
            </w:r>
            <w:r w:rsidR="00795537">
              <w:rPr>
                <w:rFonts w:ascii="Calibri" w:hAnsi="Calibri" w:cs="Calibri"/>
                <w:color w:val="000000"/>
              </w:rPr>
              <w:t>·</w:t>
            </w:r>
            <w:r>
              <w:rPr>
                <w:rFonts w:ascii="Calibri" w:hAnsi="Calibri" w:cs="Calibri"/>
                <w:color w:val="000000"/>
              </w:rPr>
              <w:t>00)</w:t>
            </w:r>
          </w:p>
        </w:tc>
        <w:tc>
          <w:tcPr>
            <w:tcW w:w="1740" w:type="dxa"/>
            <w:tcBorders>
              <w:top w:val="nil"/>
              <w:left w:val="nil"/>
              <w:bottom w:val="nil"/>
              <w:right w:val="nil"/>
            </w:tcBorders>
            <w:vAlign w:val="bottom"/>
          </w:tcPr>
          <w:p w14:paraId="16E2E97C" w14:textId="10522797" w:rsidR="00F73991" w:rsidRPr="00A848A4" w:rsidRDefault="00F73991" w:rsidP="00F73991">
            <w:pPr>
              <w:pStyle w:val="NoSpacing"/>
              <w:jc w:val="center"/>
              <w:rPr>
                <w:rFonts w:cstheme="minorHAnsi"/>
                <w:bCs/>
                <w:szCs w:val="18"/>
              </w:rPr>
            </w:pPr>
            <w:r>
              <w:rPr>
                <w:rFonts w:ascii="Calibri" w:hAnsi="Calibri" w:cs="Calibri"/>
                <w:color w:val="000000"/>
              </w:rPr>
              <w:t>1</w:t>
            </w:r>
            <w:r w:rsidR="00795537">
              <w:rPr>
                <w:rFonts w:ascii="Calibri" w:hAnsi="Calibri" w:cs="Calibri"/>
                <w:color w:val="000000"/>
              </w:rPr>
              <w:t>·</w:t>
            </w:r>
            <w:r>
              <w:rPr>
                <w:rFonts w:ascii="Calibri" w:hAnsi="Calibri" w:cs="Calibri"/>
                <w:color w:val="000000"/>
              </w:rPr>
              <w:t>00 (1</w:t>
            </w:r>
            <w:r w:rsidR="00795537">
              <w:rPr>
                <w:rFonts w:ascii="Calibri" w:hAnsi="Calibri" w:cs="Calibri"/>
                <w:color w:val="000000"/>
              </w:rPr>
              <w:t>·</w:t>
            </w:r>
            <w:r>
              <w:rPr>
                <w:rFonts w:ascii="Calibri" w:hAnsi="Calibri" w:cs="Calibri"/>
                <w:color w:val="000000"/>
              </w:rPr>
              <w:t>00, 1</w:t>
            </w:r>
            <w:r w:rsidR="00795537">
              <w:rPr>
                <w:rFonts w:ascii="Calibri" w:hAnsi="Calibri" w:cs="Calibri"/>
                <w:color w:val="000000"/>
              </w:rPr>
              <w:t>·</w:t>
            </w:r>
            <w:r>
              <w:rPr>
                <w:rFonts w:ascii="Calibri" w:hAnsi="Calibri" w:cs="Calibri"/>
                <w:color w:val="000000"/>
              </w:rPr>
              <w:t>00)</w:t>
            </w:r>
          </w:p>
        </w:tc>
      </w:tr>
    </w:tbl>
    <w:p w14:paraId="426B80DD" w14:textId="77777777" w:rsidR="00104970" w:rsidRPr="00B85339" w:rsidRDefault="00104970" w:rsidP="00104970">
      <w:pPr>
        <w:jc w:val="both"/>
        <w:rPr>
          <w:sz w:val="24"/>
          <w:vertAlign w:val="superscript"/>
          <w:lang w:val="en-GB"/>
        </w:rPr>
      </w:pPr>
    </w:p>
    <w:p w14:paraId="7322EA5F" w14:textId="3ABBD0A8" w:rsidR="00104970" w:rsidRPr="0078689B" w:rsidRDefault="00104970" w:rsidP="00104970">
      <w:pPr>
        <w:jc w:val="both"/>
        <w:rPr>
          <w:sz w:val="18"/>
          <w:szCs w:val="18"/>
          <w:lang w:val="en-GB"/>
        </w:rPr>
      </w:pPr>
      <w:proofErr w:type="spellStart"/>
      <w:proofErr w:type="gramStart"/>
      <w:r w:rsidRPr="0078689B">
        <w:rPr>
          <w:sz w:val="18"/>
          <w:szCs w:val="18"/>
          <w:vertAlign w:val="superscript"/>
          <w:lang w:val="en-GB"/>
        </w:rPr>
        <w:t>a</w:t>
      </w:r>
      <w:proofErr w:type="spellEnd"/>
      <w:proofErr w:type="gramEnd"/>
      <w:r w:rsidRPr="0078689B">
        <w:rPr>
          <w:sz w:val="18"/>
          <w:szCs w:val="18"/>
          <w:lang w:val="en-GB"/>
        </w:rPr>
        <w:t xml:space="preserve"> </w:t>
      </w:r>
      <w:r w:rsidR="0054541F" w:rsidRPr="0078689B">
        <w:rPr>
          <w:sz w:val="18"/>
          <w:szCs w:val="18"/>
          <w:lang w:val="en-GB"/>
        </w:rPr>
        <w:t xml:space="preserve">Associations are expressed per IQR increase of the </w:t>
      </w:r>
      <w:r w:rsidR="00902062">
        <w:rPr>
          <w:sz w:val="18"/>
          <w:szCs w:val="18"/>
          <w:lang w:val="en-GB"/>
        </w:rPr>
        <w:t>CVD</w:t>
      </w:r>
      <w:r w:rsidR="0054541F" w:rsidRPr="0078689B">
        <w:rPr>
          <w:sz w:val="18"/>
          <w:szCs w:val="18"/>
          <w:lang w:val="en-GB"/>
        </w:rPr>
        <w:t xml:space="preserve"> hospitalization (full) cohort.</w:t>
      </w:r>
      <w:r w:rsidR="0054541F">
        <w:rPr>
          <w:sz w:val="18"/>
          <w:szCs w:val="18"/>
          <w:lang w:val="en-GB"/>
        </w:rPr>
        <w:t xml:space="preserve"> </w:t>
      </w:r>
      <w:r w:rsidRPr="0078689B">
        <w:rPr>
          <w:sz w:val="18"/>
          <w:szCs w:val="18"/>
          <w:lang w:val="en-GB"/>
        </w:rPr>
        <w:t xml:space="preserve">Models included </w:t>
      </w:r>
      <w:r w:rsidR="0073291F">
        <w:rPr>
          <w:sz w:val="18"/>
          <w:szCs w:val="18"/>
          <w:lang w:val="en-GB"/>
        </w:rPr>
        <w:t xml:space="preserve">percent </w:t>
      </w:r>
      <w:r w:rsidRPr="0078689B">
        <w:rPr>
          <w:sz w:val="18"/>
          <w:szCs w:val="18"/>
          <w:lang w:val="en-GB"/>
        </w:rPr>
        <w:t xml:space="preserve">public park cover, NDVI and </w:t>
      </w:r>
      <w:r w:rsidR="0073291F">
        <w:rPr>
          <w:sz w:val="18"/>
          <w:szCs w:val="18"/>
          <w:lang w:val="en-GB"/>
        </w:rPr>
        <w:t xml:space="preserve">percent </w:t>
      </w:r>
      <w:r w:rsidRPr="0078689B">
        <w:rPr>
          <w:sz w:val="18"/>
          <w:szCs w:val="18"/>
          <w:lang w:val="en-GB"/>
        </w:rPr>
        <w:t>blue space</w:t>
      </w:r>
      <w:r w:rsidR="0073291F">
        <w:rPr>
          <w:sz w:val="18"/>
          <w:szCs w:val="18"/>
          <w:lang w:val="en-GB"/>
        </w:rPr>
        <w:t xml:space="preserve"> cover</w:t>
      </w:r>
      <w:r w:rsidRPr="0078689B">
        <w:rPr>
          <w:sz w:val="18"/>
          <w:szCs w:val="18"/>
          <w:lang w:val="en-GB"/>
        </w:rPr>
        <w:t xml:space="preserve"> simultaneously. Models were adjusted for calendar year, </w:t>
      </w:r>
      <w:r w:rsidR="002A483B">
        <w:rPr>
          <w:sz w:val="18"/>
          <w:szCs w:val="18"/>
          <w:lang w:val="en-GB"/>
        </w:rPr>
        <w:t>region,</w:t>
      </w:r>
      <w:r w:rsidR="00EC34A3">
        <w:rPr>
          <w:sz w:val="18"/>
          <w:szCs w:val="18"/>
          <w:lang w:val="en-GB"/>
        </w:rPr>
        <w:t xml:space="preserve"> U.S.</w:t>
      </w:r>
      <w:r w:rsidRPr="0078689B">
        <w:rPr>
          <w:sz w:val="18"/>
          <w:szCs w:val="18"/>
          <w:lang w:val="en-GB"/>
        </w:rPr>
        <w:t xml:space="preserve"> census covariates, </w:t>
      </w:r>
      <w:r w:rsidR="0078689B">
        <w:rPr>
          <w:sz w:val="18"/>
          <w:szCs w:val="18"/>
          <w:lang w:val="en-GB"/>
        </w:rPr>
        <w:t>% ever smoked</w:t>
      </w:r>
      <w:r w:rsidRPr="0078689B">
        <w:rPr>
          <w:sz w:val="18"/>
          <w:szCs w:val="18"/>
          <w:lang w:val="en-GB"/>
        </w:rPr>
        <w:t>,</w:t>
      </w:r>
      <w:r w:rsidR="0078689B">
        <w:rPr>
          <w:sz w:val="18"/>
          <w:szCs w:val="18"/>
          <w:lang w:val="en-GB"/>
        </w:rPr>
        <w:t xml:space="preserve"> summer temperature, summer specific humidity, summer total precipitation,</w:t>
      </w:r>
      <w:r w:rsidRPr="0078689B">
        <w:rPr>
          <w:sz w:val="18"/>
          <w:szCs w:val="18"/>
          <w:lang w:val="en-GB"/>
        </w:rPr>
        <w:t xml:space="preserve"> an offset for total person-time and strata for all possible combinations of sex, race, Medicaid Eligibility, age at study entry (2-year categories), and follow-up year.</w:t>
      </w:r>
      <w:r w:rsidR="005245E8" w:rsidRPr="0078689B">
        <w:rPr>
          <w:sz w:val="18"/>
          <w:szCs w:val="18"/>
          <w:lang w:val="en-GB"/>
        </w:rPr>
        <w:t xml:space="preserve"> </w:t>
      </w:r>
      <w:r w:rsidR="005245E8" w:rsidRPr="0078689B">
        <w:rPr>
          <w:sz w:val="18"/>
          <w:szCs w:val="18"/>
        </w:rPr>
        <w:t>Urban cohorts included all person years in zip codes with a population density of 1000+ persons/mile</w:t>
      </w:r>
      <w:r w:rsidR="005245E8" w:rsidRPr="0078689B">
        <w:rPr>
          <w:sz w:val="18"/>
          <w:szCs w:val="18"/>
          <w:vertAlign w:val="superscript"/>
        </w:rPr>
        <w:t>2</w:t>
      </w:r>
      <w:r w:rsidR="005245E8" w:rsidRPr="0078689B">
        <w:rPr>
          <w:sz w:val="18"/>
          <w:szCs w:val="18"/>
        </w:rPr>
        <w:t>.</w:t>
      </w:r>
    </w:p>
    <w:p w14:paraId="14D0E704" w14:textId="58B52DDB" w:rsidR="00AF1579" w:rsidRPr="00AF1579" w:rsidRDefault="00AF1579" w:rsidP="00AF1579">
      <w:pPr>
        <w:jc w:val="both"/>
        <w:rPr>
          <w:sz w:val="18"/>
          <w:szCs w:val="18"/>
        </w:rPr>
      </w:pPr>
      <w:proofErr w:type="gramStart"/>
      <w:r w:rsidRPr="00AF1579">
        <w:rPr>
          <w:sz w:val="18"/>
          <w:szCs w:val="18"/>
          <w:vertAlign w:val="superscript"/>
          <w:lang w:val="en-GB"/>
        </w:rPr>
        <w:t>b</w:t>
      </w:r>
      <w:proofErr w:type="gramEnd"/>
      <w:r w:rsidRPr="00AF1579">
        <w:rPr>
          <w:sz w:val="18"/>
          <w:szCs w:val="18"/>
          <w:lang w:val="en-GB"/>
        </w:rPr>
        <w:t xml:space="preserve"> In the full cohorts, we observed 18,610,833 first CVD hospital admissions in 401,315,016 person years</w:t>
      </w:r>
      <w:r w:rsidRPr="00AF1579">
        <w:rPr>
          <w:sz w:val="18"/>
          <w:szCs w:val="18"/>
        </w:rPr>
        <w:t xml:space="preserve">, 9,741,992 first respiratory disease hospital admissions in 453,244,756 person years. In the urban cohorts, </w:t>
      </w:r>
      <w:r w:rsidRPr="00AF1579">
        <w:rPr>
          <w:sz w:val="18"/>
          <w:szCs w:val="18"/>
          <w:lang w:val="en-GB"/>
        </w:rPr>
        <w:t xml:space="preserve">we observed </w:t>
      </w:r>
      <w:r w:rsidRPr="00AF1579">
        <w:rPr>
          <w:sz w:val="18"/>
          <w:szCs w:val="18"/>
        </w:rPr>
        <w:t xml:space="preserve">8,354,677 </w:t>
      </w:r>
      <w:r w:rsidRPr="00AF1579">
        <w:rPr>
          <w:sz w:val="18"/>
          <w:szCs w:val="18"/>
          <w:lang w:val="en-GB"/>
        </w:rPr>
        <w:t xml:space="preserve">first CVD hospital admissions in </w:t>
      </w:r>
      <w:r w:rsidRPr="00AF1579">
        <w:rPr>
          <w:sz w:val="18"/>
          <w:szCs w:val="18"/>
        </w:rPr>
        <w:t>185,252,789</w:t>
      </w:r>
      <w:r w:rsidRPr="00AF1579">
        <w:rPr>
          <w:sz w:val="18"/>
          <w:szCs w:val="18"/>
          <w:lang w:val="en-GB"/>
        </w:rPr>
        <w:t xml:space="preserve"> person years</w:t>
      </w:r>
      <w:r w:rsidRPr="00AF1579">
        <w:rPr>
          <w:sz w:val="18"/>
          <w:szCs w:val="18"/>
        </w:rPr>
        <w:t xml:space="preserve">, 4,387,395 first respiratory disease hospital admissions in 208,437,165 person years </w:t>
      </w:r>
    </w:p>
    <w:p w14:paraId="0BF09139" w14:textId="77777777" w:rsidR="00203634" w:rsidRDefault="00203634" w:rsidP="00BA2D6C">
      <w:pPr>
        <w:rPr>
          <w:b/>
          <w:bCs/>
        </w:rPr>
      </w:pPr>
    </w:p>
    <w:p w14:paraId="47BC3B54" w14:textId="77777777" w:rsidR="00104970" w:rsidRDefault="00104970" w:rsidP="00BA2D6C">
      <w:pPr>
        <w:rPr>
          <w:b/>
          <w:bCs/>
        </w:rPr>
      </w:pPr>
    </w:p>
    <w:p w14:paraId="07D328EF" w14:textId="77777777" w:rsidR="00104970" w:rsidRDefault="00104970" w:rsidP="00BA2D6C">
      <w:pPr>
        <w:rPr>
          <w:b/>
          <w:bCs/>
        </w:rPr>
      </w:pPr>
    </w:p>
    <w:p w14:paraId="46FE3251" w14:textId="77777777" w:rsidR="00D807B4" w:rsidRDefault="00D807B4" w:rsidP="00BA2D6C">
      <w:pPr>
        <w:rPr>
          <w:b/>
          <w:bCs/>
        </w:rPr>
      </w:pPr>
    </w:p>
    <w:p w14:paraId="605A8050" w14:textId="77777777" w:rsidR="00D807B4" w:rsidRDefault="00D807B4" w:rsidP="00BA2D6C">
      <w:pPr>
        <w:rPr>
          <w:b/>
          <w:bCs/>
        </w:rPr>
      </w:pPr>
    </w:p>
    <w:p w14:paraId="1B53C469" w14:textId="77777777" w:rsidR="00D807B4" w:rsidRDefault="00D807B4" w:rsidP="00BA2D6C">
      <w:pPr>
        <w:rPr>
          <w:b/>
          <w:bCs/>
        </w:rPr>
      </w:pPr>
    </w:p>
    <w:p w14:paraId="377FA482" w14:textId="77777777" w:rsidR="00D807B4" w:rsidRDefault="00D807B4" w:rsidP="00BA2D6C">
      <w:pPr>
        <w:rPr>
          <w:b/>
          <w:bCs/>
        </w:rPr>
      </w:pPr>
    </w:p>
    <w:p w14:paraId="6E647B16" w14:textId="77777777" w:rsidR="00D807B4" w:rsidRDefault="00D807B4" w:rsidP="00BA2D6C">
      <w:pPr>
        <w:rPr>
          <w:b/>
          <w:bCs/>
        </w:rPr>
      </w:pPr>
    </w:p>
    <w:p w14:paraId="795ADD2B" w14:textId="77777777" w:rsidR="00D807B4" w:rsidRDefault="00D807B4" w:rsidP="00BA2D6C">
      <w:pPr>
        <w:rPr>
          <w:b/>
          <w:bCs/>
        </w:rPr>
      </w:pPr>
    </w:p>
    <w:p w14:paraId="16464E06" w14:textId="77777777" w:rsidR="00D807B4" w:rsidRDefault="00D807B4" w:rsidP="00BA2D6C">
      <w:pPr>
        <w:rPr>
          <w:b/>
          <w:bCs/>
        </w:rPr>
      </w:pPr>
    </w:p>
    <w:p w14:paraId="0B4AE98F" w14:textId="77777777" w:rsidR="00D807B4" w:rsidRDefault="00D807B4" w:rsidP="00BA2D6C">
      <w:pPr>
        <w:rPr>
          <w:b/>
          <w:bCs/>
        </w:rPr>
      </w:pPr>
    </w:p>
    <w:p w14:paraId="0B83E6A9" w14:textId="77777777" w:rsidR="00D807B4" w:rsidRDefault="00D807B4" w:rsidP="00BA2D6C">
      <w:pPr>
        <w:rPr>
          <w:b/>
          <w:bCs/>
        </w:rPr>
      </w:pPr>
    </w:p>
    <w:p w14:paraId="2162AAA5" w14:textId="77777777" w:rsidR="00D807B4" w:rsidRDefault="00D807B4" w:rsidP="00BA2D6C">
      <w:pPr>
        <w:rPr>
          <w:b/>
          <w:bCs/>
        </w:rPr>
      </w:pPr>
    </w:p>
    <w:p w14:paraId="6B5B3C57" w14:textId="77777777" w:rsidR="00D807B4" w:rsidRDefault="00D807B4" w:rsidP="00BA2D6C">
      <w:pPr>
        <w:rPr>
          <w:b/>
          <w:bCs/>
        </w:rPr>
      </w:pPr>
    </w:p>
    <w:p w14:paraId="392D6BCF" w14:textId="77777777" w:rsidR="00D807B4" w:rsidRDefault="00D807B4" w:rsidP="00BA2D6C">
      <w:pPr>
        <w:rPr>
          <w:b/>
          <w:bCs/>
        </w:rPr>
      </w:pPr>
    </w:p>
    <w:p w14:paraId="3D870567" w14:textId="77777777" w:rsidR="00D807B4" w:rsidRDefault="00D807B4" w:rsidP="00BA2D6C">
      <w:pPr>
        <w:rPr>
          <w:b/>
          <w:bCs/>
        </w:rPr>
      </w:pPr>
    </w:p>
    <w:p w14:paraId="1E09B3F0" w14:textId="77777777" w:rsidR="00ED4BB6" w:rsidRDefault="00ED4BB6" w:rsidP="00BA2D6C">
      <w:pPr>
        <w:rPr>
          <w:b/>
          <w:bCs/>
        </w:rPr>
      </w:pPr>
    </w:p>
    <w:p w14:paraId="2E4D9FC5" w14:textId="41C0C659" w:rsidR="00ED4BB6" w:rsidRDefault="00ED4BB6" w:rsidP="00BA2D6C">
      <w:pPr>
        <w:rPr>
          <w:b/>
          <w:bCs/>
        </w:rPr>
      </w:pPr>
      <w:r>
        <w:rPr>
          <w:b/>
          <w:bCs/>
        </w:rPr>
        <w:lastRenderedPageBreak/>
        <w:t>Figure Legends</w:t>
      </w:r>
    </w:p>
    <w:p w14:paraId="19A9FE2B" w14:textId="124C307F" w:rsidR="007B4793" w:rsidRPr="00CD104F" w:rsidRDefault="007B4793" w:rsidP="00BA2D6C">
      <w:pPr>
        <w:rPr>
          <w:b/>
          <w:bCs/>
        </w:rPr>
      </w:pPr>
      <w:r>
        <w:rPr>
          <w:b/>
          <w:bCs/>
        </w:rPr>
        <w:t xml:space="preserve">Figure 1. The spatial variation of zip code </w:t>
      </w:r>
      <w:r w:rsidR="004C5EC4">
        <w:rPr>
          <w:b/>
          <w:bCs/>
        </w:rPr>
        <w:t xml:space="preserve">level </w:t>
      </w:r>
      <w:proofErr w:type="gramStart"/>
      <w:r w:rsidR="004C5EC4">
        <w:rPr>
          <w:b/>
          <w:bCs/>
        </w:rPr>
        <w:t>%</w:t>
      </w:r>
      <w:proofErr w:type="gramEnd"/>
      <w:r>
        <w:rPr>
          <w:b/>
          <w:bCs/>
        </w:rPr>
        <w:t xml:space="preserve"> Public park</w:t>
      </w:r>
      <w:r w:rsidR="00CE4566">
        <w:rPr>
          <w:b/>
          <w:bCs/>
        </w:rPr>
        <w:t xml:space="preserve"> cover</w:t>
      </w:r>
      <w:r w:rsidR="00CD104F">
        <w:rPr>
          <w:b/>
          <w:bCs/>
        </w:rPr>
        <w:t>, NDVI (2008), and % B</w:t>
      </w:r>
      <w:r>
        <w:rPr>
          <w:b/>
          <w:bCs/>
        </w:rPr>
        <w:t xml:space="preserve">lue space </w:t>
      </w:r>
      <w:r w:rsidR="00CE4566">
        <w:rPr>
          <w:b/>
          <w:bCs/>
        </w:rPr>
        <w:t xml:space="preserve">cover </w:t>
      </w:r>
      <w:r>
        <w:rPr>
          <w:b/>
          <w:bCs/>
        </w:rPr>
        <w:t>in the contiguous</w:t>
      </w:r>
      <w:r w:rsidR="00EC34A3">
        <w:rPr>
          <w:b/>
          <w:bCs/>
        </w:rPr>
        <w:t xml:space="preserve"> </w:t>
      </w:r>
      <w:proofErr w:type="spellStart"/>
      <w:r w:rsidR="00EC34A3">
        <w:rPr>
          <w:b/>
          <w:bCs/>
        </w:rPr>
        <w:t>U.S.</w:t>
      </w:r>
      <w:r w:rsidR="00CD104F" w:rsidRPr="00CD104F">
        <w:rPr>
          <w:b/>
          <w:bCs/>
          <w:vertAlign w:val="superscript"/>
        </w:rPr>
        <w:t>a</w:t>
      </w:r>
      <w:proofErr w:type="spellEnd"/>
    </w:p>
    <w:p w14:paraId="0EDC5635" w14:textId="4D1290FE" w:rsidR="00CD104F" w:rsidRPr="00CD104F" w:rsidRDefault="00CD104F" w:rsidP="00CD104F">
      <w:pPr>
        <w:jc w:val="both"/>
        <w:rPr>
          <w:bCs/>
          <w:sz w:val="18"/>
        </w:rPr>
      </w:pPr>
      <w:proofErr w:type="spellStart"/>
      <w:r w:rsidRPr="00CD104F">
        <w:rPr>
          <w:bCs/>
          <w:sz w:val="18"/>
          <w:vertAlign w:val="superscript"/>
        </w:rPr>
        <w:t>a</w:t>
      </w:r>
      <w:proofErr w:type="spellEnd"/>
      <w:r w:rsidRPr="00CD104F">
        <w:rPr>
          <w:bCs/>
          <w:sz w:val="18"/>
        </w:rPr>
        <w:t xml:space="preserve"> </w:t>
      </w:r>
      <w:r w:rsidR="00DA67BD">
        <w:rPr>
          <w:bCs/>
          <w:sz w:val="18"/>
        </w:rPr>
        <w:t>To aid in visualization, t</w:t>
      </w:r>
      <w:r w:rsidR="00DA67BD" w:rsidRPr="00CD104F">
        <w:rPr>
          <w:bCs/>
          <w:sz w:val="18"/>
        </w:rPr>
        <w:t xml:space="preserve">he </w:t>
      </w:r>
      <w:r w:rsidRPr="00CD104F">
        <w:rPr>
          <w:bCs/>
          <w:sz w:val="18"/>
        </w:rPr>
        <w:t xml:space="preserve">% Public park cover map was truncated </w:t>
      </w:r>
      <w:r w:rsidR="00DA67BD">
        <w:rPr>
          <w:bCs/>
          <w:sz w:val="18"/>
        </w:rPr>
        <w:t>at</w:t>
      </w:r>
      <w:r w:rsidR="00DA67BD" w:rsidRPr="00CD104F">
        <w:rPr>
          <w:bCs/>
          <w:sz w:val="18"/>
        </w:rPr>
        <w:t xml:space="preserve"> </w:t>
      </w:r>
      <w:r w:rsidRPr="00CD104F">
        <w:rPr>
          <w:bCs/>
          <w:sz w:val="18"/>
        </w:rPr>
        <w:t xml:space="preserve">44.0%, the NDVI map was truncated </w:t>
      </w:r>
      <w:r w:rsidR="00DA67BD">
        <w:rPr>
          <w:bCs/>
          <w:sz w:val="18"/>
        </w:rPr>
        <w:t>at</w:t>
      </w:r>
      <w:r w:rsidR="00DA67BD" w:rsidRPr="00CD104F">
        <w:rPr>
          <w:bCs/>
          <w:sz w:val="18"/>
        </w:rPr>
        <w:t xml:space="preserve"> </w:t>
      </w:r>
      <w:r w:rsidRPr="00CD104F">
        <w:rPr>
          <w:bCs/>
          <w:sz w:val="18"/>
        </w:rPr>
        <w:t xml:space="preserve">0.1 and 0.8 and the % Blue space cover map was truncated </w:t>
      </w:r>
      <w:r w:rsidR="00DA67BD">
        <w:rPr>
          <w:bCs/>
          <w:sz w:val="18"/>
        </w:rPr>
        <w:t>at</w:t>
      </w:r>
      <w:r w:rsidR="00DA67BD" w:rsidRPr="00CD104F">
        <w:rPr>
          <w:bCs/>
          <w:sz w:val="18"/>
        </w:rPr>
        <w:t xml:space="preserve"> </w:t>
      </w:r>
      <w:r w:rsidRPr="00CD104F">
        <w:rPr>
          <w:bCs/>
          <w:sz w:val="18"/>
        </w:rPr>
        <w:t xml:space="preserve">5.6% </w:t>
      </w:r>
    </w:p>
    <w:p w14:paraId="25C789A4" w14:textId="51F57226" w:rsidR="00B46E49" w:rsidRPr="008F34E8" w:rsidRDefault="00B46E49" w:rsidP="00B46E49">
      <w:pPr>
        <w:autoSpaceDE w:val="0"/>
        <w:autoSpaceDN w:val="0"/>
        <w:adjustRightInd w:val="0"/>
        <w:spacing w:after="0" w:line="240" w:lineRule="auto"/>
        <w:jc w:val="both"/>
        <w:rPr>
          <w:b/>
          <w:bCs/>
          <w:szCs w:val="18"/>
          <w:lang w:val="en-GB"/>
        </w:rPr>
      </w:pPr>
      <w:r w:rsidRPr="008F34E8">
        <w:rPr>
          <w:b/>
          <w:bCs/>
          <w:szCs w:val="18"/>
          <w:lang w:val="en-GB"/>
        </w:rPr>
        <w:t xml:space="preserve">Figure </w:t>
      </w:r>
      <w:r>
        <w:rPr>
          <w:b/>
          <w:bCs/>
          <w:szCs w:val="18"/>
          <w:lang w:val="en-GB"/>
        </w:rPr>
        <w:t>2</w:t>
      </w:r>
      <w:r w:rsidRPr="008F34E8">
        <w:rPr>
          <w:b/>
          <w:bCs/>
          <w:szCs w:val="18"/>
          <w:lang w:val="en-GB"/>
        </w:rPr>
        <w:t>.</w:t>
      </w:r>
      <w:r>
        <w:rPr>
          <w:b/>
          <w:bCs/>
          <w:szCs w:val="18"/>
          <w:lang w:val="en-GB"/>
        </w:rPr>
        <w:t xml:space="preserve"> </w:t>
      </w:r>
      <w:r w:rsidRPr="00B46E49">
        <w:rPr>
          <w:b/>
          <w:bCs/>
          <w:szCs w:val="18"/>
          <w:lang w:val="en-GB"/>
        </w:rPr>
        <w:t xml:space="preserve">Associations of </w:t>
      </w:r>
      <w:r w:rsidR="0073291F">
        <w:rPr>
          <w:b/>
          <w:bCs/>
          <w:szCs w:val="18"/>
          <w:lang w:val="en-GB"/>
        </w:rPr>
        <w:t xml:space="preserve">percent </w:t>
      </w:r>
      <w:r w:rsidRPr="00B46E49">
        <w:rPr>
          <w:b/>
          <w:bCs/>
          <w:szCs w:val="18"/>
          <w:lang w:val="en-GB"/>
        </w:rPr>
        <w:t>public park</w:t>
      </w:r>
      <w:r w:rsidR="0073291F">
        <w:rPr>
          <w:b/>
          <w:bCs/>
          <w:szCs w:val="18"/>
          <w:lang w:val="en-GB"/>
        </w:rPr>
        <w:t xml:space="preserve"> cover</w:t>
      </w:r>
      <w:r w:rsidRPr="00B46E49">
        <w:rPr>
          <w:b/>
          <w:bCs/>
          <w:szCs w:val="18"/>
          <w:lang w:val="en-GB"/>
        </w:rPr>
        <w:t xml:space="preserve">, NDVI and </w:t>
      </w:r>
      <w:r w:rsidR="0073291F">
        <w:rPr>
          <w:b/>
          <w:bCs/>
          <w:szCs w:val="18"/>
          <w:lang w:val="en-GB"/>
        </w:rPr>
        <w:t xml:space="preserve">percent </w:t>
      </w:r>
      <w:r w:rsidRPr="00B46E49">
        <w:rPr>
          <w:b/>
          <w:bCs/>
          <w:szCs w:val="18"/>
          <w:lang w:val="en-GB"/>
        </w:rPr>
        <w:t>blue space</w:t>
      </w:r>
      <w:r w:rsidR="0073291F">
        <w:rPr>
          <w:b/>
          <w:bCs/>
          <w:szCs w:val="18"/>
          <w:lang w:val="en-GB"/>
        </w:rPr>
        <w:t xml:space="preserve"> cover</w:t>
      </w:r>
      <w:r w:rsidRPr="00B46E49">
        <w:rPr>
          <w:b/>
          <w:bCs/>
          <w:szCs w:val="18"/>
          <w:lang w:val="en-GB"/>
        </w:rPr>
        <w:t xml:space="preserve"> with CVD</w:t>
      </w:r>
      <w:r>
        <w:rPr>
          <w:b/>
          <w:bCs/>
          <w:szCs w:val="18"/>
          <w:lang w:val="en-GB"/>
        </w:rPr>
        <w:t xml:space="preserve"> and RSD </w:t>
      </w:r>
      <w:r w:rsidRPr="00B46E49">
        <w:rPr>
          <w:b/>
          <w:bCs/>
          <w:szCs w:val="18"/>
          <w:lang w:val="en-GB"/>
        </w:rPr>
        <w:t xml:space="preserve">hospitalization in </w:t>
      </w:r>
      <w:r>
        <w:rPr>
          <w:b/>
          <w:bCs/>
          <w:szCs w:val="18"/>
          <w:lang w:val="en-GB"/>
        </w:rPr>
        <w:t xml:space="preserve">the full cohort in </w:t>
      </w:r>
      <w:r w:rsidRPr="00B46E49">
        <w:rPr>
          <w:b/>
          <w:bCs/>
          <w:szCs w:val="18"/>
          <w:lang w:val="en-GB"/>
        </w:rPr>
        <w:t>stratified analyses by sex (male, female), age (65-74, 75-84, 85+ years), Medicaid eligibility (not eligible, eligible), race (White, Black, unknown/other) and region (West, South, Northeast, Midwest)</w:t>
      </w:r>
      <w:r w:rsidR="00ED4BB6">
        <w:rPr>
          <w:b/>
          <w:bCs/>
          <w:szCs w:val="18"/>
          <w:lang w:val="en-GB"/>
        </w:rPr>
        <w:t>.</w:t>
      </w:r>
      <w:r>
        <w:rPr>
          <w:b/>
          <w:bCs/>
          <w:vertAlign w:val="superscript"/>
          <w:lang w:val="en-GB"/>
        </w:rPr>
        <w:t>a</w:t>
      </w:r>
    </w:p>
    <w:p w14:paraId="72F81CFC" w14:textId="77777777" w:rsidR="00B46E49" w:rsidRDefault="00B46E49" w:rsidP="00B46E49">
      <w:pPr>
        <w:autoSpaceDE w:val="0"/>
        <w:autoSpaceDN w:val="0"/>
        <w:adjustRightInd w:val="0"/>
        <w:spacing w:after="0" w:line="240" w:lineRule="auto"/>
        <w:jc w:val="both"/>
        <w:rPr>
          <w:bCs/>
          <w:sz w:val="18"/>
          <w:szCs w:val="18"/>
          <w:lang w:val="en-GB"/>
        </w:rPr>
      </w:pPr>
    </w:p>
    <w:p w14:paraId="5A17D528" w14:textId="1D64FCA1" w:rsidR="00B46E49" w:rsidRDefault="00B46E49" w:rsidP="00B46E49">
      <w:pPr>
        <w:autoSpaceDE w:val="0"/>
        <w:autoSpaceDN w:val="0"/>
        <w:adjustRightInd w:val="0"/>
        <w:spacing w:after="0" w:line="240" w:lineRule="auto"/>
        <w:jc w:val="both"/>
        <w:rPr>
          <w:bCs/>
          <w:sz w:val="18"/>
          <w:szCs w:val="18"/>
          <w:lang w:val="en-GB"/>
        </w:rPr>
      </w:pPr>
      <w:proofErr w:type="spellStart"/>
      <w:proofErr w:type="gramStart"/>
      <w:r w:rsidRPr="0078689B">
        <w:rPr>
          <w:sz w:val="18"/>
          <w:szCs w:val="18"/>
          <w:vertAlign w:val="superscript"/>
          <w:lang w:val="en-GB"/>
        </w:rPr>
        <w:t>a</w:t>
      </w:r>
      <w:proofErr w:type="spellEnd"/>
      <w:proofErr w:type="gramEnd"/>
      <w:r w:rsidRPr="0078689B">
        <w:rPr>
          <w:sz w:val="18"/>
          <w:szCs w:val="18"/>
          <w:lang w:val="en-GB"/>
        </w:rPr>
        <w:t xml:space="preserve"> </w:t>
      </w:r>
      <w:r w:rsidR="0055037A" w:rsidRPr="0078689B">
        <w:rPr>
          <w:sz w:val="18"/>
          <w:szCs w:val="18"/>
          <w:lang w:val="en-GB"/>
        </w:rPr>
        <w:t xml:space="preserve">Associations are expressed per IQR increase of the </w:t>
      </w:r>
      <w:r w:rsidR="0055037A">
        <w:rPr>
          <w:sz w:val="18"/>
          <w:szCs w:val="18"/>
          <w:lang w:val="en-GB"/>
        </w:rPr>
        <w:t>CVD</w:t>
      </w:r>
      <w:r w:rsidR="0055037A" w:rsidRPr="0078689B">
        <w:rPr>
          <w:sz w:val="18"/>
          <w:szCs w:val="18"/>
          <w:lang w:val="en-GB"/>
        </w:rPr>
        <w:t xml:space="preserve"> hospitalization (full) cohort</w:t>
      </w:r>
      <w:r w:rsidR="0055037A">
        <w:rPr>
          <w:sz w:val="18"/>
          <w:szCs w:val="18"/>
          <w:lang w:val="en-GB"/>
        </w:rPr>
        <w:t xml:space="preserve"> (IQR Percent public park cover: </w:t>
      </w:r>
      <w:r w:rsidR="0055037A" w:rsidRPr="0055037A">
        <w:rPr>
          <w:sz w:val="18"/>
          <w:szCs w:val="18"/>
          <w:lang w:val="en-GB"/>
        </w:rPr>
        <w:t>15·9</w:t>
      </w:r>
      <w:r w:rsidR="0055037A">
        <w:rPr>
          <w:sz w:val="18"/>
          <w:szCs w:val="18"/>
          <w:lang w:val="en-GB"/>
        </w:rPr>
        <w:t>, NDVI: 0</w:t>
      </w:r>
      <w:r w:rsidR="0055037A" w:rsidRPr="0055037A">
        <w:rPr>
          <w:sz w:val="18"/>
          <w:szCs w:val="18"/>
          <w:lang w:val="en-GB"/>
        </w:rPr>
        <w:t>·</w:t>
      </w:r>
      <w:r w:rsidR="0055037A">
        <w:rPr>
          <w:sz w:val="18"/>
          <w:szCs w:val="18"/>
          <w:lang w:val="en-GB"/>
        </w:rPr>
        <w:t>27, Percent blue space cover: 3</w:t>
      </w:r>
      <w:r w:rsidR="0055037A" w:rsidRPr="0055037A">
        <w:rPr>
          <w:sz w:val="18"/>
          <w:szCs w:val="18"/>
          <w:lang w:val="en-GB"/>
        </w:rPr>
        <w:t>·</w:t>
      </w:r>
      <w:r w:rsidR="0055037A">
        <w:rPr>
          <w:sz w:val="18"/>
          <w:szCs w:val="18"/>
          <w:lang w:val="en-GB"/>
        </w:rPr>
        <w:t>2)</w:t>
      </w:r>
      <w:r w:rsidR="0055037A" w:rsidRPr="0078689B">
        <w:rPr>
          <w:sz w:val="18"/>
          <w:szCs w:val="18"/>
          <w:lang w:val="en-GB"/>
        </w:rPr>
        <w:t>.</w:t>
      </w:r>
      <w:r w:rsidR="0055037A">
        <w:rPr>
          <w:sz w:val="18"/>
          <w:szCs w:val="18"/>
          <w:lang w:val="en-GB"/>
        </w:rPr>
        <w:t xml:space="preserve"> </w:t>
      </w:r>
      <w:r w:rsidRPr="0078689B">
        <w:rPr>
          <w:sz w:val="18"/>
          <w:szCs w:val="18"/>
          <w:lang w:val="en-GB"/>
        </w:rPr>
        <w:t xml:space="preserve">Models included public park, NDVI, blue space and were adjusted for calendar year, </w:t>
      </w:r>
      <w:r w:rsidR="002A483B">
        <w:rPr>
          <w:sz w:val="18"/>
          <w:szCs w:val="18"/>
          <w:lang w:val="en-GB"/>
        </w:rPr>
        <w:t>region,</w:t>
      </w:r>
      <w:r w:rsidR="00EC34A3">
        <w:rPr>
          <w:sz w:val="18"/>
          <w:szCs w:val="18"/>
          <w:lang w:val="en-GB"/>
        </w:rPr>
        <w:t xml:space="preserve"> U.S.</w:t>
      </w:r>
      <w:r w:rsidRPr="0078689B">
        <w:rPr>
          <w:sz w:val="18"/>
          <w:szCs w:val="18"/>
          <w:lang w:val="en-GB"/>
        </w:rPr>
        <w:t xml:space="preserve"> census covariates, </w:t>
      </w:r>
      <w:r>
        <w:rPr>
          <w:sz w:val="18"/>
          <w:szCs w:val="18"/>
          <w:lang w:val="en-GB"/>
        </w:rPr>
        <w:t>% ever smoked</w:t>
      </w:r>
      <w:r w:rsidRPr="0078689B">
        <w:rPr>
          <w:sz w:val="18"/>
          <w:szCs w:val="18"/>
          <w:lang w:val="en-GB"/>
        </w:rPr>
        <w:t xml:space="preserve">, </w:t>
      </w:r>
      <w:r>
        <w:rPr>
          <w:bCs/>
          <w:sz w:val="18"/>
          <w:szCs w:val="18"/>
          <w:lang w:val="en-GB"/>
        </w:rPr>
        <w:t xml:space="preserve">summer temperature, summer specific humidity and summer </w:t>
      </w:r>
      <w:r>
        <w:rPr>
          <w:sz w:val="18"/>
          <w:szCs w:val="18"/>
          <w:lang w:val="en-GB"/>
        </w:rPr>
        <w:t>total</w:t>
      </w:r>
      <w:r>
        <w:rPr>
          <w:bCs/>
          <w:sz w:val="18"/>
          <w:szCs w:val="18"/>
          <w:lang w:val="en-GB"/>
        </w:rPr>
        <w:t xml:space="preserve"> precipitation, </w:t>
      </w:r>
      <w:r w:rsidRPr="0078689B">
        <w:rPr>
          <w:sz w:val="18"/>
          <w:szCs w:val="18"/>
          <w:lang w:val="en-GB"/>
        </w:rPr>
        <w:t>an offset for total person-time and strata for all possible combinations of sex, race, Medicaid Eligibility, age at study entry (2-year categories), and follow-up year.</w:t>
      </w:r>
    </w:p>
    <w:p w14:paraId="76CF0526" w14:textId="77777777" w:rsidR="00B46E49" w:rsidRDefault="00B46E49" w:rsidP="00B46E49">
      <w:pPr>
        <w:autoSpaceDE w:val="0"/>
        <w:autoSpaceDN w:val="0"/>
        <w:adjustRightInd w:val="0"/>
        <w:spacing w:after="0" w:line="240" w:lineRule="auto"/>
        <w:jc w:val="both"/>
        <w:rPr>
          <w:b/>
          <w:bCs/>
          <w:szCs w:val="18"/>
          <w:lang w:val="en-GB"/>
        </w:rPr>
      </w:pPr>
    </w:p>
    <w:p w14:paraId="6B170789" w14:textId="27C82E9B" w:rsidR="00B46E49" w:rsidRDefault="00B46E49" w:rsidP="00B46E49">
      <w:pPr>
        <w:autoSpaceDE w:val="0"/>
        <w:autoSpaceDN w:val="0"/>
        <w:adjustRightInd w:val="0"/>
        <w:spacing w:after="0" w:line="240" w:lineRule="auto"/>
        <w:jc w:val="both"/>
        <w:rPr>
          <w:b/>
          <w:bCs/>
          <w:szCs w:val="18"/>
        </w:rPr>
      </w:pPr>
      <w:r w:rsidRPr="008F34E8">
        <w:rPr>
          <w:b/>
          <w:bCs/>
          <w:szCs w:val="18"/>
          <w:lang w:val="en-GB"/>
        </w:rPr>
        <w:t xml:space="preserve">Figure </w:t>
      </w:r>
      <w:r w:rsidR="00AD5684">
        <w:rPr>
          <w:b/>
          <w:bCs/>
          <w:szCs w:val="18"/>
          <w:lang w:val="en-GB"/>
        </w:rPr>
        <w:t>3</w:t>
      </w:r>
      <w:r w:rsidRPr="008F34E8">
        <w:rPr>
          <w:b/>
          <w:bCs/>
          <w:szCs w:val="18"/>
          <w:lang w:val="en-GB"/>
        </w:rPr>
        <w:t>.</w:t>
      </w:r>
      <w:r>
        <w:rPr>
          <w:rFonts w:ascii="Calibri" w:eastAsia="Calibri" w:hAnsi="Calibri"/>
          <w:b/>
          <w:bCs/>
          <w:color w:val="000000" w:themeColor="text1"/>
          <w:kern w:val="24"/>
          <w:sz w:val="36"/>
          <w:szCs w:val="36"/>
          <w:lang w:val="en-GB"/>
        </w:rPr>
        <w:t xml:space="preserve"> </w:t>
      </w:r>
      <w:r w:rsidRPr="00B46E49">
        <w:rPr>
          <w:rFonts w:ascii="Calibri" w:eastAsia="Calibri" w:hAnsi="Calibri"/>
          <w:b/>
          <w:bCs/>
          <w:color w:val="000000" w:themeColor="text1"/>
          <w:kern w:val="24"/>
          <w:lang w:val="en-GB"/>
        </w:rPr>
        <w:t>A</w:t>
      </w:r>
      <w:r w:rsidRPr="00B46E49">
        <w:rPr>
          <w:b/>
          <w:bCs/>
          <w:szCs w:val="18"/>
          <w:lang w:val="en-GB"/>
        </w:rPr>
        <w:t xml:space="preserve">ssociations of </w:t>
      </w:r>
      <w:r w:rsidR="0073291F">
        <w:rPr>
          <w:b/>
          <w:bCs/>
          <w:szCs w:val="18"/>
          <w:lang w:val="en-GB"/>
        </w:rPr>
        <w:t xml:space="preserve">percent </w:t>
      </w:r>
      <w:r w:rsidR="0073291F" w:rsidRPr="00B46E49">
        <w:rPr>
          <w:b/>
          <w:bCs/>
          <w:szCs w:val="18"/>
          <w:lang w:val="en-GB"/>
        </w:rPr>
        <w:t>public park</w:t>
      </w:r>
      <w:r w:rsidR="0073291F">
        <w:rPr>
          <w:b/>
          <w:bCs/>
          <w:szCs w:val="18"/>
          <w:lang w:val="en-GB"/>
        </w:rPr>
        <w:t xml:space="preserve"> cover</w:t>
      </w:r>
      <w:r w:rsidR="0073291F" w:rsidRPr="00B46E49">
        <w:rPr>
          <w:b/>
          <w:bCs/>
          <w:szCs w:val="18"/>
          <w:lang w:val="en-GB"/>
        </w:rPr>
        <w:t xml:space="preserve">, NDVI and </w:t>
      </w:r>
      <w:r w:rsidR="0073291F">
        <w:rPr>
          <w:b/>
          <w:bCs/>
          <w:szCs w:val="18"/>
          <w:lang w:val="en-GB"/>
        </w:rPr>
        <w:t xml:space="preserve">percent </w:t>
      </w:r>
      <w:r w:rsidR="0073291F" w:rsidRPr="00B46E49">
        <w:rPr>
          <w:b/>
          <w:bCs/>
          <w:szCs w:val="18"/>
          <w:lang w:val="en-GB"/>
        </w:rPr>
        <w:t>blue space</w:t>
      </w:r>
      <w:r w:rsidR="0073291F">
        <w:rPr>
          <w:b/>
          <w:bCs/>
          <w:szCs w:val="18"/>
          <w:lang w:val="en-GB"/>
        </w:rPr>
        <w:t xml:space="preserve"> cover</w:t>
      </w:r>
      <w:r w:rsidRPr="00B46E49">
        <w:rPr>
          <w:b/>
          <w:bCs/>
          <w:szCs w:val="18"/>
          <w:lang w:val="en-GB"/>
        </w:rPr>
        <w:t xml:space="preserve"> with </w:t>
      </w:r>
      <w:r w:rsidR="00DA67BD">
        <w:rPr>
          <w:b/>
          <w:bCs/>
          <w:szCs w:val="18"/>
          <w:lang w:val="en-GB"/>
        </w:rPr>
        <w:t>CVD</w:t>
      </w:r>
      <w:r w:rsidR="00DA67BD" w:rsidRPr="00B46E49">
        <w:rPr>
          <w:b/>
          <w:bCs/>
          <w:szCs w:val="18"/>
          <w:lang w:val="en-GB"/>
        </w:rPr>
        <w:t xml:space="preserve"> </w:t>
      </w:r>
      <w:r w:rsidRPr="00B46E49">
        <w:rPr>
          <w:b/>
          <w:bCs/>
          <w:szCs w:val="18"/>
          <w:lang w:val="en-GB"/>
        </w:rPr>
        <w:t xml:space="preserve">and RSD hospitalization </w:t>
      </w:r>
      <w:r>
        <w:rPr>
          <w:b/>
          <w:bCs/>
          <w:szCs w:val="18"/>
          <w:lang w:val="en-GB"/>
        </w:rPr>
        <w:t xml:space="preserve">in the full cohort </w:t>
      </w:r>
      <w:r w:rsidRPr="00B46E49">
        <w:rPr>
          <w:b/>
          <w:bCs/>
          <w:szCs w:val="18"/>
          <w:lang w:val="en-GB"/>
        </w:rPr>
        <w:t xml:space="preserve">in stratified analyses by median household income, median home value and </w:t>
      </w:r>
      <w:r w:rsidRPr="00B46E49">
        <w:rPr>
          <w:b/>
          <w:bCs/>
          <w:szCs w:val="18"/>
        </w:rPr>
        <w:t>percent below the poverty level</w:t>
      </w:r>
      <w:r w:rsidR="00ED4BB6">
        <w:rPr>
          <w:b/>
          <w:bCs/>
          <w:szCs w:val="18"/>
        </w:rPr>
        <w:t>.</w:t>
      </w:r>
      <w:r>
        <w:rPr>
          <w:b/>
          <w:bCs/>
          <w:vertAlign w:val="superscript"/>
          <w:lang w:val="en-GB"/>
        </w:rPr>
        <w:t>a</w:t>
      </w:r>
      <w:r w:rsidR="00E03F3D">
        <w:rPr>
          <w:b/>
          <w:bCs/>
          <w:vertAlign w:val="superscript"/>
          <w:lang w:val="en-GB"/>
        </w:rPr>
        <w:t>, b</w:t>
      </w:r>
    </w:p>
    <w:p w14:paraId="7344563A" w14:textId="77777777" w:rsidR="00613619" w:rsidRDefault="00613619" w:rsidP="00B46E49">
      <w:pPr>
        <w:autoSpaceDE w:val="0"/>
        <w:autoSpaceDN w:val="0"/>
        <w:adjustRightInd w:val="0"/>
        <w:spacing w:after="0" w:line="240" w:lineRule="auto"/>
        <w:jc w:val="both"/>
        <w:rPr>
          <w:b/>
          <w:bCs/>
          <w:szCs w:val="18"/>
        </w:rPr>
      </w:pPr>
    </w:p>
    <w:p w14:paraId="6D890AF4" w14:textId="115B3D09" w:rsidR="00B46E49" w:rsidRPr="008F34E8" w:rsidRDefault="00B46E49" w:rsidP="00B46E49">
      <w:pPr>
        <w:autoSpaceDE w:val="0"/>
        <w:autoSpaceDN w:val="0"/>
        <w:adjustRightInd w:val="0"/>
        <w:spacing w:after="0" w:line="240" w:lineRule="auto"/>
        <w:jc w:val="both"/>
        <w:rPr>
          <w:b/>
          <w:bCs/>
          <w:szCs w:val="18"/>
          <w:lang w:val="en-GB"/>
        </w:rPr>
      </w:pPr>
      <w:proofErr w:type="spellStart"/>
      <w:proofErr w:type="gramStart"/>
      <w:r w:rsidRPr="0078689B">
        <w:rPr>
          <w:sz w:val="18"/>
          <w:szCs w:val="18"/>
          <w:vertAlign w:val="superscript"/>
          <w:lang w:val="en-GB"/>
        </w:rPr>
        <w:t>a</w:t>
      </w:r>
      <w:proofErr w:type="spellEnd"/>
      <w:proofErr w:type="gramEnd"/>
      <w:r w:rsidRPr="0078689B">
        <w:rPr>
          <w:sz w:val="18"/>
          <w:szCs w:val="18"/>
          <w:lang w:val="en-GB"/>
        </w:rPr>
        <w:t xml:space="preserve"> </w:t>
      </w:r>
      <w:r w:rsidR="0055037A" w:rsidRPr="0078689B">
        <w:rPr>
          <w:sz w:val="18"/>
          <w:szCs w:val="18"/>
          <w:lang w:val="en-GB"/>
        </w:rPr>
        <w:t xml:space="preserve">Associations are expressed per IQR increase of the </w:t>
      </w:r>
      <w:r w:rsidR="0055037A">
        <w:rPr>
          <w:sz w:val="18"/>
          <w:szCs w:val="18"/>
          <w:lang w:val="en-GB"/>
        </w:rPr>
        <w:t>CVD</w:t>
      </w:r>
      <w:r w:rsidR="0055037A" w:rsidRPr="0078689B">
        <w:rPr>
          <w:sz w:val="18"/>
          <w:szCs w:val="18"/>
          <w:lang w:val="en-GB"/>
        </w:rPr>
        <w:t xml:space="preserve"> hospitalization (full) cohort</w:t>
      </w:r>
      <w:r w:rsidR="0055037A">
        <w:rPr>
          <w:sz w:val="18"/>
          <w:szCs w:val="18"/>
          <w:lang w:val="en-GB"/>
        </w:rPr>
        <w:t xml:space="preserve"> (IQR Percent public park cover: </w:t>
      </w:r>
      <w:r w:rsidR="0055037A" w:rsidRPr="0055037A">
        <w:rPr>
          <w:sz w:val="18"/>
          <w:szCs w:val="18"/>
          <w:lang w:val="en-GB"/>
        </w:rPr>
        <w:t>15·9</w:t>
      </w:r>
      <w:r w:rsidR="0055037A">
        <w:rPr>
          <w:sz w:val="18"/>
          <w:szCs w:val="18"/>
          <w:lang w:val="en-GB"/>
        </w:rPr>
        <w:t>, NDVI: 0</w:t>
      </w:r>
      <w:r w:rsidR="0055037A" w:rsidRPr="0055037A">
        <w:rPr>
          <w:sz w:val="18"/>
          <w:szCs w:val="18"/>
          <w:lang w:val="en-GB"/>
        </w:rPr>
        <w:t>·</w:t>
      </w:r>
      <w:r w:rsidR="0055037A">
        <w:rPr>
          <w:sz w:val="18"/>
          <w:szCs w:val="18"/>
          <w:lang w:val="en-GB"/>
        </w:rPr>
        <w:t>27, Percent blue space cover: 3</w:t>
      </w:r>
      <w:r w:rsidR="0055037A" w:rsidRPr="0055037A">
        <w:rPr>
          <w:sz w:val="18"/>
          <w:szCs w:val="18"/>
          <w:lang w:val="en-GB"/>
        </w:rPr>
        <w:t>·</w:t>
      </w:r>
      <w:r w:rsidR="0055037A">
        <w:rPr>
          <w:sz w:val="18"/>
          <w:szCs w:val="18"/>
          <w:lang w:val="en-GB"/>
        </w:rPr>
        <w:t>2)</w:t>
      </w:r>
      <w:r w:rsidR="0055037A" w:rsidRPr="0078689B">
        <w:rPr>
          <w:sz w:val="18"/>
          <w:szCs w:val="18"/>
          <w:lang w:val="en-GB"/>
        </w:rPr>
        <w:t>.</w:t>
      </w:r>
      <w:r w:rsidR="0055037A">
        <w:rPr>
          <w:sz w:val="18"/>
          <w:szCs w:val="18"/>
          <w:lang w:val="en-GB"/>
        </w:rPr>
        <w:t xml:space="preserve"> </w:t>
      </w:r>
      <w:r w:rsidRPr="0078689B">
        <w:rPr>
          <w:sz w:val="18"/>
          <w:szCs w:val="18"/>
          <w:lang w:val="en-GB"/>
        </w:rPr>
        <w:t xml:space="preserve">Models included public park, NDVI, blue space and were adjusted for calendar year, </w:t>
      </w:r>
      <w:r w:rsidR="002A483B">
        <w:rPr>
          <w:sz w:val="18"/>
          <w:szCs w:val="18"/>
          <w:lang w:val="en-GB"/>
        </w:rPr>
        <w:t xml:space="preserve">region, </w:t>
      </w:r>
      <w:r w:rsidRPr="0078689B">
        <w:rPr>
          <w:sz w:val="18"/>
          <w:szCs w:val="18"/>
          <w:lang w:val="en-GB"/>
        </w:rPr>
        <w:t>U</w:t>
      </w:r>
      <w:r w:rsidR="00EC34A3">
        <w:rPr>
          <w:sz w:val="18"/>
          <w:szCs w:val="18"/>
          <w:lang w:val="en-GB"/>
        </w:rPr>
        <w:t>.</w:t>
      </w:r>
      <w:r w:rsidRPr="0078689B">
        <w:rPr>
          <w:sz w:val="18"/>
          <w:szCs w:val="18"/>
          <w:lang w:val="en-GB"/>
        </w:rPr>
        <w:t>S</w:t>
      </w:r>
      <w:r w:rsidR="00EC34A3">
        <w:rPr>
          <w:sz w:val="18"/>
          <w:szCs w:val="18"/>
          <w:lang w:val="en-GB"/>
        </w:rPr>
        <w:t>.</w:t>
      </w:r>
      <w:r w:rsidRPr="0078689B">
        <w:rPr>
          <w:sz w:val="18"/>
          <w:szCs w:val="18"/>
          <w:lang w:val="en-GB"/>
        </w:rPr>
        <w:t xml:space="preserve"> census covariates, </w:t>
      </w:r>
      <w:r>
        <w:rPr>
          <w:sz w:val="18"/>
          <w:szCs w:val="18"/>
          <w:lang w:val="en-GB"/>
        </w:rPr>
        <w:t>% ever smoked</w:t>
      </w:r>
      <w:r w:rsidRPr="0078689B">
        <w:rPr>
          <w:sz w:val="18"/>
          <w:szCs w:val="18"/>
          <w:lang w:val="en-GB"/>
        </w:rPr>
        <w:t xml:space="preserve">, </w:t>
      </w:r>
      <w:r>
        <w:rPr>
          <w:bCs/>
          <w:sz w:val="18"/>
          <w:szCs w:val="18"/>
          <w:lang w:val="en-GB"/>
        </w:rPr>
        <w:t xml:space="preserve">summer temperature, summer specific humidity and summer </w:t>
      </w:r>
      <w:r>
        <w:rPr>
          <w:sz w:val="18"/>
          <w:szCs w:val="18"/>
          <w:lang w:val="en-GB"/>
        </w:rPr>
        <w:t>total</w:t>
      </w:r>
      <w:r>
        <w:rPr>
          <w:bCs/>
          <w:sz w:val="18"/>
          <w:szCs w:val="18"/>
          <w:lang w:val="en-GB"/>
        </w:rPr>
        <w:t xml:space="preserve"> precipitation, </w:t>
      </w:r>
      <w:r w:rsidRPr="0078689B">
        <w:rPr>
          <w:sz w:val="18"/>
          <w:szCs w:val="18"/>
          <w:lang w:val="en-GB"/>
        </w:rPr>
        <w:t>an offset for total person-time and strata for all possible combinations of sex, race, Medicaid Eligibility, age at study entry (2-year categories), and follow-up year.</w:t>
      </w:r>
    </w:p>
    <w:p w14:paraId="08567915" w14:textId="77777777" w:rsidR="00824826" w:rsidRDefault="00824826" w:rsidP="00824826">
      <w:pPr>
        <w:autoSpaceDE w:val="0"/>
        <w:autoSpaceDN w:val="0"/>
        <w:adjustRightInd w:val="0"/>
        <w:spacing w:after="0" w:line="240" w:lineRule="auto"/>
        <w:jc w:val="both"/>
        <w:rPr>
          <w:sz w:val="18"/>
          <w:szCs w:val="18"/>
          <w:vertAlign w:val="superscript"/>
          <w:lang w:val="en-GB"/>
        </w:rPr>
      </w:pPr>
    </w:p>
    <w:p w14:paraId="4BFE93AE" w14:textId="576D1FBC" w:rsidR="00824826" w:rsidRPr="00D67C01" w:rsidRDefault="00824826" w:rsidP="00824826">
      <w:pPr>
        <w:autoSpaceDE w:val="0"/>
        <w:autoSpaceDN w:val="0"/>
        <w:adjustRightInd w:val="0"/>
        <w:spacing w:after="0" w:line="240" w:lineRule="auto"/>
        <w:jc w:val="both"/>
        <w:rPr>
          <w:sz w:val="18"/>
          <w:szCs w:val="18"/>
          <w:lang w:val="en-GB"/>
        </w:rPr>
      </w:pPr>
      <w:r w:rsidRPr="00D67C01">
        <w:rPr>
          <w:sz w:val="18"/>
          <w:szCs w:val="18"/>
          <w:vertAlign w:val="superscript"/>
          <w:lang w:val="en-GB"/>
        </w:rPr>
        <w:t>b</w:t>
      </w:r>
      <w:r w:rsidRPr="00D67C01">
        <w:rPr>
          <w:sz w:val="18"/>
          <w:szCs w:val="18"/>
          <w:lang w:val="en-GB"/>
        </w:rPr>
        <w:t xml:space="preserve"> To define strata, we used the following quantiles (q</w:t>
      </w:r>
      <w:r>
        <w:rPr>
          <w:sz w:val="18"/>
          <w:szCs w:val="18"/>
          <w:lang w:val="en-GB"/>
        </w:rPr>
        <w:t>33.3</w:t>
      </w:r>
      <w:r w:rsidRPr="00D67C01">
        <w:rPr>
          <w:sz w:val="18"/>
          <w:szCs w:val="18"/>
          <w:lang w:val="en-GB"/>
        </w:rPr>
        <w:t>, q</w:t>
      </w:r>
      <w:r>
        <w:rPr>
          <w:sz w:val="18"/>
          <w:szCs w:val="18"/>
          <w:lang w:val="en-GB"/>
        </w:rPr>
        <w:t>66.7</w:t>
      </w:r>
      <w:r w:rsidRPr="00D67C01">
        <w:rPr>
          <w:sz w:val="18"/>
          <w:szCs w:val="18"/>
          <w:lang w:val="en-GB"/>
        </w:rPr>
        <w:t xml:space="preserve">) for the </w:t>
      </w:r>
      <w:r>
        <w:rPr>
          <w:sz w:val="18"/>
          <w:szCs w:val="18"/>
          <w:lang w:val="en-GB"/>
        </w:rPr>
        <w:t>CVD</w:t>
      </w:r>
      <w:r w:rsidRPr="00D67C01">
        <w:rPr>
          <w:sz w:val="18"/>
          <w:szCs w:val="18"/>
          <w:lang w:val="en-GB"/>
        </w:rPr>
        <w:t xml:space="preserve"> cohort:</w:t>
      </w:r>
      <w:r>
        <w:rPr>
          <w:sz w:val="18"/>
          <w:szCs w:val="18"/>
          <w:lang w:val="en-GB"/>
        </w:rPr>
        <w:t xml:space="preserve"> median household income </w:t>
      </w:r>
      <w:r w:rsidRPr="00D67C01">
        <w:rPr>
          <w:sz w:val="18"/>
          <w:szCs w:val="18"/>
          <w:lang w:val="en-GB"/>
        </w:rPr>
        <w:t xml:space="preserve">($1,000): </w:t>
      </w:r>
      <w:r w:rsidR="00E03F3D">
        <w:rPr>
          <w:sz w:val="18"/>
          <w:szCs w:val="18"/>
          <w:lang w:val="en-GB"/>
        </w:rPr>
        <w:t>39.9</w:t>
      </w:r>
      <w:r w:rsidRPr="00D67C01">
        <w:rPr>
          <w:sz w:val="18"/>
          <w:szCs w:val="18"/>
          <w:lang w:val="en-GB"/>
        </w:rPr>
        <w:t xml:space="preserve">, </w:t>
      </w:r>
      <w:r>
        <w:rPr>
          <w:sz w:val="18"/>
          <w:szCs w:val="18"/>
          <w:lang w:val="en-GB"/>
        </w:rPr>
        <w:t>55.6</w:t>
      </w:r>
      <w:r w:rsidRPr="00D67C01">
        <w:rPr>
          <w:sz w:val="18"/>
          <w:szCs w:val="18"/>
          <w:lang w:val="en-GB"/>
        </w:rPr>
        <w:t>;</w:t>
      </w:r>
      <w:r>
        <w:rPr>
          <w:sz w:val="18"/>
          <w:szCs w:val="18"/>
          <w:lang w:val="en-GB"/>
        </w:rPr>
        <w:t xml:space="preserve"> median home value </w:t>
      </w:r>
      <w:r w:rsidRPr="00D67C01">
        <w:rPr>
          <w:sz w:val="18"/>
          <w:szCs w:val="18"/>
          <w:lang w:val="en-GB"/>
        </w:rPr>
        <w:t xml:space="preserve">($1,000): </w:t>
      </w:r>
      <w:r w:rsidR="00E03F3D">
        <w:rPr>
          <w:sz w:val="18"/>
          <w:szCs w:val="18"/>
          <w:lang w:val="en-GB"/>
        </w:rPr>
        <w:t>107.4</w:t>
      </w:r>
      <w:r>
        <w:rPr>
          <w:sz w:val="18"/>
          <w:szCs w:val="18"/>
          <w:lang w:val="en-GB"/>
        </w:rPr>
        <w:t>, 196</w:t>
      </w:r>
      <w:r w:rsidR="00E03F3D">
        <w:rPr>
          <w:sz w:val="18"/>
          <w:szCs w:val="18"/>
          <w:lang w:val="en-GB"/>
        </w:rPr>
        <w:t>.3</w:t>
      </w:r>
      <w:r w:rsidRPr="00D67C01">
        <w:rPr>
          <w:sz w:val="18"/>
          <w:szCs w:val="18"/>
          <w:lang w:val="en-GB"/>
        </w:rPr>
        <w:t>; percent below the poverty level (</w:t>
      </w:r>
      <w:r>
        <w:rPr>
          <w:sz w:val="18"/>
          <w:szCs w:val="18"/>
          <w:lang w:val="en-GB"/>
        </w:rPr>
        <w:t>%</w:t>
      </w:r>
      <w:r w:rsidRPr="00D67C01">
        <w:rPr>
          <w:sz w:val="18"/>
          <w:szCs w:val="18"/>
          <w:lang w:val="en-GB"/>
        </w:rPr>
        <w:t xml:space="preserve">): </w:t>
      </w:r>
      <w:r>
        <w:rPr>
          <w:sz w:val="18"/>
          <w:szCs w:val="18"/>
          <w:lang w:val="en-GB"/>
        </w:rPr>
        <w:t>6.4</w:t>
      </w:r>
      <w:r w:rsidRPr="00D67C01">
        <w:rPr>
          <w:sz w:val="18"/>
          <w:szCs w:val="18"/>
          <w:lang w:val="en-GB"/>
        </w:rPr>
        <w:t xml:space="preserve">, </w:t>
      </w:r>
      <w:r>
        <w:rPr>
          <w:sz w:val="18"/>
          <w:szCs w:val="18"/>
          <w:lang w:val="en-GB"/>
        </w:rPr>
        <w:t>11.4</w:t>
      </w:r>
      <w:r w:rsidRPr="00D67C01">
        <w:rPr>
          <w:sz w:val="18"/>
          <w:szCs w:val="18"/>
          <w:lang w:val="en-GB"/>
        </w:rPr>
        <w:t xml:space="preserve">; for the </w:t>
      </w:r>
      <w:r>
        <w:rPr>
          <w:sz w:val="18"/>
          <w:szCs w:val="18"/>
          <w:lang w:val="en-GB"/>
        </w:rPr>
        <w:t>RSD</w:t>
      </w:r>
      <w:r w:rsidRPr="00D67C01">
        <w:rPr>
          <w:sz w:val="18"/>
          <w:szCs w:val="18"/>
          <w:lang w:val="en-GB"/>
        </w:rPr>
        <w:t xml:space="preserve"> cohort:</w:t>
      </w:r>
      <w:r>
        <w:rPr>
          <w:sz w:val="18"/>
          <w:szCs w:val="18"/>
          <w:lang w:val="en-GB"/>
        </w:rPr>
        <w:t xml:space="preserve"> median household income </w:t>
      </w:r>
      <w:r w:rsidRPr="00D67C01">
        <w:rPr>
          <w:sz w:val="18"/>
          <w:szCs w:val="18"/>
          <w:lang w:val="en-GB"/>
        </w:rPr>
        <w:t xml:space="preserve">($1,000): </w:t>
      </w:r>
      <w:r>
        <w:rPr>
          <w:sz w:val="18"/>
          <w:szCs w:val="18"/>
          <w:lang w:val="en-GB"/>
        </w:rPr>
        <w:t>40.0</w:t>
      </w:r>
      <w:r w:rsidRPr="00D67C01">
        <w:rPr>
          <w:sz w:val="18"/>
          <w:szCs w:val="18"/>
          <w:lang w:val="en-GB"/>
        </w:rPr>
        <w:t xml:space="preserve">, </w:t>
      </w:r>
      <w:r>
        <w:rPr>
          <w:sz w:val="18"/>
          <w:szCs w:val="18"/>
          <w:lang w:val="en-GB"/>
        </w:rPr>
        <w:t>55.7</w:t>
      </w:r>
      <w:r w:rsidRPr="00D67C01">
        <w:rPr>
          <w:sz w:val="18"/>
          <w:szCs w:val="18"/>
          <w:lang w:val="en-GB"/>
        </w:rPr>
        <w:t>;</w:t>
      </w:r>
      <w:r>
        <w:rPr>
          <w:sz w:val="18"/>
          <w:szCs w:val="18"/>
          <w:lang w:val="en-GB"/>
        </w:rPr>
        <w:t xml:space="preserve"> median home value </w:t>
      </w:r>
      <w:r w:rsidRPr="00D67C01">
        <w:rPr>
          <w:sz w:val="18"/>
          <w:szCs w:val="18"/>
          <w:lang w:val="en-GB"/>
        </w:rPr>
        <w:t xml:space="preserve">($1,000): </w:t>
      </w:r>
      <w:r>
        <w:rPr>
          <w:sz w:val="18"/>
          <w:szCs w:val="18"/>
          <w:lang w:val="en-GB"/>
        </w:rPr>
        <w:t>107.</w:t>
      </w:r>
      <w:r w:rsidR="00E03F3D">
        <w:rPr>
          <w:sz w:val="18"/>
          <w:szCs w:val="18"/>
          <w:lang w:val="en-GB"/>
        </w:rPr>
        <w:t>7</w:t>
      </w:r>
      <w:r>
        <w:rPr>
          <w:sz w:val="18"/>
          <w:szCs w:val="18"/>
          <w:lang w:val="en-GB"/>
        </w:rPr>
        <w:t>, 196.</w:t>
      </w:r>
      <w:r w:rsidR="00E03F3D">
        <w:rPr>
          <w:sz w:val="18"/>
          <w:szCs w:val="18"/>
          <w:lang w:val="en-GB"/>
        </w:rPr>
        <w:t>3</w:t>
      </w:r>
      <w:r w:rsidRPr="00D67C01">
        <w:rPr>
          <w:sz w:val="18"/>
          <w:szCs w:val="18"/>
          <w:lang w:val="en-GB"/>
        </w:rPr>
        <w:t>; percent below the poverty level (</w:t>
      </w:r>
      <w:r>
        <w:rPr>
          <w:sz w:val="18"/>
          <w:szCs w:val="18"/>
          <w:lang w:val="en-GB"/>
        </w:rPr>
        <w:t>%</w:t>
      </w:r>
      <w:r w:rsidRPr="00D67C01">
        <w:rPr>
          <w:sz w:val="18"/>
          <w:szCs w:val="18"/>
          <w:lang w:val="en-GB"/>
        </w:rPr>
        <w:t xml:space="preserve">): </w:t>
      </w:r>
      <w:r>
        <w:rPr>
          <w:sz w:val="18"/>
          <w:szCs w:val="18"/>
          <w:lang w:val="en-GB"/>
        </w:rPr>
        <w:t>6.4</w:t>
      </w:r>
      <w:r w:rsidRPr="00D67C01">
        <w:rPr>
          <w:sz w:val="18"/>
          <w:szCs w:val="18"/>
          <w:lang w:val="en-GB"/>
        </w:rPr>
        <w:t xml:space="preserve">, </w:t>
      </w:r>
      <w:r>
        <w:rPr>
          <w:sz w:val="18"/>
          <w:szCs w:val="18"/>
          <w:lang w:val="en-GB"/>
        </w:rPr>
        <w:t>11.4.</w:t>
      </w:r>
    </w:p>
    <w:p w14:paraId="189BA2F7" w14:textId="77777777" w:rsidR="00B46E49" w:rsidRPr="00B46E49" w:rsidRDefault="00B46E49" w:rsidP="00BA2D6C">
      <w:pPr>
        <w:rPr>
          <w:b/>
          <w:bCs/>
          <w:lang w:val="en-GB"/>
        </w:rPr>
      </w:pPr>
    </w:p>
    <w:p w14:paraId="108B608B" w14:textId="77777777" w:rsidR="00B46E49" w:rsidRDefault="00B46E49" w:rsidP="00BA2D6C">
      <w:pPr>
        <w:rPr>
          <w:b/>
          <w:bCs/>
        </w:rPr>
      </w:pPr>
    </w:p>
    <w:p w14:paraId="76816D0E" w14:textId="77777777" w:rsidR="00B46E49" w:rsidRDefault="00B46E49" w:rsidP="00BA2D6C">
      <w:pPr>
        <w:rPr>
          <w:b/>
          <w:bCs/>
        </w:rPr>
      </w:pPr>
    </w:p>
    <w:p w14:paraId="0C734D37" w14:textId="77777777" w:rsidR="00B46E49" w:rsidRDefault="00B46E49" w:rsidP="00BA2D6C">
      <w:pPr>
        <w:rPr>
          <w:b/>
          <w:bCs/>
        </w:rPr>
      </w:pPr>
    </w:p>
    <w:sectPr w:rsidR="00B46E49" w:rsidSect="00AE4BA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B7C8C" w14:textId="77777777" w:rsidR="001018FA" w:rsidRDefault="001018FA" w:rsidP="00F42863">
      <w:pPr>
        <w:spacing w:after="0" w:line="240" w:lineRule="auto"/>
      </w:pPr>
      <w:r>
        <w:separator/>
      </w:r>
    </w:p>
  </w:endnote>
  <w:endnote w:type="continuationSeparator" w:id="0">
    <w:p w14:paraId="4403E389" w14:textId="77777777" w:rsidR="001018FA" w:rsidRDefault="001018FA" w:rsidP="00F4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8998027"/>
      <w:docPartObj>
        <w:docPartGallery w:val="Page Numbers (Bottom of Page)"/>
        <w:docPartUnique/>
      </w:docPartObj>
    </w:sdtPr>
    <w:sdtEndPr>
      <w:rPr>
        <w:noProof/>
      </w:rPr>
    </w:sdtEndPr>
    <w:sdtContent>
      <w:p w14:paraId="3E29E199" w14:textId="0206349B" w:rsidR="00F42863" w:rsidRDefault="00F42863">
        <w:pPr>
          <w:pStyle w:val="Footer"/>
          <w:jc w:val="right"/>
        </w:pPr>
        <w:r>
          <w:fldChar w:fldCharType="begin"/>
        </w:r>
        <w:r>
          <w:instrText xml:space="preserve"> PAGE   \* MERGEFORMAT </w:instrText>
        </w:r>
        <w:r>
          <w:fldChar w:fldCharType="separate"/>
        </w:r>
        <w:r w:rsidR="00301714">
          <w:rPr>
            <w:noProof/>
          </w:rPr>
          <w:t>15</w:t>
        </w:r>
        <w:r>
          <w:rPr>
            <w:noProof/>
          </w:rPr>
          <w:fldChar w:fldCharType="end"/>
        </w:r>
      </w:p>
    </w:sdtContent>
  </w:sdt>
  <w:p w14:paraId="1AC0E3C2" w14:textId="77777777" w:rsidR="00F42863" w:rsidRDefault="00F42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EB14C" w14:textId="77777777" w:rsidR="001018FA" w:rsidRDefault="001018FA" w:rsidP="00F42863">
      <w:pPr>
        <w:spacing w:after="0" w:line="240" w:lineRule="auto"/>
      </w:pPr>
      <w:r>
        <w:separator/>
      </w:r>
    </w:p>
  </w:footnote>
  <w:footnote w:type="continuationSeparator" w:id="0">
    <w:p w14:paraId="0998780B" w14:textId="77777777" w:rsidR="001018FA" w:rsidRDefault="001018FA" w:rsidP="00F42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38A7"/>
    <w:multiLevelType w:val="hybridMultilevel"/>
    <w:tmpl w:val="FBEC2D94"/>
    <w:lvl w:ilvl="0" w:tplc="F2C86E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7495A"/>
    <w:multiLevelType w:val="hybridMultilevel"/>
    <w:tmpl w:val="50C03EB2"/>
    <w:lvl w:ilvl="0" w:tplc="A87043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A3569"/>
    <w:multiLevelType w:val="hybridMultilevel"/>
    <w:tmpl w:val="6D90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77949"/>
    <w:multiLevelType w:val="hybridMultilevel"/>
    <w:tmpl w:val="43AC8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C7A7E"/>
    <w:multiLevelType w:val="hybridMultilevel"/>
    <w:tmpl w:val="D01E8B7C"/>
    <w:lvl w:ilvl="0" w:tplc="E53A61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E3966"/>
    <w:multiLevelType w:val="hybridMultilevel"/>
    <w:tmpl w:val="6550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15"/>
    <w:rsid w:val="000002F3"/>
    <w:rsid w:val="00000D79"/>
    <w:rsid w:val="00006FE7"/>
    <w:rsid w:val="00012B43"/>
    <w:rsid w:val="00014864"/>
    <w:rsid w:val="0001583F"/>
    <w:rsid w:val="00016177"/>
    <w:rsid w:val="00017A89"/>
    <w:rsid w:val="0002048C"/>
    <w:rsid w:val="0002435D"/>
    <w:rsid w:val="00024F4D"/>
    <w:rsid w:val="000260EF"/>
    <w:rsid w:val="00027C21"/>
    <w:rsid w:val="00031B31"/>
    <w:rsid w:val="000324FA"/>
    <w:rsid w:val="00035A7A"/>
    <w:rsid w:val="00041467"/>
    <w:rsid w:val="00041552"/>
    <w:rsid w:val="000440DD"/>
    <w:rsid w:val="00047677"/>
    <w:rsid w:val="000511D1"/>
    <w:rsid w:val="00051A60"/>
    <w:rsid w:val="00060701"/>
    <w:rsid w:val="00066382"/>
    <w:rsid w:val="00066661"/>
    <w:rsid w:val="00072BFD"/>
    <w:rsid w:val="00077998"/>
    <w:rsid w:val="0008292F"/>
    <w:rsid w:val="0008759D"/>
    <w:rsid w:val="0009148A"/>
    <w:rsid w:val="000A5870"/>
    <w:rsid w:val="000A6ABA"/>
    <w:rsid w:val="000B226C"/>
    <w:rsid w:val="000B754E"/>
    <w:rsid w:val="000C378B"/>
    <w:rsid w:val="000C4F92"/>
    <w:rsid w:val="000D0FEF"/>
    <w:rsid w:val="000D5052"/>
    <w:rsid w:val="000D520C"/>
    <w:rsid w:val="000E11A3"/>
    <w:rsid w:val="000E33E4"/>
    <w:rsid w:val="000E3FAB"/>
    <w:rsid w:val="000E4450"/>
    <w:rsid w:val="000F526D"/>
    <w:rsid w:val="000F6D54"/>
    <w:rsid w:val="001018FA"/>
    <w:rsid w:val="001027B3"/>
    <w:rsid w:val="00103BDC"/>
    <w:rsid w:val="00104970"/>
    <w:rsid w:val="00104F35"/>
    <w:rsid w:val="0012491B"/>
    <w:rsid w:val="0012507E"/>
    <w:rsid w:val="001253AC"/>
    <w:rsid w:val="001260EE"/>
    <w:rsid w:val="001310E2"/>
    <w:rsid w:val="00131696"/>
    <w:rsid w:val="00131FE2"/>
    <w:rsid w:val="00132467"/>
    <w:rsid w:val="00132F52"/>
    <w:rsid w:val="00133431"/>
    <w:rsid w:val="00134B8F"/>
    <w:rsid w:val="00134BEA"/>
    <w:rsid w:val="0013730D"/>
    <w:rsid w:val="00140625"/>
    <w:rsid w:val="00141339"/>
    <w:rsid w:val="00145C17"/>
    <w:rsid w:val="00151C45"/>
    <w:rsid w:val="00152D64"/>
    <w:rsid w:val="00156573"/>
    <w:rsid w:val="00160425"/>
    <w:rsid w:val="00161BCA"/>
    <w:rsid w:val="001634FA"/>
    <w:rsid w:val="00182764"/>
    <w:rsid w:val="0018448C"/>
    <w:rsid w:val="00185A30"/>
    <w:rsid w:val="00185DF6"/>
    <w:rsid w:val="00194AE7"/>
    <w:rsid w:val="001A016B"/>
    <w:rsid w:val="001A663B"/>
    <w:rsid w:val="001A69A1"/>
    <w:rsid w:val="001B189D"/>
    <w:rsid w:val="001B3947"/>
    <w:rsid w:val="001B6780"/>
    <w:rsid w:val="001B69D7"/>
    <w:rsid w:val="001C4871"/>
    <w:rsid w:val="001D143E"/>
    <w:rsid w:val="001D1C60"/>
    <w:rsid w:val="001D2142"/>
    <w:rsid w:val="001D353E"/>
    <w:rsid w:val="001D6765"/>
    <w:rsid w:val="001E1C6D"/>
    <w:rsid w:val="001E6EC1"/>
    <w:rsid w:val="001F2ED5"/>
    <w:rsid w:val="001F5958"/>
    <w:rsid w:val="001F5DC8"/>
    <w:rsid w:val="00201FE9"/>
    <w:rsid w:val="0020303D"/>
    <w:rsid w:val="00203634"/>
    <w:rsid w:val="00211EFD"/>
    <w:rsid w:val="002206AF"/>
    <w:rsid w:val="002232A8"/>
    <w:rsid w:val="00224487"/>
    <w:rsid w:val="00226E2F"/>
    <w:rsid w:val="0023102C"/>
    <w:rsid w:val="00234467"/>
    <w:rsid w:val="002361EC"/>
    <w:rsid w:val="00236238"/>
    <w:rsid w:val="00236ECE"/>
    <w:rsid w:val="00237DAC"/>
    <w:rsid w:val="00244E97"/>
    <w:rsid w:val="00245BA5"/>
    <w:rsid w:val="00250515"/>
    <w:rsid w:val="00250DD4"/>
    <w:rsid w:val="00250FB8"/>
    <w:rsid w:val="00251B3B"/>
    <w:rsid w:val="002540F9"/>
    <w:rsid w:val="00260D88"/>
    <w:rsid w:val="00260DF4"/>
    <w:rsid w:val="002615A1"/>
    <w:rsid w:val="0026238D"/>
    <w:rsid w:val="00264B68"/>
    <w:rsid w:val="00264DDC"/>
    <w:rsid w:val="00264F0F"/>
    <w:rsid w:val="002669E6"/>
    <w:rsid w:val="00271B6A"/>
    <w:rsid w:val="002731A0"/>
    <w:rsid w:val="0027449C"/>
    <w:rsid w:val="00274B62"/>
    <w:rsid w:val="00280126"/>
    <w:rsid w:val="00281964"/>
    <w:rsid w:val="00293655"/>
    <w:rsid w:val="002A18D2"/>
    <w:rsid w:val="002A483B"/>
    <w:rsid w:val="002A4BD8"/>
    <w:rsid w:val="002A576D"/>
    <w:rsid w:val="002A5B54"/>
    <w:rsid w:val="002B106E"/>
    <w:rsid w:val="002B29B3"/>
    <w:rsid w:val="002B3F0C"/>
    <w:rsid w:val="002B4924"/>
    <w:rsid w:val="002B6430"/>
    <w:rsid w:val="002C06A2"/>
    <w:rsid w:val="002C0988"/>
    <w:rsid w:val="002D2CA2"/>
    <w:rsid w:val="002D7348"/>
    <w:rsid w:val="002E0890"/>
    <w:rsid w:val="002E1295"/>
    <w:rsid w:val="002E1789"/>
    <w:rsid w:val="002E544A"/>
    <w:rsid w:val="002F0A7A"/>
    <w:rsid w:val="002F0C98"/>
    <w:rsid w:val="002F6D73"/>
    <w:rsid w:val="002F7349"/>
    <w:rsid w:val="003002ED"/>
    <w:rsid w:val="00301714"/>
    <w:rsid w:val="003075C9"/>
    <w:rsid w:val="0031074C"/>
    <w:rsid w:val="00310E8A"/>
    <w:rsid w:val="00312D2E"/>
    <w:rsid w:val="003245C0"/>
    <w:rsid w:val="003310C6"/>
    <w:rsid w:val="00331CE5"/>
    <w:rsid w:val="00334184"/>
    <w:rsid w:val="00336321"/>
    <w:rsid w:val="00340EAC"/>
    <w:rsid w:val="00340FCC"/>
    <w:rsid w:val="0034201D"/>
    <w:rsid w:val="00353794"/>
    <w:rsid w:val="003547EB"/>
    <w:rsid w:val="00360728"/>
    <w:rsid w:val="0036197A"/>
    <w:rsid w:val="00362C4B"/>
    <w:rsid w:val="003702DF"/>
    <w:rsid w:val="003736C9"/>
    <w:rsid w:val="00373725"/>
    <w:rsid w:val="00377722"/>
    <w:rsid w:val="003810A7"/>
    <w:rsid w:val="003812EB"/>
    <w:rsid w:val="003818E9"/>
    <w:rsid w:val="00384E68"/>
    <w:rsid w:val="00396A34"/>
    <w:rsid w:val="003A413D"/>
    <w:rsid w:val="003B1FF2"/>
    <w:rsid w:val="003B271D"/>
    <w:rsid w:val="003B4188"/>
    <w:rsid w:val="003C6474"/>
    <w:rsid w:val="003D20DC"/>
    <w:rsid w:val="003E0061"/>
    <w:rsid w:val="003E0AC2"/>
    <w:rsid w:val="003E33FE"/>
    <w:rsid w:val="003E3BB9"/>
    <w:rsid w:val="003E3CD9"/>
    <w:rsid w:val="003E4AE8"/>
    <w:rsid w:val="003E785F"/>
    <w:rsid w:val="0040117D"/>
    <w:rsid w:val="00402B93"/>
    <w:rsid w:val="00413723"/>
    <w:rsid w:val="00415643"/>
    <w:rsid w:val="00416AD9"/>
    <w:rsid w:val="00423A6D"/>
    <w:rsid w:val="0042512B"/>
    <w:rsid w:val="00425C05"/>
    <w:rsid w:val="00427224"/>
    <w:rsid w:val="00430859"/>
    <w:rsid w:val="00431A3E"/>
    <w:rsid w:val="00436BF0"/>
    <w:rsid w:val="0043707F"/>
    <w:rsid w:val="0044286C"/>
    <w:rsid w:val="00451048"/>
    <w:rsid w:val="0045363E"/>
    <w:rsid w:val="0045501E"/>
    <w:rsid w:val="0045589D"/>
    <w:rsid w:val="00460D68"/>
    <w:rsid w:val="00462BE5"/>
    <w:rsid w:val="0046326F"/>
    <w:rsid w:val="004635AB"/>
    <w:rsid w:val="00464E8E"/>
    <w:rsid w:val="004650BA"/>
    <w:rsid w:val="00470ADC"/>
    <w:rsid w:val="00475720"/>
    <w:rsid w:val="00484498"/>
    <w:rsid w:val="004853D1"/>
    <w:rsid w:val="00486AAB"/>
    <w:rsid w:val="004933E5"/>
    <w:rsid w:val="004A1E7D"/>
    <w:rsid w:val="004A3651"/>
    <w:rsid w:val="004A65BA"/>
    <w:rsid w:val="004B068A"/>
    <w:rsid w:val="004B1594"/>
    <w:rsid w:val="004C3323"/>
    <w:rsid w:val="004C3AA5"/>
    <w:rsid w:val="004C4B0B"/>
    <w:rsid w:val="004C5EC4"/>
    <w:rsid w:val="004D4814"/>
    <w:rsid w:val="004E10A9"/>
    <w:rsid w:val="004E7D27"/>
    <w:rsid w:val="004F76C7"/>
    <w:rsid w:val="00501D71"/>
    <w:rsid w:val="00510740"/>
    <w:rsid w:val="00512AB4"/>
    <w:rsid w:val="005143E1"/>
    <w:rsid w:val="0051705E"/>
    <w:rsid w:val="005201B1"/>
    <w:rsid w:val="005245E8"/>
    <w:rsid w:val="00525CD8"/>
    <w:rsid w:val="00531220"/>
    <w:rsid w:val="005314E3"/>
    <w:rsid w:val="00531657"/>
    <w:rsid w:val="00533D42"/>
    <w:rsid w:val="0053476F"/>
    <w:rsid w:val="00542FAC"/>
    <w:rsid w:val="0054439F"/>
    <w:rsid w:val="0054541F"/>
    <w:rsid w:val="0054577B"/>
    <w:rsid w:val="0055037A"/>
    <w:rsid w:val="00550405"/>
    <w:rsid w:val="00550426"/>
    <w:rsid w:val="00557683"/>
    <w:rsid w:val="00562987"/>
    <w:rsid w:val="005644DE"/>
    <w:rsid w:val="0056487A"/>
    <w:rsid w:val="005654FE"/>
    <w:rsid w:val="00574B04"/>
    <w:rsid w:val="00576397"/>
    <w:rsid w:val="005777EC"/>
    <w:rsid w:val="00585E84"/>
    <w:rsid w:val="00597AC8"/>
    <w:rsid w:val="005A2F29"/>
    <w:rsid w:val="005A7CF7"/>
    <w:rsid w:val="005B06D1"/>
    <w:rsid w:val="005B57C2"/>
    <w:rsid w:val="005B6578"/>
    <w:rsid w:val="005C2740"/>
    <w:rsid w:val="005C4B66"/>
    <w:rsid w:val="005C5478"/>
    <w:rsid w:val="005C5B5B"/>
    <w:rsid w:val="005C7E2B"/>
    <w:rsid w:val="005D03D8"/>
    <w:rsid w:val="005D1933"/>
    <w:rsid w:val="005D30D4"/>
    <w:rsid w:val="005D48D5"/>
    <w:rsid w:val="005D4DCD"/>
    <w:rsid w:val="005D4ECA"/>
    <w:rsid w:val="005E4A43"/>
    <w:rsid w:val="005E57F0"/>
    <w:rsid w:val="005E65F8"/>
    <w:rsid w:val="005E7993"/>
    <w:rsid w:val="005E7BEC"/>
    <w:rsid w:val="005F0233"/>
    <w:rsid w:val="005F585D"/>
    <w:rsid w:val="00613619"/>
    <w:rsid w:val="00615E1D"/>
    <w:rsid w:val="00616570"/>
    <w:rsid w:val="0062104D"/>
    <w:rsid w:val="00621BAC"/>
    <w:rsid w:val="00623FCC"/>
    <w:rsid w:val="00633CCB"/>
    <w:rsid w:val="00634D90"/>
    <w:rsid w:val="00635798"/>
    <w:rsid w:val="006360DA"/>
    <w:rsid w:val="00645CBA"/>
    <w:rsid w:val="006463F3"/>
    <w:rsid w:val="006502AC"/>
    <w:rsid w:val="00652387"/>
    <w:rsid w:val="00652F7E"/>
    <w:rsid w:val="00664C4A"/>
    <w:rsid w:val="0066661E"/>
    <w:rsid w:val="00675F50"/>
    <w:rsid w:val="006763F2"/>
    <w:rsid w:val="00680F92"/>
    <w:rsid w:val="00697DF8"/>
    <w:rsid w:val="006A0A61"/>
    <w:rsid w:val="006A549C"/>
    <w:rsid w:val="006B1A9D"/>
    <w:rsid w:val="006B3F91"/>
    <w:rsid w:val="006C343C"/>
    <w:rsid w:val="006D0156"/>
    <w:rsid w:val="006D20FB"/>
    <w:rsid w:val="006D409F"/>
    <w:rsid w:val="006E062B"/>
    <w:rsid w:val="006E5A58"/>
    <w:rsid w:val="006E77CB"/>
    <w:rsid w:val="006F096A"/>
    <w:rsid w:val="006F388C"/>
    <w:rsid w:val="006F4DAE"/>
    <w:rsid w:val="00700889"/>
    <w:rsid w:val="0070298F"/>
    <w:rsid w:val="00703431"/>
    <w:rsid w:val="00703D2F"/>
    <w:rsid w:val="00706D8A"/>
    <w:rsid w:val="0070772D"/>
    <w:rsid w:val="00711057"/>
    <w:rsid w:val="0071133D"/>
    <w:rsid w:val="0072118D"/>
    <w:rsid w:val="00721C15"/>
    <w:rsid w:val="007272C6"/>
    <w:rsid w:val="00727327"/>
    <w:rsid w:val="0073197E"/>
    <w:rsid w:val="0073291F"/>
    <w:rsid w:val="00732A14"/>
    <w:rsid w:val="007365B8"/>
    <w:rsid w:val="007377BC"/>
    <w:rsid w:val="00743BB3"/>
    <w:rsid w:val="00744D22"/>
    <w:rsid w:val="00745A4D"/>
    <w:rsid w:val="00751C54"/>
    <w:rsid w:val="00754112"/>
    <w:rsid w:val="00764AA1"/>
    <w:rsid w:val="00767DEC"/>
    <w:rsid w:val="00775058"/>
    <w:rsid w:val="0078219C"/>
    <w:rsid w:val="00782931"/>
    <w:rsid w:val="00783BC1"/>
    <w:rsid w:val="0078689B"/>
    <w:rsid w:val="0079233E"/>
    <w:rsid w:val="00795537"/>
    <w:rsid w:val="00797EE0"/>
    <w:rsid w:val="007A3BDB"/>
    <w:rsid w:val="007A4170"/>
    <w:rsid w:val="007B1CE3"/>
    <w:rsid w:val="007B4793"/>
    <w:rsid w:val="007B7785"/>
    <w:rsid w:val="007B784F"/>
    <w:rsid w:val="007C4EE7"/>
    <w:rsid w:val="007C4F65"/>
    <w:rsid w:val="007D0339"/>
    <w:rsid w:val="007D1ED8"/>
    <w:rsid w:val="007D2428"/>
    <w:rsid w:val="007D5D1E"/>
    <w:rsid w:val="007D6470"/>
    <w:rsid w:val="007D7A74"/>
    <w:rsid w:val="007E254B"/>
    <w:rsid w:val="007E2985"/>
    <w:rsid w:val="007E3122"/>
    <w:rsid w:val="007E4FAD"/>
    <w:rsid w:val="007E771B"/>
    <w:rsid w:val="00801BFD"/>
    <w:rsid w:val="0080319A"/>
    <w:rsid w:val="00803607"/>
    <w:rsid w:val="00805A59"/>
    <w:rsid w:val="0080638A"/>
    <w:rsid w:val="008079CA"/>
    <w:rsid w:val="00807FEC"/>
    <w:rsid w:val="00810659"/>
    <w:rsid w:val="008125D0"/>
    <w:rsid w:val="0081464F"/>
    <w:rsid w:val="00823ECB"/>
    <w:rsid w:val="00824826"/>
    <w:rsid w:val="00824F87"/>
    <w:rsid w:val="0082527D"/>
    <w:rsid w:val="00826F21"/>
    <w:rsid w:val="00830721"/>
    <w:rsid w:val="00831E6D"/>
    <w:rsid w:val="00832218"/>
    <w:rsid w:val="00834890"/>
    <w:rsid w:val="008353EC"/>
    <w:rsid w:val="00837595"/>
    <w:rsid w:val="00837A9C"/>
    <w:rsid w:val="008406D2"/>
    <w:rsid w:val="00842423"/>
    <w:rsid w:val="00844669"/>
    <w:rsid w:val="0085032D"/>
    <w:rsid w:val="008562A7"/>
    <w:rsid w:val="008615C9"/>
    <w:rsid w:val="00866C39"/>
    <w:rsid w:val="00870818"/>
    <w:rsid w:val="0087167C"/>
    <w:rsid w:val="00891174"/>
    <w:rsid w:val="00895128"/>
    <w:rsid w:val="00896284"/>
    <w:rsid w:val="008971A6"/>
    <w:rsid w:val="008A10DB"/>
    <w:rsid w:val="008A5C23"/>
    <w:rsid w:val="008B1B0A"/>
    <w:rsid w:val="008B7ABE"/>
    <w:rsid w:val="008C10F6"/>
    <w:rsid w:val="008C2E15"/>
    <w:rsid w:val="008C32EE"/>
    <w:rsid w:val="008C43A3"/>
    <w:rsid w:val="008C6719"/>
    <w:rsid w:val="008C7BD0"/>
    <w:rsid w:val="008D1602"/>
    <w:rsid w:val="008D2DCC"/>
    <w:rsid w:val="008D6004"/>
    <w:rsid w:val="008E0109"/>
    <w:rsid w:val="008E05C8"/>
    <w:rsid w:val="008E0A97"/>
    <w:rsid w:val="008E26C6"/>
    <w:rsid w:val="008E4352"/>
    <w:rsid w:val="008E4BC8"/>
    <w:rsid w:val="008E7492"/>
    <w:rsid w:val="008F17ED"/>
    <w:rsid w:val="008F34E8"/>
    <w:rsid w:val="008F397C"/>
    <w:rsid w:val="008F5355"/>
    <w:rsid w:val="008F66AF"/>
    <w:rsid w:val="009015FE"/>
    <w:rsid w:val="0090167E"/>
    <w:rsid w:val="00901E0A"/>
    <w:rsid w:val="00902062"/>
    <w:rsid w:val="0090674B"/>
    <w:rsid w:val="009251BA"/>
    <w:rsid w:val="00926867"/>
    <w:rsid w:val="0092706C"/>
    <w:rsid w:val="0093417C"/>
    <w:rsid w:val="0093634E"/>
    <w:rsid w:val="00940855"/>
    <w:rsid w:val="00944BA3"/>
    <w:rsid w:val="00945BBE"/>
    <w:rsid w:val="00956C3F"/>
    <w:rsid w:val="00960572"/>
    <w:rsid w:val="0096196D"/>
    <w:rsid w:val="00961FCF"/>
    <w:rsid w:val="00963CCE"/>
    <w:rsid w:val="00965C0F"/>
    <w:rsid w:val="0096727D"/>
    <w:rsid w:val="00970058"/>
    <w:rsid w:val="0097260F"/>
    <w:rsid w:val="00973DD7"/>
    <w:rsid w:val="009748B1"/>
    <w:rsid w:val="0097626E"/>
    <w:rsid w:val="0097770B"/>
    <w:rsid w:val="00981B42"/>
    <w:rsid w:val="0099669A"/>
    <w:rsid w:val="009A2127"/>
    <w:rsid w:val="009A2150"/>
    <w:rsid w:val="009A5BD6"/>
    <w:rsid w:val="009B04DC"/>
    <w:rsid w:val="009B1E13"/>
    <w:rsid w:val="009B3783"/>
    <w:rsid w:val="009B5BBF"/>
    <w:rsid w:val="009C14F0"/>
    <w:rsid w:val="009C59A8"/>
    <w:rsid w:val="009C7096"/>
    <w:rsid w:val="009D29EC"/>
    <w:rsid w:val="009D48EB"/>
    <w:rsid w:val="009D70B6"/>
    <w:rsid w:val="009E3B67"/>
    <w:rsid w:val="009E5F1D"/>
    <w:rsid w:val="009F18EB"/>
    <w:rsid w:val="009F27CC"/>
    <w:rsid w:val="009F3EEB"/>
    <w:rsid w:val="009F4127"/>
    <w:rsid w:val="00A033A9"/>
    <w:rsid w:val="00A05084"/>
    <w:rsid w:val="00A12D49"/>
    <w:rsid w:val="00A15BED"/>
    <w:rsid w:val="00A16787"/>
    <w:rsid w:val="00A21025"/>
    <w:rsid w:val="00A2283E"/>
    <w:rsid w:val="00A25281"/>
    <w:rsid w:val="00A26ABF"/>
    <w:rsid w:val="00A27D20"/>
    <w:rsid w:val="00A323CB"/>
    <w:rsid w:val="00A32EAD"/>
    <w:rsid w:val="00A35E7F"/>
    <w:rsid w:val="00A448D1"/>
    <w:rsid w:val="00A462E7"/>
    <w:rsid w:val="00A4797B"/>
    <w:rsid w:val="00A510B0"/>
    <w:rsid w:val="00A516B7"/>
    <w:rsid w:val="00A6020E"/>
    <w:rsid w:val="00A60F99"/>
    <w:rsid w:val="00A620F5"/>
    <w:rsid w:val="00A667EC"/>
    <w:rsid w:val="00A670CC"/>
    <w:rsid w:val="00A70835"/>
    <w:rsid w:val="00A76A4F"/>
    <w:rsid w:val="00A76E3F"/>
    <w:rsid w:val="00A7733A"/>
    <w:rsid w:val="00A777F2"/>
    <w:rsid w:val="00A80B0D"/>
    <w:rsid w:val="00A80F2C"/>
    <w:rsid w:val="00A848A4"/>
    <w:rsid w:val="00A85137"/>
    <w:rsid w:val="00A94EE8"/>
    <w:rsid w:val="00A9502C"/>
    <w:rsid w:val="00AA1131"/>
    <w:rsid w:val="00AA3E88"/>
    <w:rsid w:val="00AA598C"/>
    <w:rsid w:val="00AA72CF"/>
    <w:rsid w:val="00AB59CC"/>
    <w:rsid w:val="00AB5B22"/>
    <w:rsid w:val="00AC51DB"/>
    <w:rsid w:val="00AD23ED"/>
    <w:rsid w:val="00AD3883"/>
    <w:rsid w:val="00AD5684"/>
    <w:rsid w:val="00AD633D"/>
    <w:rsid w:val="00AD6F40"/>
    <w:rsid w:val="00AD76AE"/>
    <w:rsid w:val="00AD7DDC"/>
    <w:rsid w:val="00AE4BAE"/>
    <w:rsid w:val="00AE5873"/>
    <w:rsid w:val="00AE6018"/>
    <w:rsid w:val="00AE6784"/>
    <w:rsid w:val="00AE7083"/>
    <w:rsid w:val="00AF0091"/>
    <w:rsid w:val="00AF1579"/>
    <w:rsid w:val="00AF35CF"/>
    <w:rsid w:val="00AF3F6D"/>
    <w:rsid w:val="00AF709B"/>
    <w:rsid w:val="00AF763D"/>
    <w:rsid w:val="00B00D45"/>
    <w:rsid w:val="00B02C50"/>
    <w:rsid w:val="00B04189"/>
    <w:rsid w:val="00B05E57"/>
    <w:rsid w:val="00B13787"/>
    <w:rsid w:val="00B22753"/>
    <w:rsid w:val="00B267B2"/>
    <w:rsid w:val="00B26999"/>
    <w:rsid w:val="00B34F3B"/>
    <w:rsid w:val="00B35C80"/>
    <w:rsid w:val="00B461FC"/>
    <w:rsid w:val="00B46201"/>
    <w:rsid w:val="00B46E49"/>
    <w:rsid w:val="00B51D6C"/>
    <w:rsid w:val="00B51F15"/>
    <w:rsid w:val="00B618AA"/>
    <w:rsid w:val="00B67F47"/>
    <w:rsid w:val="00B70F11"/>
    <w:rsid w:val="00B7354A"/>
    <w:rsid w:val="00B75C37"/>
    <w:rsid w:val="00B82E31"/>
    <w:rsid w:val="00B83081"/>
    <w:rsid w:val="00B85135"/>
    <w:rsid w:val="00B85339"/>
    <w:rsid w:val="00B966BB"/>
    <w:rsid w:val="00BA28A6"/>
    <w:rsid w:val="00BA2D6C"/>
    <w:rsid w:val="00BA2F20"/>
    <w:rsid w:val="00BA45A9"/>
    <w:rsid w:val="00BA7187"/>
    <w:rsid w:val="00BB169B"/>
    <w:rsid w:val="00BB44F6"/>
    <w:rsid w:val="00BB6B67"/>
    <w:rsid w:val="00BC3E13"/>
    <w:rsid w:val="00BC4577"/>
    <w:rsid w:val="00BD4A3B"/>
    <w:rsid w:val="00BD7614"/>
    <w:rsid w:val="00BE1749"/>
    <w:rsid w:val="00BE1BD5"/>
    <w:rsid w:val="00BE31E4"/>
    <w:rsid w:val="00BE6148"/>
    <w:rsid w:val="00BE6687"/>
    <w:rsid w:val="00BE7674"/>
    <w:rsid w:val="00BE7802"/>
    <w:rsid w:val="00BF24C6"/>
    <w:rsid w:val="00BF3FB6"/>
    <w:rsid w:val="00BF50F2"/>
    <w:rsid w:val="00BF5872"/>
    <w:rsid w:val="00BF60D3"/>
    <w:rsid w:val="00BF70EF"/>
    <w:rsid w:val="00C0207C"/>
    <w:rsid w:val="00C05AB6"/>
    <w:rsid w:val="00C07492"/>
    <w:rsid w:val="00C13BEB"/>
    <w:rsid w:val="00C14574"/>
    <w:rsid w:val="00C16655"/>
    <w:rsid w:val="00C170AD"/>
    <w:rsid w:val="00C22817"/>
    <w:rsid w:val="00C2292B"/>
    <w:rsid w:val="00C22A16"/>
    <w:rsid w:val="00C25845"/>
    <w:rsid w:val="00C2722C"/>
    <w:rsid w:val="00C30A11"/>
    <w:rsid w:val="00C33580"/>
    <w:rsid w:val="00C40C71"/>
    <w:rsid w:val="00C451E7"/>
    <w:rsid w:val="00C45C51"/>
    <w:rsid w:val="00C500F6"/>
    <w:rsid w:val="00C54768"/>
    <w:rsid w:val="00C5548F"/>
    <w:rsid w:val="00C55E24"/>
    <w:rsid w:val="00C57F0F"/>
    <w:rsid w:val="00C60DEE"/>
    <w:rsid w:val="00C62E62"/>
    <w:rsid w:val="00C64834"/>
    <w:rsid w:val="00C66572"/>
    <w:rsid w:val="00C66E1E"/>
    <w:rsid w:val="00C70977"/>
    <w:rsid w:val="00C7165C"/>
    <w:rsid w:val="00C71BCE"/>
    <w:rsid w:val="00C72472"/>
    <w:rsid w:val="00C750D3"/>
    <w:rsid w:val="00C75E56"/>
    <w:rsid w:val="00C77A2C"/>
    <w:rsid w:val="00C800E9"/>
    <w:rsid w:val="00C81AF3"/>
    <w:rsid w:val="00C8203B"/>
    <w:rsid w:val="00C854D1"/>
    <w:rsid w:val="00C86D56"/>
    <w:rsid w:val="00C9050A"/>
    <w:rsid w:val="00C928D3"/>
    <w:rsid w:val="00C934F1"/>
    <w:rsid w:val="00C95258"/>
    <w:rsid w:val="00C95BE2"/>
    <w:rsid w:val="00C96D93"/>
    <w:rsid w:val="00CB0062"/>
    <w:rsid w:val="00CB137C"/>
    <w:rsid w:val="00CB37C9"/>
    <w:rsid w:val="00CB5409"/>
    <w:rsid w:val="00CB6B9B"/>
    <w:rsid w:val="00CC06E8"/>
    <w:rsid w:val="00CC6CA0"/>
    <w:rsid w:val="00CD104F"/>
    <w:rsid w:val="00CD111B"/>
    <w:rsid w:val="00CD394F"/>
    <w:rsid w:val="00CD3F14"/>
    <w:rsid w:val="00CD4B4C"/>
    <w:rsid w:val="00CD5058"/>
    <w:rsid w:val="00CD66D5"/>
    <w:rsid w:val="00CD75B8"/>
    <w:rsid w:val="00CD7DF8"/>
    <w:rsid w:val="00CE2C60"/>
    <w:rsid w:val="00CE4566"/>
    <w:rsid w:val="00CE59A4"/>
    <w:rsid w:val="00CF3920"/>
    <w:rsid w:val="00CF66E7"/>
    <w:rsid w:val="00CF7958"/>
    <w:rsid w:val="00CF7DC9"/>
    <w:rsid w:val="00D01E15"/>
    <w:rsid w:val="00D024FF"/>
    <w:rsid w:val="00D05D3A"/>
    <w:rsid w:val="00D12B0E"/>
    <w:rsid w:val="00D20AB7"/>
    <w:rsid w:val="00D22935"/>
    <w:rsid w:val="00D22AB9"/>
    <w:rsid w:val="00D241B5"/>
    <w:rsid w:val="00D258E7"/>
    <w:rsid w:val="00D37ABA"/>
    <w:rsid w:val="00D40CC8"/>
    <w:rsid w:val="00D417B4"/>
    <w:rsid w:val="00D45668"/>
    <w:rsid w:val="00D457EE"/>
    <w:rsid w:val="00D51548"/>
    <w:rsid w:val="00D51978"/>
    <w:rsid w:val="00D545B5"/>
    <w:rsid w:val="00D57F94"/>
    <w:rsid w:val="00D7211B"/>
    <w:rsid w:val="00D72305"/>
    <w:rsid w:val="00D763E1"/>
    <w:rsid w:val="00D807B4"/>
    <w:rsid w:val="00D811D4"/>
    <w:rsid w:val="00D8505F"/>
    <w:rsid w:val="00D85754"/>
    <w:rsid w:val="00D86612"/>
    <w:rsid w:val="00D91A91"/>
    <w:rsid w:val="00D92414"/>
    <w:rsid w:val="00D95758"/>
    <w:rsid w:val="00DA3706"/>
    <w:rsid w:val="00DA64CE"/>
    <w:rsid w:val="00DA67BD"/>
    <w:rsid w:val="00DB5600"/>
    <w:rsid w:val="00DB7DF7"/>
    <w:rsid w:val="00DC1CB2"/>
    <w:rsid w:val="00DD06AD"/>
    <w:rsid w:val="00DD462F"/>
    <w:rsid w:val="00DD5F95"/>
    <w:rsid w:val="00DE1653"/>
    <w:rsid w:val="00DE299E"/>
    <w:rsid w:val="00DE5957"/>
    <w:rsid w:val="00DF69D1"/>
    <w:rsid w:val="00DF7623"/>
    <w:rsid w:val="00E01AD3"/>
    <w:rsid w:val="00E03F3D"/>
    <w:rsid w:val="00E12800"/>
    <w:rsid w:val="00E14F24"/>
    <w:rsid w:val="00E32644"/>
    <w:rsid w:val="00E34AA1"/>
    <w:rsid w:val="00E36515"/>
    <w:rsid w:val="00E4215A"/>
    <w:rsid w:val="00E42C8F"/>
    <w:rsid w:val="00E4474E"/>
    <w:rsid w:val="00E462C3"/>
    <w:rsid w:val="00E479BC"/>
    <w:rsid w:val="00E536C8"/>
    <w:rsid w:val="00E54A33"/>
    <w:rsid w:val="00E62D52"/>
    <w:rsid w:val="00E70A83"/>
    <w:rsid w:val="00E72D64"/>
    <w:rsid w:val="00E74EBE"/>
    <w:rsid w:val="00E75682"/>
    <w:rsid w:val="00E7726D"/>
    <w:rsid w:val="00E8056B"/>
    <w:rsid w:val="00E82836"/>
    <w:rsid w:val="00E83EE1"/>
    <w:rsid w:val="00E91160"/>
    <w:rsid w:val="00E92F9B"/>
    <w:rsid w:val="00E9448F"/>
    <w:rsid w:val="00E94666"/>
    <w:rsid w:val="00E96386"/>
    <w:rsid w:val="00EA3342"/>
    <w:rsid w:val="00EA5DC7"/>
    <w:rsid w:val="00EB0716"/>
    <w:rsid w:val="00EB318C"/>
    <w:rsid w:val="00EB3D20"/>
    <w:rsid w:val="00EB507E"/>
    <w:rsid w:val="00EC0BAD"/>
    <w:rsid w:val="00EC33EA"/>
    <w:rsid w:val="00EC34A3"/>
    <w:rsid w:val="00EC3DB2"/>
    <w:rsid w:val="00EC47FE"/>
    <w:rsid w:val="00EC76A9"/>
    <w:rsid w:val="00ED16C3"/>
    <w:rsid w:val="00ED4BB6"/>
    <w:rsid w:val="00ED7DA9"/>
    <w:rsid w:val="00EE4900"/>
    <w:rsid w:val="00EF0134"/>
    <w:rsid w:val="00EF0FA1"/>
    <w:rsid w:val="00EF1672"/>
    <w:rsid w:val="00EF2AC4"/>
    <w:rsid w:val="00EF423E"/>
    <w:rsid w:val="00F034AE"/>
    <w:rsid w:val="00F037F4"/>
    <w:rsid w:val="00F11124"/>
    <w:rsid w:val="00F20D97"/>
    <w:rsid w:val="00F25E6D"/>
    <w:rsid w:val="00F30EE2"/>
    <w:rsid w:val="00F4061E"/>
    <w:rsid w:val="00F416F8"/>
    <w:rsid w:val="00F42863"/>
    <w:rsid w:val="00F47D7D"/>
    <w:rsid w:val="00F5005A"/>
    <w:rsid w:val="00F508DB"/>
    <w:rsid w:val="00F5797D"/>
    <w:rsid w:val="00F57F9E"/>
    <w:rsid w:val="00F62048"/>
    <w:rsid w:val="00F64967"/>
    <w:rsid w:val="00F679C9"/>
    <w:rsid w:val="00F73823"/>
    <w:rsid w:val="00F73991"/>
    <w:rsid w:val="00F73C41"/>
    <w:rsid w:val="00F7543E"/>
    <w:rsid w:val="00F84843"/>
    <w:rsid w:val="00F86753"/>
    <w:rsid w:val="00F87CFD"/>
    <w:rsid w:val="00F938E3"/>
    <w:rsid w:val="00F94EC1"/>
    <w:rsid w:val="00F966B8"/>
    <w:rsid w:val="00F97310"/>
    <w:rsid w:val="00FB27B7"/>
    <w:rsid w:val="00FB64D0"/>
    <w:rsid w:val="00FB7F62"/>
    <w:rsid w:val="00FC0207"/>
    <w:rsid w:val="00FC419C"/>
    <w:rsid w:val="00FC7BC4"/>
    <w:rsid w:val="00FD0CA7"/>
    <w:rsid w:val="00FD1A22"/>
    <w:rsid w:val="00FE27BB"/>
    <w:rsid w:val="00FE370D"/>
    <w:rsid w:val="00FE58EC"/>
    <w:rsid w:val="00FF13E1"/>
    <w:rsid w:val="00FF185E"/>
    <w:rsid w:val="00FF1DED"/>
    <w:rsid w:val="00FF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5CB5"/>
  <w15:chartTrackingRefBased/>
  <w15:docId w15:val="{8E701CFA-A65A-43BE-BD3D-B933BD2D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18D"/>
    <w:rPr>
      <w:color w:val="0000FF"/>
      <w:u w:val="single"/>
    </w:rPr>
  </w:style>
  <w:style w:type="table" w:styleId="TableGrid">
    <w:name w:val="Table Grid"/>
    <w:basedOn w:val="TableNormal"/>
    <w:uiPriority w:val="39"/>
    <w:rsid w:val="007B7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D7211B"/>
    <w:rPr>
      <w:color w:val="605E5C"/>
      <w:shd w:val="clear" w:color="auto" w:fill="E1DFDD"/>
    </w:rPr>
  </w:style>
  <w:style w:type="character" w:styleId="FootnoteReference">
    <w:name w:val="footnote reference"/>
    <w:basedOn w:val="DefaultParagraphFont"/>
    <w:uiPriority w:val="99"/>
    <w:semiHidden/>
    <w:unhideWhenUsed/>
    <w:rsid w:val="002206AF"/>
    <w:rPr>
      <w:vertAlign w:val="superscript"/>
    </w:rPr>
  </w:style>
  <w:style w:type="paragraph" w:styleId="ListParagraph">
    <w:name w:val="List Paragraph"/>
    <w:basedOn w:val="Normal"/>
    <w:uiPriority w:val="34"/>
    <w:qFormat/>
    <w:rsid w:val="003E4AE8"/>
    <w:pPr>
      <w:ind w:left="720"/>
      <w:contextualSpacing/>
    </w:pPr>
  </w:style>
  <w:style w:type="paragraph" w:styleId="NoSpacing">
    <w:name w:val="No Spacing"/>
    <w:uiPriority w:val="1"/>
    <w:qFormat/>
    <w:rsid w:val="009251BA"/>
    <w:pPr>
      <w:spacing w:after="0" w:line="240" w:lineRule="auto"/>
    </w:pPr>
  </w:style>
  <w:style w:type="paragraph" w:styleId="BalloonText">
    <w:name w:val="Balloon Text"/>
    <w:basedOn w:val="Normal"/>
    <w:link w:val="BalloonTextChar"/>
    <w:uiPriority w:val="99"/>
    <w:semiHidden/>
    <w:unhideWhenUsed/>
    <w:rsid w:val="006E5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A58"/>
    <w:rPr>
      <w:rFonts w:ascii="Segoe UI" w:hAnsi="Segoe UI" w:cs="Segoe UI"/>
      <w:sz w:val="18"/>
      <w:szCs w:val="18"/>
    </w:rPr>
  </w:style>
  <w:style w:type="character" w:customStyle="1" w:styleId="html-italic">
    <w:name w:val="html-italic"/>
    <w:basedOn w:val="DefaultParagraphFont"/>
    <w:rsid w:val="00331CE5"/>
  </w:style>
  <w:style w:type="character" w:styleId="CommentReference">
    <w:name w:val="annotation reference"/>
    <w:basedOn w:val="DefaultParagraphFont"/>
    <w:uiPriority w:val="99"/>
    <w:semiHidden/>
    <w:unhideWhenUsed/>
    <w:rsid w:val="0071133D"/>
    <w:rPr>
      <w:sz w:val="16"/>
      <w:szCs w:val="16"/>
    </w:rPr>
  </w:style>
  <w:style w:type="paragraph" w:styleId="CommentText">
    <w:name w:val="annotation text"/>
    <w:basedOn w:val="Normal"/>
    <w:link w:val="CommentTextChar"/>
    <w:uiPriority w:val="99"/>
    <w:semiHidden/>
    <w:unhideWhenUsed/>
    <w:rsid w:val="0071133D"/>
    <w:pPr>
      <w:spacing w:line="240" w:lineRule="auto"/>
    </w:pPr>
    <w:rPr>
      <w:sz w:val="20"/>
      <w:szCs w:val="20"/>
    </w:rPr>
  </w:style>
  <w:style w:type="character" w:customStyle="1" w:styleId="CommentTextChar">
    <w:name w:val="Comment Text Char"/>
    <w:basedOn w:val="DefaultParagraphFont"/>
    <w:link w:val="CommentText"/>
    <w:uiPriority w:val="99"/>
    <w:semiHidden/>
    <w:rsid w:val="0071133D"/>
    <w:rPr>
      <w:sz w:val="20"/>
      <w:szCs w:val="20"/>
    </w:rPr>
  </w:style>
  <w:style w:type="paragraph" w:styleId="CommentSubject">
    <w:name w:val="annotation subject"/>
    <w:basedOn w:val="CommentText"/>
    <w:next w:val="CommentText"/>
    <w:link w:val="CommentSubjectChar"/>
    <w:uiPriority w:val="99"/>
    <w:semiHidden/>
    <w:unhideWhenUsed/>
    <w:rsid w:val="0071133D"/>
    <w:rPr>
      <w:b/>
      <w:bCs/>
    </w:rPr>
  </w:style>
  <w:style w:type="character" w:customStyle="1" w:styleId="CommentSubjectChar">
    <w:name w:val="Comment Subject Char"/>
    <w:basedOn w:val="CommentTextChar"/>
    <w:link w:val="CommentSubject"/>
    <w:uiPriority w:val="99"/>
    <w:semiHidden/>
    <w:rsid w:val="0071133D"/>
    <w:rPr>
      <w:b/>
      <w:bCs/>
      <w:sz w:val="20"/>
      <w:szCs w:val="20"/>
    </w:rPr>
  </w:style>
  <w:style w:type="paragraph" w:styleId="Revision">
    <w:name w:val="Revision"/>
    <w:hidden/>
    <w:uiPriority w:val="99"/>
    <w:semiHidden/>
    <w:rsid w:val="0071133D"/>
    <w:pPr>
      <w:spacing w:after="0" w:line="240" w:lineRule="auto"/>
    </w:pPr>
  </w:style>
  <w:style w:type="paragraph" w:styleId="Header">
    <w:name w:val="header"/>
    <w:basedOn w:val="Normal"/>
    <w:link w:val="HeaderChar"/>
    <w:uiPriority w:val="99"/>
    <w:unhideWhenUsed/>
    <w:rsid w:val="00F42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863"/>
  </w:style>
  <w:style w:type="paragraph" w:styleId="Footer">
    <w:name w:val="footer"/>
    <w:basedOn w:val="Normal"/>
    <w:link w:val="FooterChar"/>
    <w:uiPriority w:val="99"/>
    <w:unhideWhenUsed/>
    <w:rsid w:val="00F42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39382">
      <w:bodyDiv w:val="1"/>
      <w:marLeft w:val="0"/>
      <w:marRight w:val="0"/>
      <w:marTop w:val="0"/>
      <w:marBottom w:val="0"/>
      <w:divBdr>
        <w:top w:val="none" w:sz="0" w:space="0" w:color="auto"/>
        <w:left w:val="none" w:sz="0" w:space="0" w:color="auto"/>
        <w:bottom w:val="none" w:sz="0" w:space="0" w:color="auto"/>
        <w:right w:val="none" w:sz="0" w:space="0" w:color="auto"/>
      </w:divBdr>
    </w:div>
    <w:div w:id="927155342">
      <w:bodyDiv w:val="1"/>
      <w:marLeft w:val="0"/>
      <w:marRight w:val="0"/>
      <w:marTop w:val="0"/>
      <w:marBottom w:val="0"/>
      <w:divBdr>
        <w:top w:val="none" w:sz="0" w:space="0" w:color="auto"/>
        <w:left w:val="none" w:sz="0" w:space="0" w:color="auto"/>
        <w:bottom w:val="none" w:sz="0" w:space="0" w:color="auto"/>
        <w:right w:val="none" w:sz="0" w:space="0" w:color="auto"/>
      </w:divBdr>
    </w:div>
    <w:div w:id="1504399185">
      <w:bodyDiv w:val="1"/>
      <w:marLeft w:val="0"/>
      <w:marRight w:val="0"/>
      <w:marTop w:val="0"/>
      <w:marBottom w:val="0"/>
      <w:divBdr>
        <w:top w:val="none" w:sz="0" w:space="0" w:color="auto"/>
        <w:left w:val="none" w:sz="0" w:space="0" w:color="auto"/>
        <w:bottom w:val="none" w:sz="0" w:space="0" w:color="auto"/>
        <w:right w:val="none" w:sz="0" w:space="0" w:color="auto"/>
      </w:divBdr>
    </w:div>
    <w:div w:id="199414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9D24545B-AA01-4C97-A2DA-B2F1E3EA6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15</Pages>
  <Words>28623</Words>
  <Characters>163153</Characters>
  <Application>Microsoft Office Word</Application>
  <DocSecurity>0</DocSecurity>
  <Lines>1359</Lines>
  <Paragraphs>382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Klompmaker, Jochem O</dc:creator>
  <cp:keywords/>
  <dc:description/>
  <cp:lastModifiedBy>Jochem O. Klompmaker</cp:lastModifiedBy>
  <cp:revision>5</cp:revision>
  <cp:lastPrinted>2022-01-25T22:40:00Z</cp:lastPrinted>
  <dcterms:created xsi:type="dcterms:W3CDTF">2022-03-28T21:23:00Z</dcterms:created>
  <dcterms:modified xsi:type="dcterms:W3CDTF">2022-03-30T18:48:00Z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e8e32c52-ae03-3947-9647-5aaec0a7d29d</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http://www.zotero.org/styles/bmj</vt:lpwstr>
  </property>
  <property fmtid="{D5CDD505-2E9C-101B-9397-08002B2CF9AE}" pid="12" name="Mendeley Recent Style Name 3_1">
    <vt:lpwstr>BMJ</vt:lpwstr>
  </property>
  <property fmtid="{D5CDD505-2E9C-101B-9397-08002B2CF9AE}" pid="13" name="Mendeley Recent Style Id 4_1">
    <vt:lpwstr>http://www.zotero.org/styles/circulation</vt:lpwstr>
  </property>
  <property fmtid="{D5CDD505-2E9C-101B-9397-08002B2CF9AE}" pid="14" name="Mendeley Recent Style Name 4_1">
    <vt:lpwstr>Circulation</vt:lpwstr>
  </property>
  <property fmtid="{D5CDD505-2E9C-101B-9397-08002B2CF9AE}" pid="15" name="Mendeley Recent Style Id 5_1">
    <vt:lpwstr>http://www.zotero.org/styles/environmental-health-perspectives</vt:lpwstr>
  </property>
  <property fmtid="{D5CDD505-2E9C-101B-9397-08002B2CF9AE}" pid="16" name="Mendeley Recent Style Name 5_1">
    <vt:lpwstr>Environmental Health Perspectives</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