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A1F0331"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increase cardiovascular and respiratory hospitalizations among US older </w:t>
      </w:r>
      <w:commentRangeStart w:id="0"/>
      <w:r w:rsidRPr="006552FF">
        <w:rPr>
          <w:rFonts w:ascii="Arial" w:hAnsi="Arial" w:cs="Arial"/>
          <w:b/>
          <w:sz w:val="28"/>
          <w:szCs w:val="28"/>
        </w:rPr>
        <w:t>adults</w:t>
      </w:r>
      <w:commentRangeEnd w:id="0"/>
      <w:r>
        <w:rPr>
          <w:rStyle w:val="CommentReference"/>
          <w:rFonts w:ascii="Times New Roman" w:eastAsia="Times New Roman" w:hAnsi="Times New Roman" w:cs="Times New Roman"/>
        </w:rPr>
        <w:commentReference w:id="0"/>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5"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2A2B99D8" w:rsidR="00E6133D" w:rsidRPr="00E6133D" w:rsidRDefault="00E6133D" w:rsidP="00E6133D">
      <w:pPr>
        <w:rPr>
          <w:rFonts w:ascii="Arial" w:hAnsi="Arial" w:cs="Arial"/>
          <w:sz w:val="20"/>
          <w:szCs w:val="20"/>
        </w:rPr>
      </w:pPr>
      <w:commentRangeStart w:id="1"/>
      <w:r w:rsidRPr="00E6133D">
        <w:rPr>
          <w:rFonts w:ascii="Arial" w:hAnsi="Arial" w:cs="Arial"/>
          <w:b/>
          <w:sz w:val="20"/>
          <w:szCs w:val="20"/>
        </w:rPr>
        <w:t>Classification</w:t>
      </w:r>
      <w:commentRangeEnd w:id="1"/>
      <w:r w:rsidR="00F3493B">
        <w:rPr>
          <w:rStyle w:val="CommentReference"/>
          <w:rFonts w:ascii="Times New Roman" w:eastAsia="Times New Roman" w:hAnsi="Times New Roman" w:cs="Times New Roman"/>
        </w:rPr>
        <w:commentReference w:id="1"/>
      </w:r>
      <w:r w:rsidR="00623869">
        <w:rPr>
          <w:rFonts w:ascii="Arial" w:hAnsi="Arial" w:cs="Arial"/>
          <w:b/>
          <w:sz w:val="20"/>
          <w:szCs w:val="20"/>
        </w:rPr>
        <w:t xml:space="preserve">: </w:t>
      </w:r>
    </w:p>
    <w:p w14:paraId="18812061" w14:textId="35E97F0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hospitalization, epidemiology, </w:t>
      </w:r>
      <w:commentRangeStart w:id="2"/>
      <w:r w:rsidR="00CA4103">
        <w:rPr>
          <w:rFonts w:ascii="Arial" w:hAnsi="Arial" w:cs="Arial"/>
          <w:sz w:val="20"/>
          <w:szCs w:val="20"/>
        </w:rPr>
        <w:t>climate</w:t>
      </w:r>
      <w:commentRangeEnd w:id="2"/>
      <w:r w:rsidR="00637DFE">
        <w:rPr>
          <w:rStyle w:val="CommentReference"/>
          <w:rFonts w:ascii="Times New Roman" w:eastAsia="Times New Roman" w:hAnsi="Times New Roman" w:cs="Times New Roman"/>
        </w:rPr>
        <w:commentReference w:id="2"/>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040DFC20" w14:textId="77777777" w:rsidR="00F53CEC" w:rsidRDefault="00F53CEC" w:rsidP="00E6133D">
      <w:pPr>
        <w:keepNext/>
        <w:pBdr>
          <w:top w:val="nil"/>
          <w:left w:val="nil"/>
          <w:bottom w:val="nil"/>
          <w:right w:val="nil"/>
          <w:between w:val="nil"/>
        </w:pBdr>
        <w:spacing w:before="240" w:after="60"/>
        <w:rPr>
          <w:rFonts w:ascii="Arial" w:hAnsi="Arial" w:cs="Arial"/>
          <w:b/>
          <w:color w:val="000000"/>
          <w:sz w:val="20"/>
          <w:szCs w:val="20"/>
        </w:rPr>
      </w:pPr>
      <w:bookmarkStart w:id="3" w:name="30j0zll" w:colFirst="0" w:colLast="0"/>
      <w:bookmarkStart w:id="4" w:name="1fob9te" w:colFirst="0" w:colLast="0"/>
      <w:bookmarkEnd w:id="3"/>
      <w:bookmarkEnd w:id="4"/>
    </w:p>
    <w:p w14:paraId="5AD4CE78" w14:textId="77777777" w:rsidR="003D5274" w:rsidRDefault="003D5274" w:rsidP="00E6133D">
      <w:pPr>
        <w:keepNext/>
        <w:pBdr>
          <w:top w:val="nil"/>
          <w:left w:val="nil"/>
          <w:bottom w:val="nil"/>
          <w:right w:val="nil"/>
          <w:between w:val="nil"/>
        </w:pBdr>
        <w:spacing w:before="240" w:after="60"/>
        <w:rPr>
          <w:rFonts w:ascii="Arial" w:hAnsi="Arial" w:cs="Arial"/>
          <w:b/>
          <w:color w:val="000000"/>
          <w:sz w:val="20"/>
          <w:szCs w:val="20"/>
        </w:rPr>
      </w:pPr>
    </w:p>
    <w:p w14:paraId="4AB6ACD6" w14:textId="77777777" w:rsidR="00F25795" w:rsidRDefault="00F25795"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commentRangeStart w:id="5"/>
      <w:commentRangeStart w:id="6"/>
      <w:commentRangeStart w:id="7"/>
      <w:commentRangeStart w:id="8"/>
      <w:commentRangeStart w:id="9"/>
      <w:commentRangeStart w:id="10"/>
      <w:r w:rsidRPr="00F25795">
        <w:rPr>
          <w:rFonts w:ascii="Arial" w:hAnsi="Arial" w:cs="Arial"/>
          <w:b/>
          <w:bCs/>
          <w:sz w:val="20"/>
          <w:szCs w:val="20"/>
        </w:rPr>
        <w:lastRenderedPageBreak/>
        <w:t xml:space="preserve">Abstract </w:t>
      </w:r>
      <w:commentRangeEnd w:id="5"/>
      <w:r w:rsidRPr="00F25795">
        <w:rPr>
          <w:rStyle w:val="CommentReference"/>
          <w:sz w:val="20"/>
          <w:szCs w:val="20"/>
        </w:rPr>
        <w:commentReference w:id="5"/>
      </w:r>
      <w:commentRangeEnd w:id="6"/>
      <w:r w:rsidRPr="00F25795">
        <w:rPr>
          <w:rStyle w:val="CommentReference"/>
          <w:sz w:val="20"/>
          <w:szCs w:val="20"/>
        </w:rPr>
        <w:commentReference w:id="6"/>
      </w:r>
      <w:commentRangeEnd w:id="7"/>
      <w:r w:rsidRPr="00F25795">
        <w:rPr>
          <w:rStyle w:val="CommentReference"/>
          <w:sz w:val="20"/>
          <w:szCs w:val="20"/>
        </w:rPr>
        <w:commentReference w:id="7"/>
      </w:r>
      <w:commentRangeEnd w:id="8"/>
      <w:r w:rsidRPr="00F25795">
        <w:rPr>
          <w:rStyle w:val="CommentReference"/>
          <w:sz w:val="20"/>
          <w:szCs w:val="20"/>
        </w:rPr>
        <w:commentReference w:id="8"/>
      </w:r>
      <w:commentRangeEnd w:id="9"/>
      <w:r w:rsidRPr="00F25795">
        <w:rPr>
          <w:rStyle w:val="CommentReference"/>
          <w:sz w:val="20"/>
          <w:szCs w:val="20"/>
        </w:rPr>
        <w:commentReference w:id="9"/>
      </w:r>
      <w:commentRangeEnd w:id="10"/>
      <w:r w:rsidR="00F55DE4">
        <w:rPr>
          <w:rStyle w:val="CommentReference"/>
          <w:rFonts w:ascii="Times New Roman" w:eastAsia="Times New Roman" w:hAnsi="Times New Roman" w:cs="Times New Roman"/>
        </w:rPr>
        <w:commentReference w:id="10"/>
      </w:r>
      <w:r w:rsidRPr="00F25795">
        <w:rPr>
          <w:rFonts w:ascii="Arial" w:hAnsi="Arial" w:cs="Arial"/>
          <w:b/>
          <w:bCs/>
          <w:sz w:val="20"/>
          <w:szCs w:val="20"/>
        </w:rPr>
        <w:t>(max 250 words)</w:t>
      </w:r>
      <w:r w:rsidR="006A4679">
        <w:rPr>
          <w:rFonts w:ascii="Arial" w:hAnsi="Arial" w:cs="Arial"/>
          <w:b/>
          <w:bCs/>
          <w:sz w:val="20"/>
          <w:szCs w:val="20"/>
        </w:rPr>
        <w:t>:</w:t>
      </w:r>
    </w:p>
    <w:p w14:paraId="6D047C2F" w14:textId="370DAA02"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xml:space="preserve">: In the United States, already 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04A803F2"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We developed a national dataset of power outage exposure and identified county-days where </w:t>
      </w:r>
      <w:r w:rsidRPr="00F25795">
        <w:rPr>
          <w:rFonts w:ascii="Arial" w:eastAsia="Garamond" w:hAnsi="Arial" w:cs="Arial"/>
          <w:sz w:val="20"/>
          <w:szCs w:val="20"/>
        </w:rPr>
        <w:t>≥</w:t>
      </w:r>
      <w:r w:rsidRPr="00F25795">
        <w:rPr>
          <w:rFonts w:ascii="Arial" w:hAnsi="Arial" w:cs="Arial"/>
          <w:sz w:val="20"/>
          <w:szCs w:val="20"/>
        </w:rPr>
        <w:t xml:space="preserve">1% of customers were exposed to 8+ hour power outages in 2018. 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3CABFBF5"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increased both emergency CVD and respiratory hospitalizations. Effects of outage on CVD hospitalizations were largest the day after power outage exposure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Pr="00F25795">
        <w:rPr>
          <w:rFonts w:ascii="Arial" w:hAnsi="Arial" w:cs="Arial"/>
          <w:sz w:val="20"/>
          <w:szCs w:val="20"/>
        </w:rPr>
        <w:t xml:space="preserve">. Effects of outage on respiratory hospitalizations were largest the day of outage exposure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77777777"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may </w:t>
      </w:r>
      <w:commentRangeStart w:id="11"/>
      <w:r w:rsidRPr="00F25795">
        <w:rPr>
          <w:rFonts w:ascii="Arial" w:hAnsi="Arial" w:cs="Arial"/>
          <w:sz w:val="20"/>
          <w:szCs w:val="20"/>
        </w:rPr>
        <w:t>cause</w:t>
      </w:r>
      <w:commentRangeEnd w:id="11"/>
      <w:r w:rsidRPr="00F25795">
        <w:rPr>
          <w:rStyle w:val="CommentReference"/>
          <w:sz w:val="20"/>
          <w:szCs w:val="20"/>
        </w:rPr>
        <w:commentReference w:id="11"/>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487A1777"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 next-day hospitalizations for cardiovascular disease, and increased same-day hospitalizations for respiratory disease</w:t>
      </w:r>
      <w:r w:rsidR="00A55237" w:rsidRPr="00F25795">
        <w:rPr>
          <w:rFonts w:ascii="Arial" w:hAnsi="Arial" w:cs="Arial"/>
          <w:sz w:val="20"/>
          <w:szCs w:val="20"/>
        </w:rPr>
        <w:t xml:space="preserve"> among older adults</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68E0464A"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is increasing </w:t>
      </w:r>
      <w:r w:rsidRPr="002A2B23">
        <w:rPr>
          <w:rFonts w:ascii="Arial" w:eastAsia="Times New Roman" w:hAnsi="Arial" w:cs="Arial"/>
          <w:sz w:val="20"/>
          <w:szCs w:val="20"/>
        </w:rPr>
        <w:fldChar w:fldCharType="begin"/>
      </w:r>
      <w:r w:rsidR="00E80AD6">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E80AD6">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E80AD6">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Additionally, extreme heat and cold events will continue to increase electricity use, outstripping supply and causing outages </w:t>
      </w:r>
      <w:r w:rsidRPr="002A2B23">
        <w:rPr>
          <w:rFonts w:ascii="Arial" w:eastAsia="Times New Roman" w:hAnsi="Arial" w:cs="Arial"/>
          <w:sz w:val="20"/>
          <w:szCs w:val="20"/>
        </w:rPr>
        <w:fldChar w:fldCharType="begin"/>
      </w:r>
      <w:r w:rsidR="00256155">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53E6F3C5"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Older adults are more likely to suffer health consequences from heat and cold exposure due to aging-related thermoregulation changes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(10–12)</w:t>
      </w:r>
      <w:r w:rsidRPr="002A2B23">
        <w:rPr>
          <w:rFonts w:ascii="Arial" w:hAnsi="Arial" w:cs="Arial"/>
          <w:sz w:val="20"/>
          <w:szCs w:val="20"/>
        </w:rPr>
        <w:fldChar w:fldCharType="end"/>
      </w:r>
      <w:r w:rsidRPr="002A2B23">
        <w:rPr>
          <w:rFonts w:ascii="Arial" w:hAnsi="Arial" w:cs="Arial"/>
          <w:sz w:val="20"/>
          <w:szCs w:val="20"/>
        </w:rPr>
        <w:t xml:space="preserve"> and due to preexisting CVD or respiratory disease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(13, 14)</w:t>
      </w:r>
      <w:r w:rsidRPr="002A2B23">
        <w:rPr>
          <w:rFonts w:ascii="Arial" w:hAnsi="Arial" w:cs="Arial"/>
          <w:sz w:val="20"/>
          <w:szCs w:val="20"/>
        </w:rPr>
        <w:fldChar w:fldCharType="end"/>
      </w:r>
      <w:r w:rsidRPr="002A2B23">
        <w:rPr>
          <w:rFonts w:ascii="Arial" w:hAnsi="Arial" w:cs="Arial"/>
          <w:sz w:val="20"/>
          <w:szCs w:val="20"/>
        </w:rPr>
        <w:t xml:space="preserve">. Greater than 70% of older adults live with CVD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(15)</w:t>
      </w:r>
      <w:r w:rsidRPr="002A2B23">
        <w:rPr>
          <w:rFonts w:ascii="Arial" w:hAnsi="Arial" w:cs="Arial"/>
          <w:sz w:val="20"/>
          <w:szCs w:val="20"/>
        </w:rPr>
        <w:fldChar w:fldCharType="end"/>
      </w:r>
      <w:r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(3)</w:t>
      </w:r>
      <w:r w:rsidRPr="002A2B23">
        <w:rPr>
          <w:rFonts w:ascii="Arial" w:hAnsi="Arial" w:cs="Arial"/>
          <w:sz w:val="20"/>
          <w:szCs w:val="20"/>
        </w:rPr>
        <w:fldChar w:fldCharType="end"/>
      </w:r>
      <w:r w:rsidRPr="002A2B23">
        <w:rPr>
          <w:rFonts w:ascii="Arial" w:hAnsi="Arial" w:cs="Arial"/>
          <w:sz w:val="20"/>
          <w:szCs w:val="20"/>
        </w:rPr>
        <w:t xml:space="preserve">. For these individuals, loss of electricity can be directly life-threatening. Finally, prolonged loss of electricity to refrigerators, elevators, wheelchairs, and water disruptions can result in stress, isolation, dehydration, or injury.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reduce their opportunities to seek electricity, air conditioning, heat, or water to mitigate outage impacts, putting them at higher risk for outage-related cardiovascular and respiratory illness. </w:t>
      </w:r>
    </w:p>
    <w:p w14:paraId="373DCEDA" w14:textId="4042AA60"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 xml:space="preserve">may be stronger among older adults and when outdoor temperatures are extreme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Population-level datasets of power outage exposure beyond New York State have only become available since 2020, limiting</w:t>
      </w:r>
      <w:r w:rsidR="00822819">
        <w:rPr>
          <w:rFonts w:ascii="Arial" w:hAnsi="Arial" w:cs="Arial"/>
          <w:sz w:val="20"/>
          <w:szCs w:val="20"/>
        </w:rPr>
        <w:t xml:space="preserve"> prior</w:t>
      </w:r>
      <w:r w:rsidRPr="002A2B23">
        <w:rPr>
          <w:rFonts w:ascii="Arial" w:hAnsi="Arial" w:cs="Arial"/>
          <w:sz w:val="20"/>
          <w:szCs w:val="20"/>
        </w:rPr>
        <w:t xml:space="preserve"> national-scale studies of power outage and health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(3, 5, 23)</w:t>
      </w:r>
      <w:r w:rsidRPr="002A2B23">
        <w:rPr>
          <w:rFonts w:ascii="Arial" w:hAnsi="Arial" w:cs="Arial"/>
          <w:sz w:val="20"/>
          <w:szCs w:val="20"/>
        </w:rPr>
        <w:fldChar w:fldCharType="end"/>
      </w:r>
      <w:r w:rsidRPr="002A2B23">
        <w:rPr>
          <w:rFonts w:ascii="Arial" w:hAnsi="Arial" w:cs="Arial"/>
          <w:sz w:val="20"/>
          <w:szCs w:val="20"/>
        </w:rPr>
        <w:t xml:space="preserve">. </w:t>
      </w:r>
    </w:p>
    <w:p w14:paraId="63EC0DA7" w14:textId="190499AB"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poverty,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00AFE234" w14:textId="3D399706" w:rsidR="00CA6AD1"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Our analysis included 2,161 counties, covering 71.1% of 2018 older adult Medicare Fee-For-Service beneficiaries age 65</w:t>
      </w:r>
      <w:r w:rsidRPr="0003119E">
        <w:rPr>
          <w:rFonts w:ascii="Arial" w:hAnsi="Arial" w:cs="Arial"/>
          <w:sz w:val="20"/>
          <w:szCs w:val="20"/>
        </w:rPr>
        <w:t>+ (</w:t>
      </w:r>
      <w:r w:rsidRPr="0003119E">
        <w:rPr>
          <w:rFonts w:ascii="Arial" w:hAnsi="Arial" w:cs="Arial"/>
          <w:sz w:val="20"/>
          <w:szCs w:val="20"/>
          <w:highlight w:val="yellow"/>
        </w:rPr>
        <w:t xml:space="preserve">N = </w:t>
      </w:r>
      <w:r w:rsidR="00624C8B" w:rsidRPr="0003119E">
        <w:rPr>
          <w:rFonts w:ascii="Arial" w:hAnsi="Arial" w:cs="Arial"/>
          <w:sz w:val="20"/>
          <w:szCs w:val="20"/>
          <w:highlight w:val="yellow"/>
        </w:rPr>
        <w:t>23,645,101</w:t>
      </w:r>
      <w:r w:rsidRPr="0003119E">
        <w:rPr>
          <w:rFonts w:ascii="Arial" w:hAnsi="Arial" w:cs="Arial"/>
          <w:sz w:val="20"/>
          <w:szCs w:val="20"/>
        </w:rPr>
        <w:t>).</w:t>
      </w:r>
      <w:r w:rsidRPr="002A2B23">
        <w:rPr>
          <w:rFonts w:ascii="Arial" w:hAnsi="Arial" w:cs="Arial"/>
          <w:sz w:val="20"/>
          <w:szCs w:val="20"/>
        </w:rPr>
        <w:t xml:space="preserve"> These counties experienced an average </w:t>
      </w:r>
      <w:r w:rsidRPr="0003119E">
        <w:rPr>
          <w:rFonts w:ascii="Arial" w:hAnsi="Arial" w:cs="Arial"/>
          <w:sz w:val="20"/>
          <w:szCs w:val="20"/>
        </w:rPr>
        <w:t>of 7 (SD=2</w:t>
      </w:r>
      <w:r w:rsidR="001E104C" w:rsidRPr="0003119E">
        <w:rPr>
          <w:rFonts w:ascii="Arial" w:hAnsi="Arial" w:cs="Arial"/>
          <w:sz w:val="20"/>
          <w:szCs w:val="20"/>
        </w:rPr>
        <w:t>9</w:t>
      </w:r>
      <w:r w:rsidRPr="0003119E">
        <w:rPr>
          <w:rFonts w:ascii="Arial" w:hAnsi="Arial" w:cs="Arial"/>
          <w:sz w:val="20"/>
          <w:szCs w:val="20"/>
        </w:rPr>
        <w:t xml:space="preserve">) 8+ hour power outages affecting </w:t>
      </w:r>
      <w:r w:rsidRPr="0003119E">
        <w:rPr>
          <w:rFonts w:ascii="Arial" w:eastAsia="Garamond" w:hAnsi="Arial" w:cs="Arial"/>
          <w:sz w:val="20"/>
          <w:szCs w:val="20"/>
        </w:rPr>
        <w:t>≥</w:t>
      </w:r>
      <w:r w:rsidRPr="0003119E">
        <w:rPr>
          <w:rFonts w:ascii="Arial" w:hAnsi="Arial" w:cs="Arial"/>
          <w:sz w:val="20"/>
          <w:szCs w:val="20"/>
        </w:rPr>
        <w:t>1% of customers in 2018 (</w:t>
      </w:r>
      <w:r w:rsidRPr="0003119E">
        <w:rPr>
          <w:rFonts w:ascii="Arial" w:hAnsi="Arial" w:cs="Arial"/>
          <w:b/>
          <w:bCs/>
          <w:sz w:val="20"/>
          <w:szCs w:val="20"/>
        </w:rPr>
        <w:t>Figure 1</w:t>
      </w:r>
      <w:r w:rsidRPr="0003119E">
        <w:rPr>
          <w:rFonts w:ascii="Arial" w:hAnsi="Arial" w:cs="Arial"/>
          <w:sz w:val="20"/>
          <w:szCs w:val="20"/>
        </w:rPr>
        <w:t>). The number of</w:t>
      </w:r>
      <w:r w:rsidRPr="002A2B23">
        <w:rPr>
          <w:rFonts w:ascii="Arial" w:hAnsi="Arial" w:cs="Arial"/>
          <w:sz w:val="20"/>
          <w:szCs w:val="20"/>
        </w:rPr>
        <w:t xml:space="preserve"> beneficiaries per county ranged from </w:t>
      </w:r>
      <w:r w:rsidR="0003119E" w:rsidRPr="004B433E">
        <w:rPr>
          <w:rFonts w:ascii="Arial" w:hAnsi="Arial" w:cs="Arial"/>
          <w:sz w:val="20"/>
          <w:szCs w:val="20"/>
        </w:rPr>
        <w:t>8</w:t>
      </w:r>
      <w:r w:rsidRPr="004B433E">
        <w:rPr>
          <w:rFonts w:ascii="Arial" w:hAnsi="Arial" w:cs="Arial"/>
          <w:sz w:val="20"/>
          <w:szCs w:val="20"/>
        </w:rPr>
        <w:t xml:space="preserve"> to 252,004</w:t>
      </w:r>
      <w:r w:rsidRPr="002A2B23">
        <w:rPr>
          <w:rFonts w:ascii="Arial" w:hAnsi="Arial" w:cs="Arial"/>
          <w:sz w:val="20"/>
          <w:szCs w:val="20"/>
        </w:rPr>
        <w:t xml:space="preserve">. Outages affecting </w:t>
      </w:r>
      <w:r w:rsidRPr="002A2B23">
        <w:rPr>
          <w:rFonts w:ascii="Arial" w:eastAsia="Garamond" w:hAnsi="Arial" w:cs="Arial"/>
          <w:sz w:val="20"/>
          <w:szCs w:val="20"/>
        </w:rPr>
        <w:t>≥1% of county customers affected on average</w:t>
      </w:r>
      <w:r w:rsidRPr="002A2B23">
        <w:rPr>
          <w:rFonts w:ascii="Arial" w:hAnsi="Arial" w:cs="Arial"/>
          <w:sz w:val="20"/>
          <w:szCs w:val="20"/>
        </w:rPr>
        <w:t xml:space="preserve"> </w:t>
      </w:r>
      <w:r w:rsidRPr="00526BAC">
        <w:rPr>
          <w:rFonts w:ascii="Arial" w:eastAsia="Garamond" w:hAnsi="Arial" w:cs="Arial"/>
          <w:sz w:val="20"/>
          <w:szCs w:val="20"/>
        </w:rPr>
        <w:t>≥</w:t>
      </w:r>
      <w:r w:rsidRPr="00526BAC">
        <w:rPr>
          <w:rFonts w:ascii="Arial" w:hAnsi="Arial" w:cs="Arial"/>
          <w:sz w:val="20"/>
          <w:szCs w:val="20"/>
        </w:rPr>
        <w:t>10</w:t>
      </w:r>
      <w:r w:rsidR="004B433E" w:rsidRPr="00526BAC">
        <w:rPr>
          <w:rFonts w:ascii="Arial" w:hAnsi="Arial" w:cs="Arial"/>
          <w:sz w:val="20"/>
          <w:szCs w:val="20"/>
        </w:rPr>
        <w:t>6</w:t>
      </w:r>
      <w:r w:rsidRPr="002A2B23">
        <w:rPr>
          <w:rFonts w:ascii="Arial" w:hAnsi="Arial" w:cs="Arial"/>
          <w:sz w:val="20"/>
          <w:szCs w:val="20"/>
        </w:rPr>
        <w:t xml:space="preserve"> Medicare Fee-For-Service beneficiaries. Just over two percent of county-days were exposed to a power </w:t>
      </w:r>
      <w:r w:rsidRPr="00B34160">
        <w:rPr>
          <w:rFonts w:ascii="Arial" w:hAnsi="Arial" w:cs="Arial"/>
          <w:sz w:val="20"/>
          <w:szCs w:val="20"/>
        </w:rPr>
        <w:t>outage (n=</w:t>
      </w:r>
      <w:r w:rsidR="00526BAC" w:rsidRPr="00B34160">
        <w:rPr>
          <w:rFonts w:ascii="Arial" w:hAnsi="Arial" w:cs="Arial"/>
          <w:sz w:val="20"/>
          <w:szCs w:val="20"/>
        </w:rPr>
        <w:t>17,148</w:t>
      </w:r>
      <w:r w:rsidRPr="00B34160">
        <w:rPr>
          <w:rFonts w:ascii="Arial" w:hAnsi="Arial" w:cs="Arial"/>
          <w:sz w:val="20"/>
          <w:szCs w:val="20"/>
        </w:rPr>
        <w:t xml:space="preserve"> county-days) (</w:t>
      </w:r>
      <w:r w:rsidRPr="00B34160">
        <w:rPr>
          <w:rFonts w:ascii="Arial" w:hAnsi="Arial" w:cs="Arial"/>
          <w:b/>
          <w:bCs/>
          <w:sz w:val="20"/>
          <w:szCs w:val="20"/>
        </w:rPr>
        <w:t>Table</w:t>
      </w:r>
      <w:r w:rsidRPr="002A2B23">
        <w:rPr>
          <w:rFonts w:ascii="Arial" w:hAnsi="Arial" w:cs="Arial"/>
          <w:b/>
          <w:bCs/>
          <w:sz w:val="20"/>
          <w:szCs w:val="20"/>
        </w:rPr>
        <w:t xml:space="preserve"> 1</w:t>
      </w:r>
      <w:r w:rsidRPr="002A2B23">
        <w:rPr>
          <w:rFonts w:ascii="Arial" w:hAnsi="Arial" w:cs="Arial"/>
          <w:sz w:val="20"/>
          <w:szCs w:val="20"/>
        </w:rPr>
        <w:t>). On average, days with more precipitation had fewer outages, while colder days and windier days had more outages (</w:t>
      </w:r>
      <w:r w:rsidRPr="002A2B23">
        <w:rPr>
          <w:rFonts w:ascii="Arial" w:hAnsi="Arial" w:cs="Arial"/>
          <w:b/>
          <w:bCs/>
          <w:sz w:val="20"/>
          <w:szCs w:val="20"/>
        </w:rPr>
        <w:t>Supplemental Table 1)</w:t>
      </w:r>
      <w:r w:rsidRPr="002A2B23">
        <w:rPr>
          <w:rFonts w:ascii="Arial" w:hAnsi="Arial" w:cs="Arial"/>
          <w:sz w:val="20"/>
          <w:szCs w:val="20"/>
        </w:rPr>
        <w:t>.</w:t>
      </w:r>
    </w:p>
    <w:p w14:paraId="32E144CF" w14:textId="4CA40817" w:rsidR="0099402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On average there were 3.</w:t>
      </w:r>
      <w:r w:rsidR="00F3263A">
        <w:rPr>
          <w:rFonts w:ascii="Arial" w:hAnsi="Arial" w:cs="Arial"/>
          <w:sz w:val="20"/>
          <w:szCs w:val="20"/>
        </w:rPr>
        <w:t>12</w:t>
      </w:r>
      <w:r w:rsidRPr="002A2B23">
        <w:rPr>
          <w:rFonts w:ascii="Arial" w:hAnsi="Arial" w:cs="Arial"/>
          <w:sz w:val="20"/>
          <w:szCs w:val="20"/>
        </w:rPr>
        <w:t xml:space="preserve"> CVD hospitalizations per county-day, and 2.</w:t>
      </w:r>
      <w:r w:rsidR="00F3263A">
        <w:rPr>
          <w:rFonts w:ascii="Arial" w:hAnsi="Arial" w:cs="Arial"/>
          <w:sz w:val="20"/>
          <w:szCs w:val="20"/>
        </w:rPr>
        <w:t>18</w:t>
      </w:r>
      <w:r w:rsidRPr="002A2B23">
        <w:rPr>
          <w:rFonts w:ascii="Arial" w:hAnsi="Arial" w:cs="Arial"/>
          <w:sz w:val="20"/>
          <w:szCs w:val="20"/>
        </w:rPr>
        <w:t xml:space="preserve"> respiratory hospitalizations. </w:t>
      </w:r>
      <w:commentRangeStart w:id="12"/>
      <w:r w:rsidRPr="002A2B23">
        <w:rPr>
          <w:rFonts w:ascii="Arial" w:hAnsi="Arial" w:cs="Arial"/>
          <w:sz w:val="20"/>
          <w:szCs w:val="20"/>
        </w:rPr>
        <w:t xml:space="preserve">Emergency CVD and respiratory hospitalization rates were higher in southeastern states </w:t>
      </w:r>
      <w:commentRangeEnd w:id="12"/>
      <w:r w:rsidR="004F6CD0">
        <w:rPr>
          <w:rStyle w:val="CommentReference"/>
          <w:rFonts w:ascii="Times New Roman" w:eastAsia="Times New Roman" w:hAnsi="Times New Roman" w:cs="Times New Roman"/>
        </w:rPr>
        <w:commentReference w:id="12"/>
      </w:r>
      <w:r w:rsidRPr="002A2B23">
        <w:rPr>
          <w:rFonts w:ascii="Arial" w:hAnsi="Arial" w:cs="Arial"/>
          <w:sz w:val="20"/>
          <w:szCs w:val="20"/>
        </w:rPr>
        <w:t>(</w:t>
      </w:r>
      <w:r w:rsidRPr="002A2B23">
        <w:rPr>
          <w:rFonts w:ascii="Arial" w:hAnsi="Arial" w:cs="Arial"/>
          <w:b/>
          <w:bCs/>
          <w:sz w:val="20"/>
          <w:szCs w:val="20"/>
        </w:rPr>
        <w:t>Figure 1</w:t>
      </w:r>
      <w:r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Pr="002A2B23">
        <w:rPr>
          <w:rStyle w:val="hgkelc"/>
          <w:rFonts w:ascii="Arial" w:hAnsi="Arial" w:cs="Arial"/>
          <w:sz w:val="20"/>
          <w:szCs w:val="20"/>
          <w:lang w:val="en"/>
        </w:rPr>
        <w:t xml:space="preserve"> </w:t>
      </w:r>
      <w:r w:rsidRPr="002A2B23">
        <w:rPr>
          <w:rFonts w:ascii="Arial" w:hAnsi="Arial" w:cs="Arial"/>
          <w:sz w:val="20"/>
          <w:szCs w:val="20"/>
        </w:rPr>
        <w:t xml:space="preserve">The most common causes of </w:t>
      </w:r>
      <w:r w:rsidRPr="002A2B23">
        <w:rPr>
          <w:rFonts w:ascii="Arial" w:hAnsi="Arial" w:cs="Arial"/>
          <w:sz w:val="20"/>
          <w:szCs w:val="20"/>
        </w:rPr>
        <w:lastRenderedPageBreak/>
        <w:t xml:space="preserve">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CVD hospitalizations</w:t>
      </w:r>
    </w:p>
    <w:p w14:paraId="3F322A7C" w14:textId="77777777"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Main analysis</w:t>
      </w:r>
    </w:p>
    <w:p w14:paraId="0203D44D" w14:textId="15634FF3" w:rsidR="00E3564D" w:rsidRDefault="00E3564D" w:rsidP="004D4F27">
      <w:pPr>
        <w:spacing w:after="0" w:line="480" w:lineRule="auto"/>
        <w:rPr>
          <w:rFonts w:ascii="Arial" w:hAnsi="Arial" w:cs="Arial"/>
          <w:sz w:val="20"/>
          <w:szCs w:val="20"/>
        </w:rPr>
      </w:pPr>
    </w:p>
    <w:p w14:paraId="0294B3D1" w14:textId="607258C6"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In our main analysis testing the effect of 8+ hour power outage on emergency CVD hospitalization rates up to 1 week after power outage exposure, we found increases in CVD-related hospitalizations 1-3 days after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Exposure was not associated with increased hospitalizations on other lag days. One day following power outage exposure, the CVD hospitalization rate was, on average, </w:t>
      </w:r>
      <w:r w:rsidR="00596744">
        <w:rPr>
          <w:rFonts w:ascii="Arial" w:hAnsi="Arial" w:cs="Arial"/>
          <w:sz w:val="20"/>
          <w:szCs w:val="20"/>
          <w:highlight w:val="yellow"/>
        </w:rPr>
        <w:t>2.0%</w:t>
      </w:r>
      <w:r w:rsidRPr="00E62856">
        <w:rPr>
          <w:rFonts w:ascii="Arial" w:hAnsi="Arial" w:cs="Arial"/>
          <w:sz w:val="20"/>
          <w:szCs w:val="20"/>
          <w:highlight w:val="yellow"/>
        </w:rPr>
        <w:t xml:space="preserve"> (95% CI: </w:t>
      </w:r>
      <w:r w:rsidRPr="00E62856">
        <w:rPr>
          <w:rFonts w:ascii="Arial" w:hAnsi="Arial" w:cs="Arial"/>
          <w:color w:val="000000"/>
          <w:sz w:val="20"/>
          <w:szCs w:val="20"/>
          <w:highlight w:val="yellow"/>
        </w:rPr>
        <w:t>1</w:t>
      </w:r>
      <w:r w:rsidR="0029538F">
        <w:rPr>
          <w:rFonts w:ascii="Arial" w:hAnsi="Arial" w:cs="Arial"/>
          <w:color w:val="000000"/>
          <w:sz w:val="20"/>
          <w:szCs w:val="20"/>
          <w:highlight w:val="yellow"/>
        </w:rPr>
        <w:t>.3%</w:t>
      </w:r>
      <w:r w:rsidRPr="00E62856">
        <w:rPr>
          <w:rFonts w:ascii="Arial" w:hAnsi="Arial" w:cs="Arial"/>
          <w:color w:val="000000"/>
          <w:sz w:val="20"/>
          <w:szCs w:val="20"/>
          <w:highlight w:val="yellow"/>
        </w:rPr>
        <w:t xml:space="preserve">, </w:t>
      </w:r>
      <w:r w:rsidR="0029538F">
        <w:rPr>
          <w:rFonts w:ascii="Arial" w:hAnsi="Arial" w:cs="Arial"/>
          <w:color w:val="000000"/>
          <w:sz w:val="20"/>
          <w:szCs w:val="20"/>
          <w:highlight w:val="yellow"/>
        </w:rPr>
        <w:t>2.6%</w:t>
      </w:r>
      <w:r w:rsidRPr="00E62856">
        <w:rPr>
          <w:rFonts w:ascii="Arial" w:hAnsi="Arial" w:cs="Arial"/>
          <w:color w:val="000000"/>
          <w:sz w:val="20"/>
          <w:szCs w:val="20"/>
          <w:highlight w:val="yellow"/>
        </w:rPr>
        <w:t>)</w:t>
      </w:r>
      <w:r w:rsidRPr="002A2B23">
        <w:rPr>
          <w:rFonts w:ascii="Arial" w:hAnsi="Arial" w:cs="Arial"/>
          <w:sz w:val="20"/>
          <w:szCs w:val="20"/>
        </w:rPr>
        <w:t xml:space="preserve">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002329D1">
        <w:rPr>
          <w:rFonts w:ascii="Arial" w:hAnsi="Arial" w:cs="Arial"/>
          <w:sz w:val="20"/>
          <w:szCs w:val="20"/>
          <w:highlight w:val="yellow"/>
        </w:rPr>
        <w:t>2.7%</w:t>
      </w:r>
      <w:r w:rsidRPr="00E62856">
        <w:rPr>
          <w:rFonts w:ascii="Arial" w:hAnsi="Arial" w:cs="Arial"/>
          <w:sz w:val="20"/>
          <w:szCs w:val="20"/>
          <w:highlight w:val="yellow"/>
        </w:rPr>
        <w:t xml:space="preserve"> (95% CI: </w:t>
      </w:r>
      <w:r w:rsidR="002329D1">
        <w:rPr>
          <w:rFonts w:ascii="Arial" w:hAnsi="Arial" w:cs="Arial"/>
          <w:sz w:val="20"/>
          <w:szCs w:val="20"/>
          <w:highlight w:val="yellow"/>
        </w:rPr>
        <w:t>1.8%</w:t>
      </w:r>
      <w:r w:rsidRPr="00E62856">
        <w:rPr>
          <w:rFonts w:ascii="Arial" w:hAnsi="Arial" w:cs="Arial"/>
          <w:sz w:val="20"/>
          <w:szCs w:val="20"/>
          <w:highlight w:val="yellow"/>
        </w:rPr>
        <w:t xml:space="preserve">, </w:t>
      </w:r>
      <w:r w:rsidR="002329D1">
        <w:rPr>
          <w:rFonts w:ascii="Arial" w:hAnsi="Arial" w:cs="Arial"/>
          <w:sz w:val="20"/>
          <w:szCs w:val="20"/>
          <w:highlight w:val="yellow"/>
        </w:rPr>
        <w:t>3.6%</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0053447A">
        <w:rPr>
          <w:rFonts w:ascii="Arial" w:hAnsi="Arial" w:cs="Arial"/>
          <w:sz w:val="20"/>
          <w:szCs w:val="20"/>
          <w:highlight w:val="yellow"/>
        </w:rPr>
        <w:t>3.1%</w:t>
      </w:r>
      <w:r w:rsidRPr="00E62856">
        <w:rPr>
          <w:rFonts w:ascii="Arial" w:hAnsi="Arial" w:cs="Arial"/>
          <w:sz w:val="20"/>
          <w:szCs w:val="20"/>
          <w:highlight w:val="yellow"/>
        </w:rPr>
        <w:t xml:space="preserve"> (95% CI: </w:t>
      </w:r>
      <w:r w:rsidR="00C56C56">
        <w:rPr>
          <w:rFonts w:ascii="Arial" w:hAnsi="Arial" w:cs="Arial"/>
          <w:sz w:val="20"/>
          <w:szCs w:val="20"/>
          <w:highlight w:val="yellow"/>
        </w:rPr>
        <w:t>2.1%</w:t>
      </w:r>
      <w:r w:rsidRPr="00E62856">
        <w:rPr>
          <w:rFonts w:ascii="Arial" w:hAnsi="Arial" w:cs="Arial"/>
          <w:sz w:val="20"/>
          <w:szCs w:val="20"/>
          <w:highlight w:val="yellow"/>
        </w:rPr>
        <w:t xml:space="preserve">, </w:t>
      </w:r>
      <w:r w:rsidR="00C56C56">
        <w:rPr>
          <w:rFonts w:ascii="Arial" w:hAnsi="Arial" w:cs="Arial"/>
          <w:sz w:val="20"/>
          <w:szCs w:val="20"/>
          <w:highlight w:val="yellow"/>
        </w:rPr>
        <w:t>4.2%</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1B6D0A8A"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Because there is no information on the health-relevant duration of power outage, we conducted sensitivity analyses evaluating the impact of 4+ and 12+ hour outages on CVD hospitalization rates. For 4+ hour and 12+ hour outages, we observed similar results to 8+ hour outages. Hospitalizations were elevated on lag days 1-3 and 6. The effect estimates for 12+ hour </w:t>
      </w:r>
      <w:r w:rsidRPr="002A2B23">
        <w:rPr>
          <w:rFonts w:ascii="Arial" w:hAnsi="Arial" w:cs="Arial"/>
          <w:sz w:val="20"/>
          <w:szCs w:val="20"/>
        </w:rPr>
        <w:lastRenderedPageBreak/>
        <w:t>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0E6C9021"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modelled the relationship between continuous daily county-level number of hours without power and CVD hospitalization rates, to test for a possible threshold effect where only outages longer than a certain duration caused health effects. Of the models we tested, the best-fitting model was linear for the association between number of hours without power and CVD hospitalizations with 4 degrees of freedom on the lag dimension. </w:t>
      </w:r>
      <w:commentRangeStart w:id="13"/>
      <w:commentRangeStart w:id="14"/>
      <w:commentRangeStart w:id="15"/>
      <w:r w:rsidRPr="002A2B23">
        <w:rPr>
          <w:rFonts w:ascii="Arial" w:hAnsi="Arial" w:cs="Arial"/>
          <w:sz w:val="20"/>
          <w:szCs w:val="20"/>
          <w:highlight w:val="magenta"/>
        </w:rPr>
        <w:t xml:space="preserve">For every additional hour without power, the next-day CVD hospitalization rate increased by 0.1% and, therefore, by 2.4% for 24 hours without power </w:t>
      </w:r>
      <w:commentRangeEnd w:id="13"/>
      <w:r w:rsidRPr="002A2B23">
        <w:rPr>
          <w:rStyle w:val="CommentReference"/>
          <w:rFonts w:ascii="Arial" w:hAnsi="Arial" w:cs="Arial"/>
          <w:sz w:val="20"/>
          <w:szCs w:val="20"/>
          <w:highlight w:val="magenta"/>
        </w:rPr>
        <w:commentReference w:id="13"/>
      </w:r>
      <w:commentRangeEnd w:id="14"/>
      <w:r w:rsidRPr="002A2B23">
        <w:rPr>
          <w:rStyle w:val="CommentReference"/>
          <w:rFonts w:ascii="Arial" w:hAnsi="Arial" w:cs="Arial"/>
          <w:sz w:val="20"/>
          <w:szCs w:val="20"/>
          <w:highlight w:val="magenta"/>
        </w:rPr>
        <w:commentReference w:id="14"/>
      </w:r>
      <w:commentRangeEnd w:id="15"/>
      <w:r w:rsidR="00D30EC1">
        <w:rPr>
          <w:rStyle w:val="CommentReference"/>
          <w:rFonts w:ascii="Times New Roman" w:eastAsia="Times New Roman" w:hAnsi="Times New Roman" w:cs="Times New Roman"/>
        </w:rPr>
        <w:commentReference w:id="15"/>
      </w:r>
      <w:r w:rsidRPr="002A2B23">
        <w:rPr>
          <w:rFonts w:ascii="Arial" w:hAnsi="Arial" w:cs="Arial"/>
          <w:sz w:val="20"/>
          <w:szCs w:val="20"/>
          <w:highlight w:val="magenta"/>
        </w:rPr>
        <w:t>(</w:t>
      </w:r>
      <w:r w:rsidRPr="002A2B23">
        <w:rPr>
          <w:rFonts w:ascii="Arial" w:hAnsi="Arial" w:cs="Arial"/>
          <w:b/>
          <w:bCs/>
          <w:sz w:val="20"/>
          <w:szCs w:val="20"/>
          <w:highlight w:val="magenta"/>
        </w:rPr>
        <w:t>Supplemental Figure 2</w:t>
      </w:r>
      <w:r w:rsidRPr="002A2B23">
        <w:rPr>
          <w:rFonts w:ascii="Arial" w:hAnsi="Arial" w:cs="Arial"/>
          <w:sz w:val="20"/>
          <w:szCs w:val="20"/>
          <w:highlight w:val="magenta"/>
        </w:rPr>
        <w:t>).</w:t>
      </w:r>
      <w:r w:rsidRPr="002A2B23">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426D823"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day after. On the same day of power outage exposure, the respiratory hospitalization rate was </w:t>
      </w:r>
      <w:r w:rsidRPr="002A2B23">
        <w:rPr>
          <w:rFonts w:ascii="Arial" w:hAnsi="Arial" w:cs="Arial"/>
          <w:sz w:val="20"/>
          <w:szCs w:val="20"/>
          <w:highlight w:val="yellow"/>
        </w:rPr>
        <w:t>2</w:t>
      </w:r>
      <w:r w:rsidR="00EE195C">
        <w:rPr>
          <w:rFonts w:ascii="Arial" w:hAnsi="Arial" w:cs="Arial"/>
          <w:sz w:val="20"/>
          <w:szCs w:val="20"/>
          <w:highlight w:val="yellow"/>
        </w:rPr>
        <w:t>.</w:t>
      </w:r>
      <w:r w:rsidR="0058448E">
        <w:rPr>
          <w:rFonts w:ascii="Arial" w:hAnsi="Arial" w:cs="Arial"/>
          <w:sz w:val="20"/>
          <w:szCs w:val="20"/>
          <w:highlight w:val="yellow"/>
        </w:rPr>
        <w:t>5</w:t>
      </w:r>
      <w:r w:rsidR="00D2550A">
        <w:rPr>
          <w:rFonts w:ascii="Arial" w:hAnsi="Arial" w:cs="Arial"/>
          <w:sz w:val="20"/>
          <w:szCs w:val="20"/>
          <w:highlight w:val="yellow"/>
        </w:rPr>
        <w:t>%</w:t>
      </w:r>
      <w:r w:rsidRPr="002A2B23">
        <w:rPr>
          <w:rFonts w:ascii="Arial" w:hAnsi="Arial" w:cs="Arial"/>
          <w:sz w:val="20"/>
          <w:szCs w:val="20"/>
          <w:highlight w:val="yellow"/>
        </w:rPr>
        <w:t xml:space="preserve"> (95 % CI: 1.2</w:t>
      </w:r>
      <w:r w:rsidR="001F5244">
        <w:rPr>
          <w:rFonts w:ascii="Arial" w:hAnsi="Arial" w:cs="Arial"/>
          <w:sz w:val="20"/>
          <w:szCs w:val="20"/>
          <w:highlight w:val="yellow"/>
        </w:rPr>
        <w:t>%</w:t>
      </w:r>
      <w:r w:rsidRPr="002A2B23">
        <w:rPr>
          <w:rFonts w:ascii="Arial" w:hAnsi="Arial" w:cs="Arial"/>
          <w:sz w:val="20"/>
          <w:szCs w:val="20"/>
          <w:highlight w:val="yellow"/>
        </w:rPr>
        <w:t xml:space="preserve">, </w:t>
      </w:r>
      <w:r w:rsidR="001F5244">
        <w:rPr>
          <w:rFonts w:ascii="Arial" w:hAnsi="Arial" w:cs="Arial"/>
          <w:sz w:val="20"/>
          <w:szCs w:val="20"/>
          <w:highlight w:val="yellow"/>
        </w:rPr>
        <w:t>3.</w:t>
      </w:r>
      <w:r w:rsidR="000B5194">
        <w:rPr>
          <w:rFonts w:ascii="Arial" w:hAnsi="Arial" w:cs="Arial"/>
          <w:sz w:val="20"/>
          <w:szCs w:val="20"/>
          <w:highlight w:val="yellow"/>
        </w:rPr>
        <w:t>8</w:t>
      </w:r>
      <w:r w:rsidR="001F5244">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than on unexposed days.</w:t>
      </w:r>
    </w:p>
    <w:p w14:paraId="6C9D8159" w14:textId="5C71A0E5"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same-day respiratory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 xml:space="preserve">5% of county customers respectively, on exposed days, respiratory hospitalization rates were </w:t>
      </w:r>
      <w:r w:rsidR="0027350A">
        <w:rPr>
          <w:rFonts w:ascii="Arial" w:hAnsi="Arial" w:cs="Arial"/>
          <w:sz w:val="20"/>
          <w:szCs w:val="20"/>
          <w:highlight w:val="yellow"/>
        </w:rPr>
        <w:t>5.</w:t>
      </w:r>
      <w:r w:rsidRPr="002A2B23">
        <w:rPr>
          <w:rFonts w:ascii="Arial" w:hAnsi="Arial" w:cs="Arial"/>
          <w:sz w:val="20"/>
          <w:szCs w:val="20"/>
          <w:highlight w:val="yellow"/>
        </w:rPr>
        <w:t>2</w:t>
      </w:r>
      <w:r w:rsidR="00486C8C">
        <w:rPr>
          <w:rFonts w:ascii="Arial" w:hAnsi="Arial" w:cs="Arial"/>
          <w:sz w:val="20"/>
          <w:szCs w:val="20"/>
          <w:highlight w:val="yellow"/>
        </w:rPr>
        <w:t>%</w:t>
      </w:r>
      <w:r w:rsidRPr="002A2B23">
        <w:rPr>
          <w:rFonts w:ascii="Arial" w:hAnsi="Arial" w:cs="Arial"/>
          <w:sz w:val="20"/>
          <w:szCs w:val="20"/>
          <w:highlight w:val="yellow"/>
        </w:rPr>
        <w:t xml:space="preserve"> (95% CI: </w:t>
      </w:r>
      <w:r w:rsidR="00486C8C">
        <w:rPr>
          <w:rFonts w:ascii="Arial" w:hAnsi="Arial" w:cs="Arial"/>
          <w:sz w:val="20"/>
          <w:szCs w:val="20"/>
          <w:highlight w:val="yellow"/>
        </w:rPr>
        <w:t>3.</w:t>
      </w:r>
      <w:r w:rsidRPr="002A2B23">
        <w:rPr>
          <w:rFonts w:ascii="Arial" w:hAnsi="Arial" w:cs="Arial"/>
          <w:sz w:val="20"/>
          <w:szCs w:val="20"/>
          <w:highlight w:val="yellow"/>
        </w:rPr>
        <w:t>4</w:t>
      </w:r>
      <w:r w:rsidR="00486C8C">
        <w:rPr>
          <w:rFonts w:ascii="Arial" w:hAnsi="Arial" w:cs="Arial"/>
          <w:sz w:val="20"/>
          <w:szCs w:val="20"/>
          <w:highlight w:val="yellow"/>
        </w:rPr>
        <w:t>%</w:t>
      </w:r>
      <w:r w:rsidRPr="002A2B23">
        <w:rPr>
          <w:rFonts w:ascii="Arial" w:hAnsi="Arial" w:cs="Arial"/>
          <w:sz w:val="20"/>
          <w:szCs w:val="20"/>
          <w:highlight w:val="yellow"/>
        </w:rPr>
        <w:t xml:space="preserve">, </w:t>
      </w:r>
      <w:r w:rsidR="00486C8C">
        <w:rPr>
          <w:rFonts w:ascii="Arial" w:hAnsi="Arial" w:cs="Arial"/>
          <w:sz w:val="20"/>
          <w:szCs w:val="20"/>
          <w:highlight w:val="yellow"/>
        </w:rPr>
        <w:t>7.</w:t>
      </w:r>
      <w:r w:rsidRPr="002A2B23">
        <w:rPr>
          <w:rFonts w:ascii="Arial" w:hAnsi="Arial" w:cs="Arial"/>
          <w:sz w:val="20"/>
          <w:szCs w:val="20"/>
          <w:highlight w:val="yellow"/>
        </w:rPr>
        <w:t>1</w:t>
      </w:r>
      <w:r w:rsidR="00486C8C">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and </w:t>
      </w:r>
      <w:r w:rsidRPr="002A2B23">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7</w:t>
      </w:r>
      <w:r w:rsidR="00940E85">
        <w:rPr>
          <w:rFonts w:ascii="Arial" w:hAnsi="Arial" w:cs="Arial"/>
          <w:sz w:val="20"/>
          <w:szCs w:val="20"/>
          <w:highlight w:val="yellow"/>
        </w:rPr>
        <w:t>%</w:t>
      </w:r>
      <w:r w:rsidRPr="002A2B23">
        <w:rPr>
          <w:rFonts w:ascii="Arial" w:hAnsi="Arial" w:cs="Arial"/>
          <w:sz w:val="20"/>
          <w:szCs w:val="20"/>
          <w:highlight w:val="yellow"/>
        </w:rPr>
        <w:t xml:space="preserve"> (95% CI: 4</w:t>
      </w:r>
      <w:r w:rsidR="00940E85">
        <w:rPr>
          <w:rFonts w:ascii="Arial" w:hAnsi="Arial" w:cs="Arial"/>
          <w:sz w:val="20"/>
          <w:szCs w:val="20"/>
          <w:highlight w:val="yellow"/>
        </w:rPr>
        <w:t>.</w:t>
      </w:r>
      <w:r w:rsidR="00B97D25">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 xml:space="preserve">, </w:t>
      </w:r>
      <w:r w:rsidR="00940E85">
        <w:rPr>
          <w:rFonts w:ascii="Arial" w:hAnsi="Arial" w:cs="Arial"/>
          <w:sz w:val="20"/>
          <w:szCs w:val="20"/>
          <w:highlight w:val="yellow"/>
        </w:rPr>
        <w:t>8.</w:t>
      </w:r>
      <w:r w:rsidRPr="002A2B23">
        <w:rPr>
          <w:rFonts w:ascii="Arial" w:hAnsi="Arial" w:cs="Arial"/>
          <w:sz w:val="20"/>
          <w:szCs w:val="20"/>
          <w:highlight w:val="yellow"/>
        </w:rPr>
        <w:t>9</w:t>
      </w:r>
      <w:r w:rsidR="00940E85">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Default="004C354A" w:rsidP="004D4F27">
      <w:pPr>
        <w:spacing w:after="0" w:line="480" w:lineRule="auto"/>
        <w:rPr>
          <w:rFonts w:ascii="Arial" w:hAnsi="Arial" w:cs="Arial"/>
          <w:sz w:val="20"/>
          <w:szCs w:val="20"/>
          <w:u w:val="single"/>
        </w:rPr>
      </w:pPr>
      <w:r w:rsidRPr="00C778C4">
        <w:rPr>
          <w:rFonts w:ascii="Arial" w:hAnsi="Arial" w:cs="Arial"/>
          <w:sz w:val="20"/>
          <w:szCs w:val="20"/>
          <w:u w:val="single"/>
        </w:rPr>
        <w:lastRenderedPageBreak/>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173FC6E8"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strongest effects on respiratory hospitalizations following 12+ hour outage exposure. Effect size increased across outage durations as duration increased. Respiratory hospitalization rates were </w:t>
      </w:r>
      <w:r w:rsidRPr="002A2B23">
        <w:rPr>
          <w:rFonts w:ascii="Arial" w:hAnsi="Arial" w:cs="Arial"/>
          <w:sz w:val="20"/>
          <w:szCs w:val="20"/>
          <w:highlight w:val="yellow"/>
        </w:rPr>
        <w:t>1.</w:t>
      </w:r>
      <w:r w:rsidR="00B040AD">
        <w:rPr>
          <w:rFonts w:ascii="Arial" w:hAnsi="Arial" w:cs="Arial"/>
          <w:sz w:val="20"/>
          <w:szCs w:val="20"/>
          <w:highlight w:val="yellow"/>
        </w:rPr>
        <w:t>2</w:t>
      </w:r>
      <w:r w:rsidR="00267979">
        <w:rPr>
          <w:rFonts w:ascii="Arial" w:hAnsi="Arial" w:cs="Arial"/>
          <w:sz w:val="20"/>
          <w:szCs w:val="20"/>
          <w:highlight w:val="yellow"/>
        </w:rPr>
        <w:t>%</w:t>
      </w:r>
      <w:r w:rsidRPr="002A2B23">
        <w:rPr>
          <w:rFonts w:ascii="Arial" w:hAnsi="Arial" w:cs="Arial"/>
          <w:sz w:val="20"/>
          <w:szCs w:val="20"/>
          <w:highlight w:val="yellow"/>
        </w:rPr>
        <w:t xml:space="preserve"> higher (95% CI: </w:t>
      </w:r>
      <w:r w:rsidR="008D2F96">
        <w:rPr>
          <w:rFonts w:ascii="Arial" w:hAnsi="Arial" w:cs="Arial"/>
          <w:sz w:val="20"/>
          <w:szCs w:val="20"/>
          <w:highlight w:val="yellow"/>
        </w:rPr>
        <w:t>0.</w:t>
      </w:r>
      <w:r w:rsidRPr="002A2B23">
        <w:rPr>
          <w:rFonts w:ascii="Arial" w:hAnsi="Arial" w:cs="Arial"/>
          <w:sz w:val="20"/>
          <w:szCs w:val="20"/>
          <w:highlight w:val="yellow"/>
        </w:rPr>
        <w:t>2</w:t>
      </w:r>
      <w:r w:rsidR="008D2F96">
        <w:rPr>
          <w:rFonts w:ascii="Arial" w:hAnsi="Arial" w:cs="Arial"/>
          <w:sz w:val="20"/>
          <w:szCs w:val="20"/>
          <w:highlight w:val="yellow"/>
        </w:rPr>
        <w:t>%</w:t>
      </w:r>
      <w:r w:rsidRPr="002A2B23">
        <w:rPr>
          <w:rFonts w:ascii="Arial" w:hAnsi="Arial" w:cs="Arial"/>
          <w:sz w:val="20"/>
          <w:szCs w:val="20"/>
          <w:highlight w:val="yellow"/>
        </w:rPr>
        <w:t xml:space="preserve">, </w:t>
      </w:r>
      <w:r w:rsidR="008D2F96">
        <w:rPr>
          <w:rFonts w:ascii="Arial" w:hAnsi="Arial" w:cs="Arial"/>
          <w:sz w:val="20"/>
          <w:szCs w:val="20"/>
          <w:highlight w:val="yellow"/>
        </w:rPr>
        <w:t>2.</w:t>
      </w:r>
      <w:r w:rsidR="00B040AD">
        <w:rPr>
          <w:rFonts w:ascii="Arial" w:hAnsi="Arial" w:cs="Arial"/>
          <w:sz w:val="20"/>
          <w:szCs w:val="20"/>
          <w:highlight w:val="yellow"/>
        </w:rPr>
        <w:t>2</w:t>
      </w:r>
      <w:r w:rsidR="009D2E43">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4+ hour power outage exposure, </w:t>
      </w:r>
      <w:r w:rsidR="00061740">
        <w:rPr>
          <w:rFonts w:ascii="Arial" w:hAnsi="Arial" w:cs="Arial"/>
          <w:sz w:val="20"/>
          <w:szCs w:val="20"/>
          <w:highlight w:val="yellow"/>
        </w:rPr>
        <w:t>2.</w:t>
      </w:r>
      <w:r w:rsidR="009D5578">
        <w:rPr>
          <w:rFonts w:ascii="Arial" w:hAnsi="Arial" w:cs="Arial"/>
          <w:sz w:val="20"/>
          <w:szCs w:val="20"/>
          <w:highlight w:val="yellow"/>
        </w:rPr>
        <w:t>5</w:t>
      </w:r>
      <w:r w:rsidR="00061740">
        <w:rPr>
          <w:rFonts w:ascii="Arial" w:hAnsi="Arial" w:cs="Arial"/>
          <w:sz w:val="20"/>
          <w:szCs w:val="20"/>
          <w:highlight w:val="yellow"/>
        </w:rPr>
        <w:t>%</w:t>
      </w:r>
      <w:r w:rsidRPr="002A2B23">
        <w:rPr>
          <w:rFonts w:ascii="Arial" w:hAnsi="Arial" w:cs="Arial"/>
          <w:sz w:val="20"/>
          <w:szCs w:val="20"/>
          <w:highlight w:val="yellow"/>
        </w:rPr>
        <w:t xml:space="preserve"> higher (95% CI: 1</w:t>
      </w:r>
      <w:r w:rsidR="00061740">
        <w:rPr>
          <w:rFonts w:ascii="Arial" w:hAnsi="Arial" w:cs="Arial"/>
          <w:sz w:val="20"/>
          <w:szCs w:val="20"/>
          <w:highlight w:val="yellow"/>
        </w:rPr>
        <w:t>.2%</w:t>
      </w:r>
      <w:r w:rsidRPr="002A2B23">
        <w:rPr>
          <w:rFonts w:ascii="Arial" w:hAnsi="Arial" w:cs="Arial"/>
          <w:sz w:val="20"/>
          <w:szCs w:val="20"/>
          <w:highlight w:val="yellow"/>
        </w:rPr>
        <w:t xml:space="preserve">, </w:t>
      </w:r>
      <w:r w:rsidR="00061740">
        <w:rPr>
          <w:rFonts w:ascii="Arial" w:hAnsi="Arial" w:cs="Arial"/>
          <w:sz w:val="20"/>
          <w:szCs w:val="20"/>
          <w:highlight w:val="yellow"/>
        </w:rPr>
        <w:t>3.</w:t>
      </w:r>
      <w:r w:rsidR="009D5578">
        <w:rPr>
          <w:rFonts w:ascii="Arial" w:hAnsi="Arial" w:cs="Arial"/>
          <w:sz w:val="20"/>
          <w:szCs w:val="20"/>
          <w:highlight w:val="yellow"/>
        </w:rPr>
        <w:t>8</w:t>
      </w:r>
      <w:r w:rsidR="00061740">
        <w:rPr>
          <w:rFonts w:ascii="Arial" w:hAnsi="Arial" w:cs="Arial"/>
          <w:sz w:val="20"/>
          <w:szCs w:val="20"/>
          <w:highlight w:val="yellow"/>
        </w:rPr>
        <w:t>%</w:t>
      </w:r>
      <w:r w:rsidRPr="002A2B23">
        <w:rPr>
          <w:rFonts w:ascii="Arial" w:hAnsi="Arial" w:cs="Arial"/>
          <w:sz w:val="20"/>
          <w:szCs w:val="20"/>
          <w:highlight w:val="yellow"/>
        </w:rPr>
        <w:t>)</w:t>
      </w:r>
      <w:r w:rsidR="007F2499">
        <w:rPr>
          <w:rFonts w:ascii="Arial" w:hAnsi="Arial" w:cs="Arial"/>
          <w:sz w:val="20"/>
          <w:szCs w:val="20"/>
        </w:rPr>
        <w:t xml:space="preserve"> higher</w:t>
      </w:r>
      <w:r w:rsidRPr="002A2B23">
        <w:rPr>
          <w:rFonts w:ascii="Arial" w:hAnsi="Arial" w:cs="Arial"/>
          <w:sz w:val="20"/>
          <w:szCs w:val="20"/>
        </w:rPr>
        <w:t xml:space="preserve"> the day of 8+ hour outage exposure, and </w:t>
      </w:r>
      <w:r w:rsidR="00816DC3">
        <w:rPr>
          <w:rFonts w:ascii="Arial" w:hAnsi="Arial" w:cs="Arial"/>
          <w:sz w:val="20"/>
          <w:szCs w:val="20"/>
          <w:highlight w:val="yellow"/>
        </w:rPr>
        <w:t>3.</w:t>
      </w:r>
      <w:r w:rsidRPr="002A2B23">
        <w:rPr>
          <w:rFonts w:ascii="Arial" w:hAnsi="Arial" w:cs="Arial"/>
          <w:sz w:val="20"/>
          <w:szCs w:val="20"/>
          <w:highlight w:val="yellow"/>
        </w:rPr>
        <w:t xml:space="preserve">2 times higher (95% CI: </w:t>
      </w:r>
      <w:r w:rsidR="00816DC3">
        <w:rPr>
          <w:rFonts w:ascii="Arial" w:hAnsi="Arial" w:cs="Arial"/>
          <w:sz w:val="20"/>
          <w:szCs w:val="20"/>
          <w:highlight w:val="yellow"/>
        </w:rPr>
        <w:t>1.</w:t>
      </w:r>
      <w:r w:rsidRPr="002A2B23">
        <w:rPr>
          <w:rFonts w:ascii="Arial" w:hAnsi="Arial" w:cs="Arial"/>
          <w:sz w:val="20"/>
          <w:szCs w:val="20"/>
          <w:highlight w:val="yellow"/>
        </w:rPr>
        <w:t>7</w:t>
      </w:r>
      <w:r w:rsidR="004666C9">
        <w:rPr>
          <w:rFonts w:ascii="Arial" w:hAnsi="Arial" w:cs="Arial"/>
          <w:sz w:val="20"/>
          <w:szCs w:val="20"/>
          <w:highlight w:val="yellow"/>
        </w:rPr>
        <w:t>%</w:t>
      </w:r>
      <w:r w:rsidRPr="002A2B23">
        <w:rPr>
          <w:rFonts w:ascii="Arial" w:hAnsi="Arial" w:cs="Arial"/>
          <w:sz w:val="20"/>
          <w:szCs w:val="20"/>
          <w:highlight w:val="yellow"/>
        </w:rPr>
        <w:t xml:space="preserve">, </w:t>
      </w:r>
      <w:r w:rsidR="00816DC3">
        <w:rPr>
          <w:rFonts w:ascii="Arial" w:hAnsi="Arial" w:cs="Arial"/>
          <w:sz w:val="20"/>
          <w:szCs w:val="20"/>
          <w:highlight w:val="yellow"/>
        </w:rPr>
        <w:t>4.</w:t>
      </w:r>
      <w:r w:rsidR="009D5578">
        <w:rPr>
          <w:rFonts w:ascii="Arial" w:hAnsi="Arial" w:cs="Arial"/>
          <w:sz w:val="20"/>
          <w:szCs w:val="20"/>
          <w:highlight w:val="yellow"/>
        </w:rPr>
        <w:t>6</w:t>
      </w:r>
      <w:r w:rsidR="004666C9">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12+ hour outage exposure compared to unexposed days. </w:t>
      </w:r>
    </w:p>
    <w:p w14:paraId="57C07CC2" w14:textId="46BEDB3B"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Finally, we modelled the relationship between continuous number of hours without power and respiratory hospitalization rates. The best-fitting model indicated a linear relationship between number of hours without power and respiratory hospitalizations, with 4 degrees of freedom on the lag dimension.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09BD6559" w14:textId="792E1935" w:rsidR="00C60213" w:rsidRDefault="004C354A" w:rsidP="00DD0F4D">
      <w:pPr>
        <w:spacing w:after="0" w:line="480" w:lineRule="auto"/>
        <w:ind w:firstLine="720"/>
        <w:rPr>
          <w:rFonts w:ascii="Arial" w:hAnsi="Arial" w:cs="Arial"/>
          <w:sz w:val="20"/>
          <w:szCs w:val="20"/>
        </w:rPr>
      </w:pPr>
      <w:r w:rsidRPr="002A2B23">
        <w:rPr>
          <w:rFonts w:ascii="Arial" w:hAnsi="Arial" w:cs="Arial"/>
          <w:sz w:val="20"/>
          <w:szCs w:val="20"/>
        </w:rPr>
        <w:t>We tested for effect modification of the relationship between power outage and CVD and respiratory hospitalizations by age, sex, poverty, and percentage of county Medicare beneficiaries using DME.</w:t>
      </w:r>
      <w:r w:rsidR="00F558A4">
        <w:rPr>
          <w:rFonts w:ascii="Arial" w:hAnsi="Arial" w:cs="Arial"/>
          <w:sz w:val="20"/>
          <w:szCs w:val="20"/>
        </w:rPr>
        <w:t xml:space="preserve"> We used Medicaid eligibility as proxy for poverty.</w:t>
      </w:r>
      <w:r w:rsidRPr="002A2B23">
        <w:rPr>
          <w:rFonts w:ascii="Arial" w:hAnsi="Arial" w:cs="Arial"/>
          <w:sz w:val="20"/>
          <w:szCs w:val="20"/>
        </w:rPr>
        <w:t xml:space="preserve"> </w:t>
      </w:r>
      <w:r w:rsidR="00C12CCB">
        <w:rPr>
          <w:rFonts w:ascii="Arial" w:hAnsi="Arial" w:cs="Arial"/>
          <w:sz w:val="20"/>
          <w:szCs w:val="20"/>
        </w:rPr>
        <w:t>E</w:t>
      </w:r>
      <w:r w:rsidR="00774E1B">
        <w:rPr>
          <w:rFonts w:ascii="Arial" w:hAnsi="Arial" w:cs="Arial"/>
          <w:sz w:val="20"/>
          <w:szCs w:val="20"/>
        </w:rPr>
        <w:t>xposure</w:t>
      </w:r>
      <w:r w:rsidR="00C12CCB">
        <w:rPr>
          <w:rFonts w:ascii="Arial" w:hAnsi="Arial" w:cs="Arial"/>
          <w:sz w:val="20"/>
          <w:szCs w:val="20"/>
        </w:rPr>
        <w:t xml:space="preserve"> 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 xml:space="preserve">Overall, we did not observe effect modification by age, sex, or poverty. However, the association between power outage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w:t>
      </w:r>
      <w:r w:rsidRPr="002A2B23">
        <w:rPr>
          <w:rFonts w:ascii="Arial" w:hAnsi="Arial" w:cs="Arial"/>
          <w:sz w:val="20"/>
          <w:szCs w:val="20"/>
        </w:rPr>
        <w:lastRenderedPageBreak/>
        <w:t>outage, while in counties with fourth quartile DME use, hospitalizations were elevated only on the day of power outage (</w:t>
      </w:r>
      <w:r w:rsidRPr="002A2B23">
        <w:rPr>
          <w:rFonts w:ascii="Arial" w:hAnsi="Arial" w:cs="Arial"/>
          <w:b/>
          <w:bCs/>
          <w:sz w:val="20"/>
          <w:szCs w:val="20"/>
        </w:rPr>
        <w:t>Figure 3</w:t>
      </w:r>
      <w:r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1DCB3135"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Medicare beneficiaries aged 65+, we found that power outages were associated with increased acute emergency CVD and respiratory hospitalizations. </w:t>
      </w:r>
      <w:r w:rsidR="005B1ED0">
        <w:rPr>
          <w:rFonts w:ascii="Arial" w:hAnsi="Arial" w:cs="Arial"/>
          <w:sz w:val="20"/>
          <w:szCs w:val="20"/>
        </w:rPr>
        <w:t>T</w:t>
      </w:r>
      <w:r w:rsidRPr="0097584B">
        <w:rPr>
          <w:rFonts w:ascii="Arial" w:hAnsi="Arial" w:cs="Arial"/>
          <w:sz w:val="20"/>
          <w:szCs w:val="20"/>
        </w:rPr>
        <w:t xml:space="preserve">he association between outage and CVD hospitalizations was strongest the day after exposure, while the association between outage and respiratory hospitalizations was strongest the same day of outage exposure. 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larger effects on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pose a growing threat to the cardiovascular and respiratory health of older adults. </w:t>
      </w:r>
    </w:p>
    <w:p w14:paraId="30F7F7AA" w14:textId="0DA17820"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Deng et al. found the largest increases in CVD emergency department visits the day after exposure, while respiratory visits increased most on the day of exposure; the same pattern as in our results. 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day after power outage exposure, though confidence intervals contained the null. We estimated similar effects with more precision because of our larger study population. </w:t>
      </w:r>
    </w:p>
    <w:p w14:paraId="33E4FE57" w14:textId="7121BA0A"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We hypothesized that power outages lead to CVD and respiratory hospitalizations in older adults because they cause heat exposure, cold exposure, stress, and loss of electricity to life-sustaining medical devices and mobility aids. Power outages may also cause changes in </w:t>
      </w:r>
      <w:r w:rsidRPr="0097584B">
        <w:rPr>
          <w:rFonts w:ascii="Arial" w:hAnsi="Arial" w:cs="Arial"/>
          <w:sz w:val="20"/>
          <w:szCs w:val="20"/>
        </w:rPr>
        <w:lastRenderedPageBreak/>
        <w:t xml:space="preserve">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73860869"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In this study,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county-days are considered exposed to power outage when </w:t>
      </w:r>
      <w:r w:rsidRPr="0097584B">
        <w:rPr>
          <w:rFonts w:ascii="Arial" w:eastAsia="Garamond" w:hAnsi="Arial" w:cs="Arial"/>
          <w:sz w:val="20"/>
          <w:szCs w:val="20"/>
        </w:rPr>
        <w:t>≥</w:t>
      </w:r>
      <w:r w:rsidRPr="0097584B">
        <w:rPr>
          <w:rFonts w:ascii="Arial" w:hAnsi="Arial" w:cs="Arial"/>
          <w:sz w:val="20"/>
          <w:szCs w:val="20"/>
        </w:rPr>
        <w:t xml:space="preserve">5% of county customers are without power, compared to </w:t>
      </w:r>
      <w:r w:rsidRPr="0097584B">
        <w:rPr>
          <w:rFonts w:ascii="Arial" w:eastAsia="Garamond" w:hAnsi="Arial" w:cs="Arial"/>
          <w:sz w:val="20"/>
          <w:szCs w:val="20"/>
        </w:rPr>
        <w:t>≥</w:t>
      </w:r>
      <w:r w:rsidRPr="0097584B">
        <w:rPr>
          <w:rFonts w:ascii="Arial" w:hAnsi="Arial" w:cs="Arial"/>
          <w:sz w:val="20"/>
          <w:szCs w:val="20"/>
        </w:rPr>
        <w:t xml:space="preserve">1% of customers. Exposure misclassification may bias results, likely toward the null, though the magnitude and direction of bias are unknown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(30)</w:t>
      </w:r>
      <w:r w:rsidRPr="0097584B">
        <w:rPr>
          <w:rFonts w:ascii="Arial" w:hAnsi="Arial" w:cs="Arial"/>
          <w:sz w:val="20"/>
          <w:szCs w:val="20"/>
        </w:rPr>
        <w:fldChar w:fldCharType="end"/>
      </w:r>
      <w:r w:rsidRPr="0097584B">
        <w:rPr>
          <w:rFonts w:ascii="Arial" w:hAnsi="Arial" w:cs="Arial"/>
          <w:sz w:val="20"/>
          <w:szCs w:val="20"/>
        </w:rPr>
        <w:t xml:space="preserve">. Second, larger outages may also cause more hospitalizations because they are community-wide events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(3, 29)</w:t>
      </w:r>
      <w:r w:rsidRPr="0097584B">
        <w:rPr>
          <w:rFonts w:ascii="Arial" w:hAnsi="Arial" w:cs="Arial"/>
          <w:sz w:val="20"/>
          <w:szCs w:val="20"/>
        </w:rPr>
        <w:fldChar w:fldCharType="end"/>
      </w:r>
      <w:r w:rsidRPr="0097584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individuals may be exposed to the midstream effects of power outage such as heat and cold during these larger outages, potentially increasing hospitalizations. </w:t>
      </w:r>
    </w:p>
    <w:p w14:paraId="1FD700BF" w14:textId="54007FDF" w:rsidR="0096214E" w:rsidRDefault="0097584B" w:rsidP="00373DC7">
      <w:pPr>
        <w:spacing w:after="0" w:line="480" w:lineRule="auto"/>
        <w:ind w:firstLine="720"/>
        <w:rPr>
          <w:rFonts w:ascii="Arial" w:hAnsi="Arial" w:cs="Arial"/>
          <w:sz w:val="20"/>
          <w:szCs w:val="20"/>
        </w:rPr>
      </w:pPr>
      <w:r w:rsidRPr="0097584B">
        <w:rPr>
          <w:rFonts w:ascii="Arial" w:hAnsi="Arial" w:cs="Arial"/>
          <w:sz w:val="20"/>
          <w:szCs w:val="20"/>
        </w:rPr>
        <w:t>We tested for effect modification of the power outage-hospitalization association by sex, age, poverty</w:t>
      </w:r>
      <w:r w:rsidR="00791295">
        <w:rPr>
          <w:rFonts w:ascii="Arial" w:hAnsi="Arial" w:cs="Arial"/>
          <w:sz w:val="20"/>
          <w:szCs w:val="20"/>
        </w:rPr>
        <w:t>,</w:t>
      </w:r>
      <w:r w:rsidRPr="0097584B">
        <w:rPr>
          <w:rFonts w:ascii="Arial" w:hAnsi="Arial" w:cs="Arial"/>
          <w:sz w:val="20"/>
          <w:szCs w:val="20"/>
        </w:rPr>
        <w:t xml:space="preserve"> and </w:t>
      </w:r>
      <w:commentRangeStart w:id="16"/>
      <w:commentRangeStart w:id="17"/>
      <w:commentRangeStart w:id="18"/>
      <w:r w:rsidRPr="0097584B">
        <w:rPr>
          <w:rFonts w:ascii="Arial" w:hAnsi="Arial" w:cs="Arial"/>
          <w:sz w:val="20"/>
          <w:szCs w:val="20"/>
        </w:rPr>
        <w:t>DME use</w:t>
      </w:r>
      <w:commentRangeEnd w:id="16"/>
      <w:r w:rsidRPr="0097584B">
        <w:rPr>
          <w:rStyle w:val="CommentReference"/>
          <w:sz w:val="20"/>
          <w:szCs w:val="20"/>
        </w:rPr>
        <w:commentReference w:id="16"/>
      </w:r>
      <w:commentRangeEnd w:id="17"/>
      <w:r w:rsidRPr="0097584B">
        <w:rPr>
          <w:rStyle w:val="CommentReference"/>
          <w:sz w:val="20"/>
          <w:szCs w:val="20"/>
        </w:rPr>
        <w:commentReference w:id="17"/>
      </w:r>
      <w:commentRangeEnd w:id="18"/>
      <w:r w:rsidRPr="0097584B">
        <w:rPr>
          <w:rStyle w:val="CommentReference"/>
          <w:sz w:val="20"/>
          <w:szCs w:val="20"/>
        </w:rPr>
        <w:commentReference w:id="18"/>
      </w:r>
      <w:r w:rsidRPr="0097584B">
        <w:rPr>
          <w:rFonts w:ascii="Arial" w:hAnsi="Arial" w:cs="Arial"/>
          <w:sz w:val="20"/>
          <w:szCs w:val="20"/>
        </w:rPr>
        <w:t xml:space="preserve">. Contrary to our hypotheses, we did not observe effect modification by </w:t>
      </w:r>
      <w:r w:rsidR="003B18ED">
        <w:rPr>
          <w:rFonts w:ascii="Arial" w:hAnsi="Arial" w:cs="Arial"/>
          <w:sz w:val="20"/>
          <w:szCs w:val="20"/>
        </w:rPr>
        <w:t xml:space="preserve">age or sex. </w:t>
      </w:r>
      <w:commentRangeStart w:id="19"/>
      <w:r w:rsidR="007416D4">
        <w:rPr>
          <w:rFonts w:ascii="Arial" w:hAnsi="Arial" w:cs="Arial"/>
          <w:sz w:val="20"/>
          <w:szCs w:val="20"/>
        </w:rPr>
        <w:t xml:space="preserve">CVD hospitalization rates among those </w:t>
      </w:r>
      <w:r w:rsidR="004479DF">
        <w:rPr>
          <w:rFonts w:ascii="Arial" w:hAnsi="Arial" w:cs="Arial"/>
          <w:sz w:val="20"/>
          <w:szCs w:val="20"/>
        </w:rPr>
        <w:t>eligible</w:t>
      </w:r>
      <w:r w:rsidR="007416D4">
        <w:rPr>
          <w:rFonts w:ascii="Arial" w:hAnsi="Arial" w:cs="Arial"/>
          <w:sz w:val="20"/>
          <w:szCs w:val="20"/>
        </w:rPr>
        <w:t xml:space="preserve"> for Medicaid</w:t>
      </w:r>
      <w:r w:rsidR="00C429E1">
        <w:rPr>
          <w:rFonts w:ascii="Arial" w:hAnsi="Arial" w:cs="Arial"/>
          <w:sz w:val="20"/>
          <w:szCs w:val="20"/>
        </w:rPr>
        <w:t>, used as a proxy to measure poverty,</w:t>
      </w:r>
      <w:r w:rsidR="007416D4">
        <w:rPr>
          <w:rFonts w:ascii="Arial" w:hAnsi="Arial" w:cs="Arial"/>
          <w:sz w:val="20"/>
          <w:szCs w:val="20"/>
        </w:rPr>
        <w:t xml:space="preserve"> may have been larger the day of power outage exposure compared to those not eligible for Medicaid</w:t>
      </w:r>
      <w:r w:rsidR="004479DF">
        <w:rPr>
          <w:rFonts w:ascii="Arial" w:hAnsi="Arial" w:cs="Arial"/>
          <w:sz w:val="20"/>
          <w:szCs w:val="20"/>
        </w:rPr>
        <w:t>, but confidence intervals were wide.</w:t>
      </w:r>
      <w:r w:rsidRPr="0097584B">
        <w:rPr>
          <w:rFonts w:ascii="Arial" w:hAnsi="Arial" w:cs="Arial"/>
          <w:sz w:val="20"/>
          <w:szCs w:val="20"/>
        </w:rPr>
        <w:t xml:space="preserve"> </w:t>
      </w:r>
      <w:r w:rsidR="0096214E">
        <w:rPr>
          <w:rFonts w:ascii="Arial" w:hAnsi="Arial" w:cs="Arial"/>
          <w:sz w:val="20"/>
          <w:szCs w:val="20"/>
        </w:rPr>
        <w:t xml:space="preserve">Poverty </w:t>
      </w:r>
      <w:r w:rsidR="00C26EED">
        <w:rPr>
          <w:rFonts w:ascii="Arial" w:hAnsi="Arial" w:cs="Arial"/>
          <w:sz w:val="20"/>
          <w:szCs w:val="20"/>
        </w:rPr>
        <w:t>may</w:t>
      </w:r>
      <w:r w:rsidR="0096214E">
        <w:rPr>
          <w:rFonts w:ascii="Arial" w:hAnsi="Arial" w:cs="Arial"/>
          <w:sz w:val="20"/>
          <w:szCs w:val="20"/>
        </w:rPr>
        <w:t xml:space="preserve"> </w:t>
      </w:r>
      <w:r w:rsidR="00880459">
        <w:rPr>
          <w:rFonts w:ascii="Arial" w:hAnsi="Arial" w:cs="Arial"/>
          <w:sz w:val="20"/>
          <w:szCs w:val="20"/>
        </w:rPr>
        <w:t xml:space="preserve">modify the association of power outage and </w:t>
      </w:r>
      <w:r w:rsidR="0096214E">
        <w:rPr>
          <w:rFonts w:ascii="Arial" w:hAnsi="Arial" w:cs="Arial"/>
          <w:sz w:val="20"/>
          <w:szCs w:val="20"/>
        </w:rPr>
        <w:t xml:space="preserve">CVD </w:t>
      </w:r>
      <w:r w:rsidR="00657426">
        <w:rPr>
          <w:rFonts w:ascii="Arial" w:hAnsi="Arial" w:cs="Arial"/>
          <w:sz w:val="20"/>
          <w:szCs w:val="20"/>
        </w:rPr>
        <w:t>hospitalizations</w:t>
      </w:r>
      <w:r w:rsidR="008D06EF">
        <w:rPr>
          <w:rFonts w:ascii="Arial" w:hAnsi="Arial" w:cs="Arial"/>
          <w:sz w:val="20"/>
          <w:szCs w:val="20"/>
        </w:rPr>
        <w:t xml:space="preserve"> </w:t>
      </w:r>
      <w:r w:rsidR="00B3553D">
        <w:rPr>
          <w:rFonts w:ascii="Arial" w:hAnsi="Arial" w:cs="Arial"/>
          <w:sz w:val="20"/>
          <w:szCs w:val="20"/>
        </w:rPr>
        <w:t>through</w:t>
      </w:r>
      <w:r w:rsidR="008D06EF">
        <w:rPr>
          <w:rFonts w:ascii="Arial" w:hAnsi="Arial" w:cs="Arial"/>
          <w:sz w:val="20"/>
          <w:szCs w:val="20"/>
        </w:rPr>
        <w:t xml:space="preserve"> adaptive capacity and vulnerability. </w:t>
      </w:r>
      <w:r w:rsidR="00812AE5">
        <w:rPr>
          <w:rFonts w:ascii="Arial" w:hAnsi="Arial" w:cs="Arial"/>
          <w:sz w:val="20"/>
          <w:szCs w:val="20"/>
        </w:rPr>
        <w:t xml:space="preserve">Individuals living in poverty may have fewer resources to mitigate the impacts of power outages, and higher </w:t>
      </w:r>
      <w:r w:rsidR="007718DB">
        <w:rPr>
          <w:rFonts w:ascii="Arial" w:hAnsi="Arial" w:cs="Arial"/>
          <w:sz w:val="20"/>
          <w:szCs w:val="20"/>
        </w:rPr>
        <w:lastRenderedPageBreak/>
        <w:t>rates</w:t>
      </w:r>
      <w:r w:rsidR="00812AE5">
        <w:rPr>
          <w:rFonts w:ascii="Arial" w:hAnsi="Arial" w:cs="Arial"/>
          <w:sz w:val="20"/>
          <w:szCs w:val="20"/>
        </w:rPr>
        <w:t xml:space="preserve"> of underlying CVD</w:t>
      </w:r>
      <w:r w:rsidR="00256155">
        <w:rPr>
          <w:rFonts w:ascii="Arial" w:hAnsi="Arial" w:cs="Arial"/>
          <w:sz w:val="20"/>
          <w:szCs w:val="20"/>
        </w:rPr>
        <w:t xml:space="preserve"> </w:t>
      </w:r>
      <w:r w:rsidR="00256155">
        <w:rPr>
          <w:rFonts w:ascii="Arial" w:hAnsi="Arial" w:cs="Arial"/>
          <w:sz w:val="20"/>
          <w:szCs w:val="20"/>
        </w:rPr>
        <w:fldChar w:fldCharType="begin"/>
      </w:r>
      <w:r w:rsidR="00256155">
        <w:rPr>
          <w:rFonts w:ascii="Arial" w:hAnsi="Arial" w:cs="Arial"/>
          <w:sz w:val="20"/>
          <w:szCs w:val="20"/>
        </w:rPr>
        <w:instrText xml:space="preserve"> ADDIN ZOTERO_ITEM CSL_CITATION {"citationID":"QzRpPuYz","properties":{"formattedCitation":"(31, 32)","plainCitation":"(31, 32)","noteIndex":0},"citationItems":[{"id":289,"uris":["http://zotero.org/users/local/hHKggCUl/items/NWCF24N5"],"itemData":{"id":289,"type":"article-journal","abstract":"IMPORTANCE Income disparity between persons with the most resources (the top 20% of earners) and the remainder of the population in the United States has dramatically widened over the past few decades. Given the well-established association between income and health, this increasing income gap may provide insights into the dynamics of cardiovascular disease (CVD) burden among adults in the US.","container-title":"JAMA Network Open","DOI":"10.1001/jamanetworkopen.2020.18150","ISSN":"2574-3805","issue":"9","journalAbbreviation":"JAMA Netw Open","language":"en","page":"e2018150","source":"DOI.org (Crossref)","title":"Trends in Cardiovascular Disease Prevalence by Income Level in the United States","volume":"3","author":[{"family":"Abdalla","given":"Salma M."},{"family":"Yu","given":"Shui"},{"family":"Galea","given":"Sandro"}],"issued":{"date-parts":[["2020",9,25]]}}},{"id":287,"uris":["http://zotero.org/users/local/hHKggCUl/items/RELJDITE"],"itemData":{"id":287,"type":"article-journal","abstract":"Objective: To examine the association between income and cardiovascular disease (CVD) in community-dwelling older adults.\nMethods: Of the 5795 Medicare-eligible community-dwelling older Americans aged 65–100 years in the Cardiovascular Health Study (CHS), 4518 (78%) were free of baseline CVD, deﬁned as heart failure, acute myocardial infarction, stroke, or peripheral arterial disease. Of them, 1846 (41%) had lower income, deﬁned as a total annual household income &lt;$16,000. Using propensity scores for lower income, estimated for each of the 4518 participants, we assembled a matched cohort of 1078 pairs balanced on 42 baseline characteristics. Outcomes included centrally adjudicated incident CVD and mortality.\nResults: Matched participants (n = 2156) had a mean age of 73 years, 63% were women, and 13% African American. During an overall follow-up of 23 years, incident CVD, all-cause mortality and the combined endpoint of incident CVD or mortality occurred in 1094 (51%), 1726 (80%) and 1867 (87%) individuals, respectively. Compared with the higher income group, hazard ratio (HR) for time to the ﬁrst occurrence of incident CVD in the lower income group was 1.16 with a 95% conﬁdence interval (CI) of 1.03 to 1.31. A lower income was also associated with a signiﬁcantly higher risk of all-cause mortality (HR, 1.19; 95% CI, 1.08–1.30), and consequently a higher risk of the combined endpoint of incident CVD or death (HR, 1.20; 95% CI, 1.09–1.31).\nConclusion: Among community-dwelling older Americans free of baseline CVD, an annual household income &lt;$16,000 is independently associated with signiﬁcantly higher risks of new-onset CVD and death. © 2021 Published by Elsevier Inc.","container-title":"Progress in Cardiovascular Diseases","DOI":"10.1016/j.pcad.2021.07.010","ISSN":"00330620","journalAbbreviation":"Progress in Cardiovascular Diseases","language":"en","page":"92-99","source":"DOI.org (Crossref)","title":"Income disparity and incident cardiovascular disease in older Americans","volume":"71","author":[{"family":"Faselis","given":"Charles"},{"family":"Safren","given":"Lowell"},{"family":"Allman","given":"Richard M."},{"family":"Lam","given":"Phillip H."},{"family":"Brar","given":"Vijaywant"},{"family":"Morgan","given":"Charity J."},{"family":"Ahmed","given":"Amiya A."},{"family":"Deedwania","given":"Prakash"},{"family":"Alagiakrishnan","given":"Kannayiram"},{"family":"Sheikh","given":"Farooq H."},{"family":"Fonarow","given":"Gregg C."},{"family":"Ahmed","given":"Ali"}],"issued":{"date-parts":[["2022",3]]}}}],"schema":"https://github.com/citation-style-language/schema/raw/master/csl-citation.json"} </w:instrText>
      </w:r>
      <w:r w:rsidR="00256155">
        <w:rPr>
          <w:rFonts w:ascii="Arial" w:hAnsi="Arial" w:cs="Arial"/>
          <w:sz w:val="20"/>
          <w:szCs w:val="20"/>
        </w:rPr>
        <w:fldChar w:fldCharType="separate"/>
      </w:r>
      <w:r w:rsidR="00256155">
        <w:rPr>
          <w:rFonts w:ascii="Arial" w:hAnsi="Arial" w:cs="Arial"/>
          <w:noProof/>
          <w:sz w:val="20"/>
          <w:szCs w:val="20"/>
        </w:rPr>
        <w:t>(31, 32)</w:t>
      </w:r>
      <w:r w:rsidR="00256155">
        <w:rPr>
          <w:rFonts w:ascii="Arial" w:hAnsi="Arial" w:cs="Arial"/>
          <w:sz w:val="20"/>
          <w:szCs w:val="20"/>
        </w:rPr>
        <w:fldChar w:fldCharType="end"/>
      </w:r>
      <w:r w:rsidR="00812AE5">
        <w:rPr>
          <w:rFonts w:ascii="Arial" w:hAnsi="Arial" w:cs="Arial"/>
          <w:sz w:val="20"/>
          <w:szCs w:val="20"/>
        </w:rPr>
        <w:t>.</w:t>
      </w:r>
      <w:r w:rsidR="00B3553D">
        <w:rPr>
          <w:rFonts w:ascii="Arial" w:hAnsi="Arial" w:cs="Arial"/>
          <w:sz w:val="20"/>
          <w:szCs w:val="20"/>
        </w:rPr>
        <w:t xml:space="preserve"> This could explain the stronger effects of power outage on same-day CVD hospitalizations among those eligible for Medicaid. </w:t>
      </w:r>
      <w:r w:rsidR="00812AE5">
        <w:rPr>
          <w:rFonts w:ascii="Arial" w:hAnsi="Arial" w:cs="Arial"/>
          <w:sz w:val="20"/>
          <w:szCs w:val="20"/>
        </w:rPr>
        <w:t xml:space="preserve"> </w:t>
      </w:r>
      <w:r w:rsidR="0096214E">
        <w:rPr>
          <w:rFonts w:ascii="Arial" w:hAnsi="Arial" w:cs="Arial"/>
          <w:sz w:val="20"/>
          <w:szCs w:val="20"/>
        </w:rPr>
        <w:t xml:space="preserve"> </w:t>
      </w:r>
      <w:commentRangeEnd w:id="19"/>
      <w:r w:rsidR="00A800A9">
        <w:rPr>
          <w:rStyle w:val="CommentReference"/>
          <w:rFonts w:ascii="Times New Roman" w:eastAsia="Times New Roman" w:hAnsi="Times New Roman" w:cs="Times New Roman"/>
        </w:rPr>
        <w:commentReference w:id="19"/>
      </w:r>
    </w:p>
    <w:p w14:paraId="3289138A" w14:textId="11D9EBC2" w:rsidR="0097584B" w:rsidRPr="007040F4" w:rsidRDefault="0097584B" w:rsidP="00DD0F4D">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Second, DME users may be more prepared for outages compared to non-DME users, with greater access to generators or back 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all DME users may not be equally vulnerable to health effects from power outage. We measured county DME use based on how many Medicare beneficiaries used any type of DME, including wheelchairs, beds, oxygen equipment, ventilators, augmentative and alternative communication devices, and more. Certain types of DME use could indicate better access to health care, and higher adaptive capacity, but no data exists to support or refute this claim. Additionally, people using life-sustaining DME such as </w:t>
      </w:r>
      <w:r w:rsidRPr="007040F4">
        <w:rPr>
          <w:rFonts w:ascii="Arial" w:hAnsi="Arial" w:cs="Arial"/>
          <w:sz w:val="20"/>
          <w:szCs w:val="20"/>
        </w:rPr>
        <w:t>oxygen and ventilators may be more vulnerable to health effects from power outage than other DME users, but we were unable to separate this group out for analysis. Finally, the counts used to generate our DME use quartiles are based on the full Medicare population, while only Medicare Fee-For-Service beneficiaries comprise our study population. Using the same population to generate DME use quartiles would have been more informative, but we lacked the data to do so.</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4054C174"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In this study we measured county-level power outage, since no national finer-resolution power outage exposure data are available. We considered a county-day exposed to power </w:t>
      </w:r>
      <w:r w:rsidRPr="007040F4">
        <w:rPr>
          <w:rFonts w:ascii="Arial" w:hAnsi="Arial" w:cs="Arial"/>
          <w:sz w:val="20"/>
          <w:szCs w:val="20"/>
        </w:rPr>
        <w:lastRenderedPageBreak/>
        <w:t xml:space="preserve">outage if </w:t>
      </w:r>
      <w:r w:rsidRPr="007040F4">
        <w:rPr>
          <w:rFonts w:ascii="Arial" w:eastAsia="Garamond" w:hAnsi="Arial" w:cs="Arial"/>
          <w:sz w:val="20"/>
          <w:szCs w:val="20"/>
        </w:rPr>
        <w:t>≥</w:t>
      </w:r>
      <w:r w:rsidRPr="007040F4">
        <w:rPr>
          <w:rFonts w:ascii="Arial" w:hAnsi="Arial" w:cs="Arial"/>
          <w:sz w:val="20"/>
          <w:szCs w:val="20"/>
        </w:rPr>
        <w:t xml:space="preserve">1% of county customers were without power for 8+ consecutive hours, a definition that may have substantial exposure misclassification (up to 99% of customers may be unexposed on a power outage </w:t>
      </w:r>
      <w:commentRangeStart w:id="20"/>
      <w:r w:rsidRPr="007040F4">
        <w:rPr>
          <w:rFonts w:ascii="Arial" w:hAnsi="Arial" w:cs="Arial"/>
          <w:sz w:val="20"/>
          <w:szCs w:val="20"/>
        </w:rPr>
        <w:t>day</w:t>
      </w:r>
      <w:commentRangeEnd w:id="20"/>
      <w:r w:rsidR="00D16792">
        <w:rPr>
          <w:rStyle w:val="CommentReference"/>
          <w:rFonts w:ascii="Times New Roman" w:eastAsia="Times New Roman" w:hAnsi="Times New Roman" w:cs="Times New Roman"/>
        </w:rPr>
        <w:commentReference w:id="20"/>
      </w:r>
      <w:r w:rsidRPr="007040F4">
        <w:rPr>
          <w:rFonts w:ascii="Arial" w:hAnsi="Arial" w:cs="Arial"/>
          <w:sz w:val="20"/>
          <w:szCs w:val="20"/>
        </w:rPr>
        <w:t xml:space="preserve">). This misclassification has likely biased study results, the magnitude of bias remains unknown. Future studies could collaborate with utilities to obtain finer-resolution power outage data or use satellite imagery to identify exact outage boundaries of long-duration outages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Pr="007040F4">
        <w:rPr>
          <w:rFonts w:ascii="Arial" w:hAnsi="Arial" w:cs="Arial"/>
          <w:sz w:val="20"/>
          <w:szCs w:val="20"/>
        </w:rPr>
        <w:t>.</w:t>
      </w:r>
    </w:p>
    <w:p w14:paraId="78720E24" w14:textId="7709658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03D1242D"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amounts of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xml:space="preserve">. Many counties missing &gt;50% of exposure data were rural with low customer counts. Other studies of power outage and health have found differential effects of power outage on health by urban or rural status, with stronger effects of outages on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Because we excluded many rural counties, our results may not generalize to these areas.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099EC7BD"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national study of power outage exposure, we found that power outages were associated with increased CVD and respiratory hospitalization rates among 23 million older adult Medicare beneficiaries. We had adequate statistical power to detect effects of power outage on cardiorespiratory hospitalizations, making our results more precise and generalizable than studies limited to New York State. Beneficiaries in our study experienced broad exposure: they experienced on average seven power outages in 2018, a number that will 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w:t>
      </w:r>
      <w:r w:rsidRPr="007040F4">
        <w:rPr>
          <w:rFonts w:ascii="Arial" w:hAnsi="Arial" w:cs="Arial"/>
          <w:sz w:val="20"/>
          <w:szCs w:val="20"/>
        </w:rPr>
        <w:lastRenderedPageBreak/>
        <w:t>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 and December 31</w:t>
      </w:r>
      <w:r w:rsidRPr="001C6BC5">
        <w:rPr>
          <w:rFonts w:ascii="Arial" w:hAnsi="Arial" w:cs="Arial"/>
          <w:sz w:val="20"/>
          <w:szCs w:val="20"/>
          <w:vertAlign w:val="superscript"/>
        </w:rPr>
        <w:t>st</w:t>
      </w:r>
      <w:r w:rsidRPr="001C6BC5">
        <w:rPr>
          <w:rFonts w:ascii="Arial" w:hAnsi="Arial" w:cs="Arial"/>
          <w:sz w:val="20"/>
          <w:szCs w:val="20"/>
        </w:rPr>
        <w:t>, 2018. From the Medicare Beneficiary Summary File (MSBF), we obtained age, sex, 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0E95ACF3"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WIRB (single IRB for multi-site project), the Harvard T.H. Chan School of Public Health, and the Columbia University Mailman School of Public </w:t>
      </w:r>
      <w:commentRangeStart w:id="21"/>
      <w:r w:rsidRPr="001C6BC5">
        <w:rPr>
          <w:rFonts w:ascii="Arial" w:hAnsi="Arial" w:cs="Arial"/>
          <w:sz w:val="20"/>
          <w:szCs w:val="20"/>
        </w:rPr>
        <w:t>Health</w:t>
      </w:r>
      <w:commentRangeEnd w:id="21"/>
      <w:r w:rsidR="00654114">
        <w:rPr>
          <w:rStyle w:val="CommentReference"/>
          <w:rFonts w:ascii="Times New Roman" w:eastAsia="Times New Roman" w:hAnsi="Times New Roman" w:cs="Times New Roman"/>
        </w:rPr>
        <w:commentReference w:id="21"/>
      </w:r>
      <w:r w:rsidRPr="001C6BC5">
        <w:rPr>
          <w:rFonts w:ascii="Arial" w:hAnsi="Arial" w:cs="Arial"/>
          <w:sz w:val="20"/>
          <w:szCs w:val="20"/>
        </w:rPr>
        <w:t>.</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w:t>
      </w:r>
      <w:commentRangeStart w:id="22"/>
      <w:commentRangeStart w:id="23"/>
      <w:r w:rsidRPr="001C6BC5">
        <w:rPr>
          <w:rFonts w:ascii="Arial" w:hAnsi="Arial" w:cs="Arial"/>
          <w:sz w:val="20"/>
          <w:szCs w:val="20"/>
        </w:rPr>
        <w:t>for all US</w:t>
      </w:r>
      <w:commentRangeEnd w:id="22"/>
      <w:r w:rsidRPr="001C6BC5">
        <w:rPr>
          <w:rStyle w:val="CommentReference"/>
          <w:rFonts w:ascii="Arial" w:hAnsi="Arial" w:cs="Arial"/>
          <w:sz w:val="20"/>
          <w:szCs w:val="20"/>
        </w:rPr>
        <w:commentReference w:id="22"/>
      </w:r>
      <w:commentRangeEnd w:id="23"/>
      <w:r w:rsidRPr="001C6BC5">
        <w:rPr>
          <w:rStyle w:val="CommentReference"/>
          <w:rFonts w:ascii="Arial" w:hAnsi="Arial" w:cs="Arial"/>
          <w:sz w:val="20"/>
          <w:szCs w:val="20"/>
        </w:rPr>
        <w:commentReference w:id="23"/>
      </w:r>
      <w:r w:rsidRPr="001C6BC5">
        <w:rPr>
          <w:rFonts w:ascii="Arial" w:hAnsi="Arial" w:cs="Arial"/>
          <w:sz w:val="20"/>
          <w:szCs w:val="20"/>
        </w:rPr>
        <w:t xml:space="preserve">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w:t>
      </w:r>
      <w:r w:rsidRPr="001C6BC5">
        <w:rPr>
          <w:rFonts w:ascii="Arial" w:hAnsi="Arial" w:cs="Arial"/>
          <w:sz w:val="20"/>
          <w:szCs w:val="20"/>
        </w:rPr>
        <w:lastRenderedPageBreak/>
        <w:t xml:space="preserve">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w:t>
      </w:r>
      <w:commentRangeStart w:id="24"/>
      <w:commentRangeStart w:id="25"/>
      <w:r w:rsidRPr="001C6BC5">
        <w:rPr>
          <w:rFonts w:ascii="Arial" w:hAnsi="Arial" w:cs="Arial"/>
          <w:sz w:val="20"/>
          <w:szCs w:val="20"/>
        </w:rPr>
        <w:t>unreliable</w:t>
      </w:r>
      <w:commentRangeEnd w:id="24"/>
      <w:r w:rsidRPr="001C6BC5">
        <w:rPr>
          <w:rStyle w:val="CommentReference"/>
          <w:rFonts w:ascii="Arial" w:hAnsi="Arial" w:cs="Arial"/>
          <w:sz w:val="20"/>
          <w:szCs w:val="20"/>
        </w:rPr>
        <w:commentReference w:id="24"/>
      </w:r>
      <w:commentRangeEnd w:id="25"/>
      <w:r w:rsidRPr="001C6BC5">
        <w:rPr>
          <w:rStyle w:val="CommentReference"/>
          <w:rFonts w:ascii="Arial" w:hAnsi="Arial" w:cs="Arial"/>
          <w:sz w:val="20"/>
          <w:szCs w:val="20"/>
        </w:rPr>
        <w:commentReference w:id="25"/>
      </w:r>
      <w:r w:rsidRPr="001C6BC5">
        <w:rPr>
          <w:rFonts w:ascii="Arial" w:hAnsi="Arial" w:cs="Arial"/>
          <w:sz w:val="20"/>
          <w:szCs w:val="20"/>
        </w:rPr>
        <w:t xml:space="preserv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764CD9A8" w14:textId="4320E359" w:rsidR="001C6BC5" w:rsidRPr="001C6BC5" w:rsidRDefault="001C6BC5" w:rsidP="001C6BC5">
      <w:pPr>
        <w:spacing w:after="0" w:line="480" w:lineRule="auto"/>
        <w:ind w:firstLine="360"/>
        <w:rPr>
          <w:rFonts w:ascii="Arial" w:hAnsi="Arial" w:cs="Arial"/>
          <w:sz w:val="20"/>
          <w:szCs w:val="20"/>
        </w:rPr>
      </w:pPr>
      <w:commentRangeStart w:id="26"/>
      <w:r w:rsidRPr="00654114">
        <w:rPr>
          <w:rFonts w:ascii="Arial" w:hAnsi="Arial" w:cs="Arial"/>
          <w:sz w:val="20"/>
          <w:szCs w:val="20"/>
        </w:rPr>
        <w:t xml:space="preserve">Substantial exposure data were missing from the POUS dataset. The POUS dataset was created using web scraping, and some utilities do not have websites or their websites were offline during part or all of the study period.  Previously, we conducted a simulation study to test the impacts of this missing data on an epidemiologic study like the one we conducted herein </w:t>
      </w:r>
      <w:r w:rsidRPr="00654114">
        <w:rPr>
          <w:rFonts w:ascii="Arial" w:hAnsi="Arial" w:cs="Arial"/>
          <w:sz w:val="20"/>
          <w:szCs w:val="20"/>
        </w:rPr>
        <w:fldChar w:fldCharType="begin"/>
      </w:r>
      <w:r w:rsidR="00256155"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654114">
        <w:rPr>
          <w:rFonts w:ascii="Arial" w:hAnsi="Arial" w:cs="Arial"/>
          <w:sz w:val="20"/>
          <w:szCs w:val="20"/>
        </w:rPr>
        <w:fldChar w:fldCharType="separate"/>
      </w:r>
      <w:r w:rsidR="00256155" w:rsidRPr="00654114">
        <w:rPr>
          <w:rFonts w:ascii="Arial" w:hAnsi="Arial" w:cs="Arial"/>
          <w:noProof/>
          <w:sz w:val="20"/>
          <w:szCs w:val="20"/>
        </w:rPr>
        <w:t>(37)</w:t>
      </w:r>
      <w:r w:rsidRPr="00654114">
        <w:rPr>
          <w:rFonts w:ascii="Arial" w:hAnsi="Arial" w:cs="Arial"/>
          <w:sz w:val="20"/>
          <w:szCs w:val="20"/>
        </w:rPr>
        <w:fldChar w:fldCharType="end"/>
      </w:r>
      <w:r w:rsidRPr="00654114">
        <w:rPr>
          <w:rFonts w:ascii="Arial" w:hAnsi="Arial" w:cs="Arial"/>
          <w:sz w:val="20"/>
          <w:szCs w:val="20"/>
        </w:rPr>
        <w:t xml:space="preserve">. Based on the results of the simulation </w:t>
      </w:r>
      <w:proofErr w:type="gramStart"/>
      <w:r w:rsidRPr="00654114">
        <w:rPr>
          <w:rFonts w:ascii="Arial" w:hAnsi="Arial" w:cs="Arial"/>
          <w:sz w:val="20"/>
          <w:szCs w:val="20"/>
        </w:rPr>
        <w:t>study,</w:t>
      </w:r>
      <w:proofErr w:type="gramEnd"/>
      <w:r w:rsidRPr="00654114">
        <w:rPr>
          <w:rFonts w:ascii="Arial" w:hAnsi="Arial" w:cs="Arial"/>
          <w:sz w:val="20"/>
          <w:szCs w:val="20"/>
        </w:rPr>
        <w:t xml:space="preserve"> to balance potential bias and generalizability, we excluded counties with &gt;50% of county-hours missing in the POUS data (n=907 counties). After excluding counties with missing data, our analytic dataset included 2,161 counties (69%) covering 71.06% of 2018 Medicare beneficiaries (N = 23,622,770). On average, the remaining counties were missing 7% of power outage county-hours. Finally, when included counties were missing 4 or fewer hours of consecutive exposure data, we used last observation carried forward to impute those hours.</w:t>
      </w:r>
      <w:commentRangeEnd w:id="26"/>
      <w:r w:rsidR="00654114">
        <w:rPr>
          <w:rStyle w:val="CommentReference"/>
          <w:rFonts w:ascii="Times New Roman" w:eastAsia="Times New Roman" w:hAnsi="Times New Roman" w:cs="Times New Roman"/>
        </w:rPr>
        <w:commentReference w:id="26"/>
      </w:r>
    </w:p>
    <w:p w14:paraId="7D470753"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were interested in understanding the health impacts of prevalent moderate to large-scale power outages, not only large outages caused by disasters. Therefore, we considered a county-</w:t>
      </w:r>
      <w:r w:rsidRPr="001C6BC5">
        <w:rPr>
          <w:rFonts w:ascii="Arial" w:hAnsi="Arial" w:cs="Arial"/>
          <w:sz w:val="20"/>
          <w:szCs w:val="20"/>
        </w:rPr>
        <w:lastRenderedPageBreak/>
        <w:t xml:space="preserve">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45435223" w:rsidR="001C6BC5" w:rsidRPr="001C6BC5" w:rsidRDefault="001C6BC5" w:rsidP="001C6BC5">
      <w:pPr>
        <w:spacing w:after="0" w:line="480" w:lineRule="auto"/>
        <w:ind w:firstLine="360"/>
        <w:rPr>
          <w:rFonts w:ascii="Arial" w:hAnsi="Arial" w:cs="Arial"/>
          <w:sz w:val="20"/>
          <w:szCs w:val="20"/>
        </w:rPr>
      </w:pPr>
      <w:commentRangeStart w:id="27"/>
      <w:commentRangeStart w:id="28"/>
      <w:commentRangeStart w:id="29"/>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batteries for most electricity-dependent medical equipment last 8 </w:t>
      </w:r>
      <w:commentRangeStart w:id="30"/>
      <w:commentRangeStart w:id="31"/>
      <w:r w:rsidRPr="001C6BC5">
        <w:rPr>
          <w:rFonts w:ascii="Arial" w:hAnsi="Arial" w:cs="Arial"/>
          <w:sz w:val="20"/>
          <w:szCs w:val="20"/>
        </w:rPr>
        <w:t>hours</w:t>
      </w:r>
      <w:commentRangeEnd w:id="30"/>
      <w:r w:rsidRPr="001C6BC5">
        <w:rPr>
          <w:rStyle w:val="CommentReference"/>
          <w:rFonts w:ascii="Arial" w:hAnsi="Arial" w:cs="Arial"/>
          <w:sz w:val="20"/>
          <w:szCs w:val="20"/>
        </w:rPr>
        <w:commentReference w:id="30"/>
      </w:r>
      <w:commentRangeEnd w:id="31"/>
      <w:r w:rsidRPr="001C6BC5">
        <w:rPr>
          <w:rStyle w:val="CommentReference"/>
          <w:rFonts w:ascii="Arial" w:hAnsi="Arial" w:cs="Arial"/>
          <w:sz w:val="20"/>
          <w:szCs w:val="20"/>
        </w:rPr>
        <w:commentReference w:id="31"/>
      </w:r>
      <w:r w:rsidRPr="001C6BC5">
        <w:rPr>
          <w:rFonts w:ascii="Arial" w:hAnsi="Arial" w:cs="Arial"/>
          <w:sz w:val="20"/>
          <w:szCs w:val="20"/>
        </w:rPr>
        <w:t xml:space="preserve">. During </w:t>
      </w:r>
      <w:proofErr w:type="gramStart"/>
      <w:r w:rsidRPr="001C6BC5">
        <w:rPr>
          <w:rFonts w:ascii="Arial" w:hAnsi="Arial" w:cs="Arial"/>
          <w:sz w:val="20"/>
          <w:szCs w:val="20"/>
        </w:rPr>
        <w:t>a</w:t>
      </w:r>
      <w:proofErr w:type="gramEnd"/>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similar size outages, and found associations between outage exposure and cardiovascular and respiratory ED visits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20977C32"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showing health impacts of 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27"/>
      <w:r w:rsidRPr="001C6BC5">
        <w:rPr>
          <w:rStyle w:val="CommentReference"/>
          <w:rFonts w:ascii="Arial" w:hAnsi="Arial" w:cs="Arial"/>
          <w:sz w:val="20"/>
          <w:szCs w:val="20"/>
        </w:rPr>
        <w:commentReference w:id="27"/>
      </w:r>
      <w:commentRangeEnd w:id="28"/>
      <w:r w:rsidRPr="001C6BC5">
        <w:rPr>
          <w:rStyle w:val="CommentReference"/>
          <w:rFonts w:ascii="Arial" w:hAnsi="Arial" w:cs="Arial"/>
          <w:sz w:val="20"/>
          <w:szCs w:val="20"/>
        </w:rPr>
        <w:commentReference w:id="28"/>
      </w:r>
      <w:commentRangeEnd w:id="29"/>
      <w:r w:rsidRPr="001C6BC5">
        <w:rPr>
          <w:rStyle w:val="CommentReference"/>
          <w:rFonts w:ascii="Arial" w:hAnsi="Arial" w:cs="Arial"/>
          <w:sz w:val="20"/>
          <w:szCs w:val="20"/>
        </w:rPr>
        <w:commentReference w:id="29"/>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5241D71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32"/>
      <w:r w:rsidRPr="001C6BC5">
        <w:rPr>
          <w:rFonts w:ascii="Arial" w:hAnsi="Arial" w:cs="Arial"/>
          <w:sz w:val="20"/>
          <w:szCs w:val="20"/>
        </w:rPr>
        <w:t>model</w:t>
      </w:r>
      <w:commentRangeEnd w:id="32"/>
      <w:r w:rsidRPr="001C6BC5">
        <w:rPr>
          <w:rStyle w:val="CommentReference"/>
          <w:rFonts w:ascii="Arial" w:hAnsi="Arial" w:cs="Arial"/>
          <w:sz w:val="20"/>
          <w:szCs w:val="20"/>
        </w:rPr>
        <w:commentReference w:id="32"/>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w:t>
      </w:r>
      <w:r w:rsidRPr="001C6BC5">
        <w:rPr>
          <w:rFonts w:ascii="Arial" w:hAnsi="Arial" w:cs="Arial"/>
          <w:sz w:val="20"/>
          <w:szCs w:val="20"/>
        </w:rPr>
        <w:lastRenderedPageBreak/>
        <w:t xml:space="preserve">for time-invariant confounders such as county-level socioeconomic characteristics, which could affect both hospitalization rates and power outage rates, as well as seasonal and day-of-week trends. </w:t>
      </w:r>
    </w:p>
    <w:p w14:paraId="7818D228" w14:textId="4537C9D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(wind speed was 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xml:space="preserve">. We included maximal temperature flexibly in our models as a natural spline with 3 degrees of freedom, based on the known non-linear relationship between temperature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To determine how flexibly to control for wind speed and precipitation, we examined the relationships between precipitation, wind speed,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precipitation linearly, and in CVD models, with 2 degrees of freedom. We modelled wind speed with 3 degrees of freedom across both outcomes. </w:t>
      </w:r>
    </w:p>
    <w:p w14:paraId="6B43437C" w14:textId="2DA1490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w:t>
      </w:r>
      <w:commentRangeStart w:id="33"/>
      <w:commentRangeStart w:id="34"/>
      <w:r w:rsidRPr="001C6BC5">
        <w:rPr>
          <w:rFonts w:ascii="Arial" w:hAnsi="Arial" w:cs="Arial"/>
          <w:sz w:val="20"/>
          <w:szCs w:val="20"/>
        </w:rPr>
        <w:t>Power outage exposure was moderately autocorrelated (</w:t>
      </w:r>
      <m:oMath>
        <m:r>
          <w:rPr>
            <w:rFonts w:ascii="Cambria Math" w:hAnsi="Cambria Math" w:cs="Arial"/>
            <w:sz w:val="20"/>
            <w:szCs w:val="20"/>
          </w:rPr>
          <m:t>ρ</m:t>
        </m:r>
      </m:oMath>
      <w:r w:rsidRPr="001C6BC5">
        <w:rPr>
          <w:rFonts w:ascii="Arial" w:hAnsi="Arial" w:cs="Arial"/>
          <w:sz w:val="20"/>
          <w:szCs w:val="20"/>
        </w:rPr>
        <w:t xml:space="preserve"> = 0.2). </w:t>
      </w:r>
      <w:commentRangeEnd w:id="33"/>
      <w:r w:rsidRPr="001C6BC5">
        <w:rPr>
          <w:rStyle w:val="CommentReference"/>
          <w:rFonts w:ascii="Arial" w:hAnsi="Arial" w:cs="Arial"/>
          <w:sz w:val="20"/>
          <w:szCs w:val="20"/>
        </w:rPr>
        <w:commentReference w:id="33"/>
      </w:r>
      <w:commentRangeEnd w:id="34"/>
      <w:r w:rsidRPr="001C6BC5">
        <w:rPr>
          <w:rStyle w:val="CommentReference"/>
          <w:rFonts w:ascii="Arial" w:hAnsi="Arial" w:cs="Arial"/>
          <w:sz w:val="20"/>
          <w:szCs w:val="20"/>
        </w:rPr>
        <w:commentReference w:id="34"/>
      </w:r>
      <w:commentRangeStart w:id="35"/>
      <w:commentRangeStart w:id="36"/>
      <w:commentRangeStart w:id="37"/>
      <w:r w:rsidRPr="001C6BC5">
        <w:rPr>
          <w:rFonts w:ascii="Arial" w:hAnsi="Arial" w:cs="Arial"/>
          <w:sz w:val="20"/>
          <w:szCs w:val="20"/>
        </w:rPr>
        <w:t xml:space="preserve">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w:t>
      </w:r>
      <w:commentRangeEnd w:id="35"/>
      <w:r w:rsidRPr="001C6BC5">
        <w:rPr>
          <w:rStyle w:val="CommentReference"/>
          <w:rFonts w:ascii="Arial" w:hAnsi="Arial" w:cs="Arial"/>
          <w:sz w:val="20"/>
          <w:szCs w:val="20"/>
        </w:rPr>
        <w:commentReference w:id="35"/>
      </w:r>
      <w:commentRangeEnd w:id="36"/>
      <w:r w:rsidRPr="001C6BC5">
        <w:rPr>
          <w:rStyle w:val="CommentReference"/>
          <w:rFonts w:ascii="Arial" w:hAnsi="Arial" w:cs="Arial"/>
          <w:sz w:val="20"/>
          <w:szCs w:val="20"/>
        </w:rPr>
        <w:commentReference w:id="36"/>
      </w:r>
      <w:commentRangeEnd w:id="37"/>
      <w:r w:rsidRPr="001C6BC5">
        <w:rPr>
          <w:rStyle w:val="CommentReference"/>
          <w:rFonts w:ascii="Arial" w:hAnsi="Arial" w:cs="Arial"/>
          <w:sz w:val="20"/>
          <w:szCs w:val="20"/>
        </w:rPr>
        <w:commentReference w:id="37"/>
      </w:r>
      <w:r w:rsidRPr="001C6BC5">
        <w:rPr>
          <w:rFonts w:ascii="Arial" w:hAnsi="Arial" w:cs="Arial"/>
          <w:sz w:val="20"/>
          <w:szCs w:val="20"/>
        </w:rPr>
        <w:t xml:space="preserve">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commentRangeStart w:id="38"/>
      <w:commentRangeStart w:id="39"/>
      <w:commentRangeEnd w:id="38"/>
      <w:r w:rsidRPr="001C6BC5">
        <w:rPr>
          <w:rStyle w:val="CommentReference"/>
          <w:rFonts w:ascii="Arial" w:hAnsi="Arial" w:cs="Arial"/>
          <w:sz w:val="20"/>
          <w:szCs w:val="20"/>
        </w:rPr>
        <w:commentReference w:id="38"/>
      </w:r>
      <w:commentRangeEnd w:id="39"/>
      <w:r w:rsidRPr="001C6BC5">
        <w:rPr>
          <w:rStyle w:val="CommentReference"/>
          <w:rFonts w:ascii="Arial" w:hAnsi="Arial" w:cs="Arial"/>
          <w:sz w:val="20"/>
          <w:szCs w:val="20"/>
        </w:rPr>
        <w:commentReference w:id="39"/>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 like the models described above. To test for threshold effects, we compared models with a linear exposure-response function to those with a natural spline exposure-response function with 3 degrees of freedom. We also tested models with 3-6 degrees of freedom on the lag dimension, and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4260D72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female; there is no gender reporting or option to record sex as intersex in CMS records)</w:t>
      </w:r>
      <w:r w:rsidR="0070290C">
        <w:rPr>
          <w:rFonts w:ascii="Arial" w:hAnsi="Arial" w:cs="Arial"/>
          <w:sz w:val="20"/>
          <w:szCs w:val="20"/>
        </w:rPr>
        <w:t>, 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 and stratified analyses by quartile,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xml:space="preserve">, which provides the number of Medicare beneficiaries (all, including Fee-For-Service, Medicare Advantage, and those &lt;65) using DME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020AFE0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1C6BC5">
        <w:rPr>
          <w:rFonts w:ascii="Arial" w:hAnsi="Arial" w:cs="Arial"/>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splines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1C6BC5">
        <w:rPr>
          <w:rFonts w:ascii="Arial" w:hAnsi="Arial" w:cs="Arial"/>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Institute on Aging grant R01AG071024 (JAC) </w:t>
      </w:r>
    </w:p>
    <w:p w14:paraId="2C8AF9E8"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lastRenderedPageBreak/>
        <w:t>National Institute of Environmental Health Sciences grant P30ES007033 (JAC)</w:t>
      </w:r>
    </w:p>
    <w:p w14:paraId="6AA20794"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R01ES034021 (DM)</w:t>
      </w:r>
    </w:p>
    <w:p w14:paraId="6509B1D9"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R01AG066793 (DM)</w:t>
      </w:r>
    </w:p>
    <w:p w14:paraId="3FF8C00D"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 AG093975 (MAK)</w:t>
      </w:r>
    </w:p>
    <w:p w14:paraId="44EC93FB"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 ES009089 (MAK)</w:t>
      </w:r>
    </w:p>
    <w:p w14:paraId="42F5D52E"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 for Health Research Doctoral Foreign Study Award (HM)</w:t>
      </w:r>
    </w:p>
    <w:p w14:paraId="557C004D" w14:textId="6C002D1C"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(NHLBI)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3EAB21F4" w14:textId="5402556D" w:rsidR="00E6133D" w:rsidRPr="000251BB" w:rsidRDefault="00E6133D" w:rsidP="00E6133D">
      <w:pPr>
        <w:pBdr>
          <w:top w:val="nil"/>
          <w:left w:val="nil"/>
          <w:bottom w:val="nil"/>
          <w:right w:val="nil"/>
          <w:between w:val="nil"/>
        </w:pBdr>
        <w:contextualSpacing/>
        <w:rPr>
          <w:rFonts w:ascii="Arial" w:hAnsi="Arial" w:cs="Arial"/>
          <w:color w:val="000000"/>
          <w:sz w:val="20"/>
          <w:szCs w:val="20"/>
        </w:rPr>
      </w:pPr>
      <w:r w:rsidRPr="000251BB">
        <w:rPr>
          <w:rFonts w:ascii="Arial" w:hAnsi="Arial" w:cs="Arial"/>
          <w:b/>
          <w:color w:val="000000"/>
          <w:sz w:val="20"/>
          <w:szCs w:val="20"/>
        </w:rPr>
        <w:t>References</w:t>
      </w:r>
    </w:p>
    <w:p w14:paraId="46426A40" w14:textId="5614BB5B" w:rsidR="00E6133D" w:rsidRDefault="00E6133D" w:rsidP="00E6133D">
      <w:pPr>
        <w:pBdr>
          <w:top w:val="nil"/>
          <w:left w:val="nil"/>
          <w:bottom w:val="nil"/>
          <w:right w:val="nil"/>
          <w:between w:val="nil"/>
        </w:pBdr>
        <w:contextualSpacing/>
        <w:rPr>
          <w:rFonts w:ascii="Arial" w:hAnsi="Arial" w:cs="Arial"/>
          <w:color w:val="000000"/>
          <w:sz w:val="20"/>
          <w:szCs w:val="20"/>
        </w:rPr>
      </w:pPr>
    </w:p>
    <w:p w14:paraId="7B7280DC" w14:textId="77777777" w:rsidR="00E80AD6" w:rsidRPr="00E80AD6" w:rsidRDefault="00E80AD6" w:rsidP="00E80AD6">
      <w:pPr>
        <w:pStyle w:val="Bibliography"/>
        <w:rPr>
          <w:rFonts w:ascii="Arial" w:hAnsi="Arial" w:cs="Arial"/>
          <w:color w:val="000000"/>
          <w:sz w:val="20"/>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E80AD6">
        <w:rPr>
          <w:rFonts w:ascii="Arial" w:hAnsi="Arial" w:cs="Arial"/>
          <w:color w:val="000000"/>
          <w:sz w:val="20"/>
        </w:rPr>
        <w:t xml:space="preserve">1. </w:t>
      </w:r>
      <w:r w:rsidRPr="00E80AD6">
        <w:rPr>
          <w:rFonts w:ascii="Arial" w:hAnsi="Arial" w:cs="Arial"/>
          <w:color w:val="000000"/>
          <w:sz w:val="20"/>
        </w:rPr>
        <w:tab/>
        <w:t>Climate Central, Weather-related Power Outages Rising. (2024). Available at: https://www.climatecentral.org/climate-matters/weather-related-power-outages-rising [Accessed 5 December 2024].</w:t>
      </w:r>
    </w:p>
    <w:p w14:paraId="72C667F0"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 </w:t>
      </w:r>
      <w:r w:rsidRPr="00E80AD6">
        <w:rPr>
          <w:rFonts w:ascii="Arial" w:hAnsi="Arial" w:cs="Arial"/>
          <w:color w:val="000000"/>
          <w:sz w:val="20"/>
        </w:rPr>
        <w:tab/>
        <w:t>U.S. Energy Information Administration, U.S. electricity customers experienced eight hours of power interruptions in 2020. (2021). Available at: https://www.eia.gov/todayinenergy/detail.php?id=50316# [Accessed 5 December 2024].</w:t>
      </w:r>
    </w:p>
    <w:p w14:paraId="408E514E"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 </w:t>
      </w:r>
      <w:r w:rsidRPr="00E80AD6">
        <w:rPr>
          <w:rFonts w:ascii="Arial" w:hAnsi="Arial" w:cs="Arial"/>
          <w:color w:val="000000"/>
          <w:sz w:val="20"/>
        </w:rPr>
        <w:tab/>
        <w:t xml:space="preserve">J. A. Casey, M. </w:t>
      </w:r>
      <w:proofErr w:type="spellStart"/>
      <w:r w:rsidRPr="00E80AD6">
        <w:rPr>
          <w:rFonts w:ascii="Arial" w:hAnsi="Arial" w:cs="Arial"/>
          <w:color w:val="000000"/>
          <w:sz w:val="20"/>
        </w:rPr>
        <w:t>Fukurai</w:t>
      </w:r>
      <w:proofErr w:type="spellEnd"/>
      <w:r w:rsidRPr="00E80AD6">
        <w:rPr>
          <w:rFonts w:ascii="Arial" w:hAnsi="Arial" w:cs="Arial"/>
          <w:color w:val="000000"/>
          <w:sz w:val="20"/>
        </w:rPr>
        <w:t xml:space="preserve">, D. Hernández, S. </w:t>
      </w:r>
      <w:proofErr w:type="spellStart"/>
      <w:r w:rsidRPr="00E80AD6">
        <w:rPr>
          <w:rFonts w:ascii="Arial" w:hAnsi="Arial" w:cs="Arial"/>
          <w:color w:val="000000"/>
          <w:sz w:val="20"/>
        </w:rPr>
        <w:t>Balsari</w:t>
      </w:r>
      <w:proofErr w:type="spellEnd"/>
      <w:r w:rsidRPr="00E80AD6">
        <w:rPr>
          <w:rFonts w:ascii="Arial" w:hAnsi="Arial" w:cs="Arial"/>
          <w:color w:val="000000"/>
          <w:sz w:val="20"/>
        </w:rPr>
        <w:t xml:space="preserve">, M. V. Kiang, Power Outages and Community Health: </w:t>
      </w:r>
      <w:proofErr w:type="gramStart"/>
      <w:r w:rsidRPr="00E80AD6">
        <w:rPr>
          <w:rFonts w:ascii="Arial" w:hAnsi="Arial" w:cs="Arial"/>
          <w:color w:val="000000"/>
          <w:sz w:val="20"/>
        </w:rPr>
        <w:t>a</w:t>
      </w:r>
      <w:proofErr w:type="gramEnd"/>
      <w:r w:rsidRPr="00E80AD6">
        <w:rPr>
          <w:rFonts w:ascii="Arial" w:hAnsi="Arial" w:cs="Arial"/>
          <w:color w:val="000000"/>
          <w:sz w:val="20"/>
        </w:rPr>
        <w:t xml:space="preserve"> Narrative Review. </w:t>
      </w:r>
      <w:r w:rsidRPr="00E80AD6">
        <w:rPr>
          <w:rFonts w:ascii="Arial" w:hAnsi="Arial" w:cs="Arial"/>
          <w:i/>
          <w:iCs/>
          <w:color w:val="000000"/>
          <w:sz w:val="20"/>
        </w:rPr>
        <w:t xml:space="preserve">Curr </w:t>
      </w:r>
      <w:proofErr w:type="spellStart"/>
      <w:r w:rsidRPr="00E80AD6">
        <w:rPr>
          <w:rFonts w:ascii="Arial" w:hAnsi="Arial" w:cs="Arial"/>
          <w:i/>
          <w:iCs/>
          <w:color w:val="000000"/>
          <w:sz w:val="20"/>
        </w:rPr>
        <w:t>Envir</w:t>
      </w:r>
      <w:proofErr w:type="spellEnd"/>
      <w:r w:rsidRPr="00E80AD6">
        <w:rPr>
          <w:rFonts w:ascii="Arial" w:hAnsi="Arial" w:cs="Arial"/>
          <w:i/>
          <w:iCs/>
          <w:color w:val="000000"/>
          <w:sz w:val="20"/>
        </w:rPr>
        <w:t xml:space="preserve"> Health </w:t>
      </w:r>
      <w:proofErr w:type="spellStart"/>
      <w:r w:rsidRPr="00E80AD6">
        <w:rPr>
          <w:rFonts w:ascii="Arial" w:hAnsi="Arial" w:cs="Arial"/>
          <w:i/>
          <w:iCs/>
          <w:color w:val="000000"/>
          <w:sz w:val="20"/>
        </w:rPr>
        <w:t>Rpt</w:t>
      </w:r>
      <w:proofErr w:type="spellEnd"/>
      <w:r w:rsidRPr="00E80AD6">
        <w:rPr>
          <w:rFonts w:ascii="Arial" w:hAnsi="Arial" w:cs="Arial"/>
          <w:color w:val="000000"/>
          <w:sz w:val="20"/>
        </w:rPr>
        <w:t xml:space="preserve"> </w:t>
      </w:r>
      <w:r w:rsidRPr="00E80AD6">
        <w:rPr>
          <w:rFonts w:ascii="Arial" w:hAnsi="Arial" w:cs="Arial"/>
          <w:b/>
          <w:bCs/>
          <w:color w:val="000000"/>
          <w:sz w:val="20"/>
        </w:rPr>
        <w:t>7</w:t>
      </w:r>
      <w:r w:rsidRPr="00E80AD6">
        <w:rPr>
          <w:rFonts w:ascii="Arial" w:hAnsi="Arial" w:cs="Arial"/>
          <w:color w:val="000000"/>
          <w:sz w:val="20"/>
        </w:rPr>
        <w:t>, 371–383 (2020).</w:t>
      </w:r>
    </w:p>
    <w:p w14:paraId="2ED20590"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 </w:t>
      </w:r>
      <w:r w:rsidRPr="00E80AD6">
        <w:rPr>
          <w:rFonts w:ascii="Arial" w:hAnsi="Arial" w:cs="Arial"/>
          <w:color w:val="000000"/>
          <w:sz w:val="20"/>
        </w:rPr>
        <w:tab/>
        <w:t>The US has more power outages than any other developed country. Here’s why. (2020). Available at: https://www.popsci.com/story/environment/why-us-lose-power-storms/ [Accessed 5 December 2024].</w:t>
      </w:r>
    </w:p>
    <w:p w14:paraId="4A2C3230"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5. </w:t>
      </w:r>
      <w:r w:rsidRPr="00E80AD6">
        <w:rPr>
          <w:rFonts w:ascii="Arial" w:hAnsi="Arial" w:cs="Arial"/>
          <w:color w:val="000000"/>
          <w:sz w:val="20"/>
        </w:rPr>
        <w:tab/>
        <w:t xml:space="preserve">V. Do, </w:t>
      </w:r>
      <w:r w:rsidRPr="00E80AD6">
        <w:rPr>
          <w:rFonts w:ascii="Arial" w:hAnsi="Arial" w:cs="Arial"/>
          <w:i/>
          <w:iCs/>
          <w:color w:val="000000"/>
          <w:sz w:val="20"/>
        </w:rPr>
        <w:t>et al.</w:t>
      </w:r>
      <w:r w:rsidRPr="00E80AD6">
        <w:rPr>
          <w:rFonts w:ascii="Arial" w:hAnsi="Arial" w:cs="Arial"/>
          <w:color w:val="000000"/>
          <w:sz w:val="20"/>
        </w:rPr>
        <w:t xml:space="preserve">, Spatiotemporal distribution of power outages with climate events and social vulnerability in the USA. </w:t>
      </w:r>
      <w:r w:rsidRPr="00E80AD6">
        <w:rPr>
          <w:rFonts w:ascii="Arial" w:hAnsi="Arial" w:cs="Arial"/>
          <w:i/>
          <w:iCs/>
          <w:color w:val="000000"/>
          <w:sz w:val="20"/>
        </w:rPr>
        <w:t>Nat Commun</w:t>
      </w:r>
      <w:r w:rsidRPr="00E80AD6">
        <w:rPr>
          <w:rFonts w:ascii="Arial" w:hAnsi="Arial" w:cs="Arial"/>
          <w:color w:val="000000"/>
          <w:sz w:val="20"/>
        </w:rPr>
        <w:t xml:space="preserve"> </w:t>
      </w:r>
      <w:r w:rsidRPr="00E80AD6">
        <w:rPr>
          <w:rFonts w:ascii="Arial" w:hAnsi="Arial" w:cs="Arial"/>
          <w:b/>
          <w:bCs/>
          <w:color w:val="000000"/>
          <w:sz w:val="20"/>
        </w:rPr>
        <w:t>14</w:t>
      </w:r>
      <w:r w:rsidRPr="00E80AD6">
        <w:rPr>
          <w:rFonts w:ascii="Arial" w:hAnsi="Arial" w:cs="Arial"/>
          <w:color w:val="000000"/>
          <w:sz w:val="20"/>
        </w:rPr>
        <w:t>, 2470 (2023).</w:t>
      </w:r>
    </w:p>
    <w:p w14:paraId="1C8E4337"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6. </w:t>
      </w:r>
      <w:r w:rsidRPr="00E80AD6">
        <w:rPr>
          <w:rFonts w:ascii="Arial" w:hAnsi="Arial" w:cs="Arial"/>
          <w:color w:val="000000"/>
          <w:sz w:val="20"/>
        </w:rPr>
        <w:tab/>
        <w:t>United States Environmental Protection Agency, Climate Change Impacts on Energy.</w:t>
      </w:r>
    </w:p>
    <w:p w14:paraId="18B55E6A"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7. </w:t>
      </w:r>
      <w:r w:rsidRPr="00E80AD6">
        <w:rPr>
          <w:rFonts w:ascii="Arial" w:hAnsi="Arial" w:cs="Arial"/>
          <w:color w:val="000000"/>
          <w:sz w:val="20"/>
        </w:rPr>
        <w:tab/>
        <w:t>Washington Post, Nation at risk of winter blackouts as power grid remains under strain.</w:t>
      </w:r>
    </w:p>
    <w:p w14:paraId="00F3BC4A"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8. </w:t>
      </w:r>
      <w:r w:rsidRPr="00E80AD6">
        <w:rPr>
          <w:rFonts w:ascii="Arial" w:hAnsi="Arial" w:cs="Arial"/>
          <w:color w:val="000000"/>
          <w:sz w:val="20"/>
        </w:rPr>
        <w:tab/>
        <w:t xml:space="preserve">M. Mango, J. A. Casey, D. Hernández, Resilient Power: A home-based electricity generation and storage solution for the medically vulnerable during climate-induced power outages. </w:t>
      </w:r>
      <w:r w:rsidRPr="00E80AD6">
        <w:rPr>
          <w:rFonts w:ascii="Arial" w:hAnsi="Arial" w:cs="Arial"/>
          <w:i/>
          <w:iCs/>
          <w:color w:val="000000"/>
          <w:sz w:val="20"/>
        </w:rPr>
        <w:t>Futures</w:t>
      </w:r>
      <w:r w:rsidRPr="00E80AD6">
        <w:rPr>
          <w:rFonts w:ascii="Arial" w:hAnsi="Arial" w:cs="Arial"/>
          <w:color w:val="000000"/>
          <w:sz w:val="20"/>
        </w:rPr>
        <w:t xml:space="preserve"> </w:t>
      </w:r>
      <w:r w:rsidRPr="00E80AD6">
        <w:rPr>
          <w:rFonts w:ascii="Arial" w:hAnsi="Arial" w:cs="Arial"/>
          <w:b/>
          <w:bCs/>
          <w:color w:val="000000"/>
          <w:sz w:val="20"/>
        </w:rPr>
        <w:t>128</w:t>
      </w:r>
      <w:r w:rsidRPr="00E80AD6">
        <w:rPr>
          <w:rFonts w:ascii="Arial" w:hAnsi="Arial" w:cs="Arial"/>
          <w:color w:val="000000"/>
          <w:sz w:val="20"/>
        </w:rPr>
        <w:t>, 102707 (2021).</w:t>
      </w:r>
    </w:p>
    <w:p w14:paraId="218B03B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9. </w:t>
      </w:r>
      <w:r w:rsidRPr="00E80AD6">
        <w:rPr>
          <w:rFonts w:ascii="Arial" w:hAnsi="Arial" w:cs="Arial"/>
          <w:color w:val="000000"/>
          <w:sz w:val="20"/>
        </w:rPr>
        <w:tab/>
        <w:t xml:space="preserve">B. Stone, </w:t>
      </w:r>
      <w:r w:rsidRPr="00E80AD6">
        <w:rPr>
          <w:rFonts w:ascii="Arial" w:hAnsi="Arial" w:cs="Arial"/>
          <w:i/>
          <w:iCs/>
          <w:color w:val="000000"/>
          <w:sz w:val="20"/>
        </w:rPr>
        <w:t>et al.</w:t>
      </w:r>
      <w:r w:rsidRPr="00E80AD6">
        <w:rPr>
          <w:rFonts w:ascii="Arial" w:hAnsi="Arial" w:cs="Arial"/>
          <w:color w:val="000000"/>
          <w:sz w:val="20"/>
        </w:rPr>
        <w:t xml:space="preserve">, Compound Climate and Infrastructure Events: How Electrical Grid Failure Alters Heat Wave Risk. </w:t>
      </w:r>
      <w:r w:rsidRPr="00E80AD6">
        <w:rPr>
          <w:rFonts w:ascii="Arial" w:hAnsi="Arial" w:cs="Arial"/>
          <w:i/>
          <w:iCs/>
          <w:color w:val="000000"/>
          <w:sz w:val="20"/>
        </w:rPr>
        <w:t>Environ. Sci. Technol.</w:t>
      </w:r>
      <w:r w:rsidRPr="00E80AD6">
        <w:rPr>
          <w:rFonts w:ascii="Arial" w:hAnsi="Arial" w:cs="Arial"/>
          <w:color w:val="000000"/>
          <w:sz w:val="20"/>
        </w:rPr>
        <w:t xml:space="preserve"> </w:t>
      </w:r>
      <w:r w:rsidRPr="00E80AD6">
        <w:rPr>
          <w:rFonts w:ascii="Arial" w:hAnsi="Arial" w:cs="Arial"/>
          <w:b/>
          <w:bCs/>
          <w:color w:val="000000"/>
          <w:sz w:val="20"/>
        </w:rPr>
        <w:t>55</w:t>
      </w:r>
      <w:r w:rsidRPr="00E80AD6">
        <w:rPr>
          <w:rFonts w:ascii="Arial" w:hAnsi="Arial" w:cs="Arial"/>
          <w:color w:val="000000"/>
          <w:sz w:val="20"/>
        </w:rPr>
        <w:t>, 6957–6964 (2021).</w:t>
      </w:r>
    </w:p>
    <w:p w14:paraId="6D19D94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10. </w:t>
      </w:r>
      <w:r w:rsidRPr="00E80AD6">
        <w:rPr>
          <w:rFonts w:ascii="Arial" w:hAnsi="Arial" w:cs="Arial"/>
          <w:color w:val="000000"/>
          <w:sz w:val="20"/>
        </w:rPr>
        <w:tab/>
        <w:t xml:space="preserve">A. R. Nunes, General and specified vulnerability to extreme temperatures among older adults. </w:t>
      </w:r>
      <w:r w:rsidRPr="00E80AD6">
        <w:rPr>
          <w:rFonts w:ascii="Arial" w:hAnsi="Arial" w:cs="Arial"/>
          <w:i/>
          <w:iCs/>
          <w:color w:val="000000"/>
          <w:sz w:val="20"/>
        </w:rPr>
        <w:t>International Journal of Environmental Health Research</w:t>
      </w:r>
      <w:r w:rsidRPr="00E80AD6">
        <w:rPr>
          <w:rFonts w:ascii="Arial" w:hAnsi="Arial" w:cs="Arial"/>
          <w:color w:val="000000"/>
          <w:sz w:val="20"/>
        </w:rPr>
        <w:t xml:space="preserve"> </w:t>
      </w:r>
      <w:r w:rsidRPr="00E80AD6">
        <w:rPr>
          <w:rFonts w:ascii="Arial" w:hAnsi="Arial" w:cs="Arial"/>
          <w:b/>
          <w:bCs/>
          <w:color w:val="000000"/>
          <w:sz w:val="20"/>
        </w:rPr>
        <w:t>30</w:t>
      </w:r>
      <w:r w:rsidRPr="00E80AD6">
        <w:rPr>
          <w:rFonts w:ascii="Arial" w:hAnsi="Arial" w:cs="Arial"/>
          <w:color w:val="000000"/>
          <w:sz w:val="20"/>
        </w:rPr>
        <w:t>, 515–532 (2020).</w:t>
      </w:r>
    </w:p>
    <w:p w14:paraId="13B213D6"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11. </w:t>
      </w:r>
      <w:r w:rsidRPr="00E80AD6">
        <w:rPr>
          <w:rFonts w:ascii="Arial" w:hAnsi="Arial" w:cs="Arial"/>
          <w:color w:val="000000"/>
          <w:sz w:val="20"/>
        </w:rPr>
        <w:tab/>
        <w:t xml:space="preserve">T. </w:t>
      </w:r>
      <w:proofErr w:type="spellStart"/>
      <w:r w:rsidRPr="00E80AD6">
        <w:rPr>
          <w:rFonts w:ascii="Arial" w:hAnsi="Arial" w:cs="Arial"/>
          <w:color w:val="000000"/>
          <w:sz w:val="20"/>
        </w:rPr>
        <w:t>Benmarhnia</w:t>
      </w:r>
      <w:proofErr w:type="spellEnd"/>
      <w:r w:rsidRPr="00E80AD6">
        <w:rPr>
          <w:rFonts w:ascii="Arial" w:hAnsi="Arial" w:cs="Arial"/>
          <w:color w:val="000000"/>
          <w:sz w:val="20"/>
        </w:rPr>
        <w:t xml:space="preserve">, S. </w:t>
      </w:r>
      <w:proofErr w:type="spellStart"/>
      <w:r w:rsidRPr="00E80AD6">
        <w:rPr>
          <w:rFonts w:ascii="Arial" w:hAnsi="Arial" w:cs="Arial"/>
          <w:color w:val="000000"/>
          <w:sz w:val="20"/>
        </w:rPr>
        <w:t>Deguen</w:t>
      </w:r>
      <w:proofErr w:type="spellEnd"/>
      <w:r w:rsidRPr="00E80AD6">
        <w:rPr>
          <w:rFonts w:ascii="Arial" w:hAnsi="Arial" w:cs="Arial"/>
          <w:color w:val="000000"/>
          <w:sz w:val="20"/>
        </w:rPr>
        <w:t xml:space="preserve">, J. S. Kaufman, A. Smargiassi, Review Article: Vulnerability to Heat-related Mortality. </w:t>
      </w:r>
      <w:r w:rsidRPr="00E80AD6">
        <w:rPr>
          <w:rFonts w:ascii="Arial" w:hAnsi="Arial" w:cs="Arial"/>
          <w:i/>
          <w:iCs/>
          <w:color w:val="000000"/>
          <w:sz w:val="20"/>
        </w:rPr>
        <w:t>Epidemiology</w:t>
      </w:r>
      <w:r w:rsidRPr="00E80AD6">
        <w:rPr>
          <w:rFonts w:ascii="Arial" w:hAnsi="Arial" w:cs="Arial"/>
          <w:color w:val="000000"/>
          <w:sz w:val="20"/>
        </w:rPr>
        <w:t xml:space="preserve"> </w:t>
      </w:r>
      <w:r w:rsidRPr="00E80AD6">
        <w:rPr>
          <w:rFonts w:ascii="Arial" w:hAnsi="Arial" w:cs="Arial"/>
          <w:b/>
          <w:bCs/>
          <w:color w:val="000000"/>
          <w:sz w:val="20"/>
        </w:rPr>
        <w:t>26</w:t>
      </w:r>
      <w:r w:rsidRPr="00E80AD6">
        <w:rPr>
          <w:rFonts w:ascii="Arial" w:hAnsi="Arial" w:cs="Arial"/>
          <w:color w:val="000000"/>
          <w:sz w:val="20"/>
        </w:rPr>
        <w:t>, 781–793 (2015).</w:t>
      </w:r>
    </w:p>
    <w:p w14:paraId="31AFC518"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12. </w:t>
      </w:r>
      <w:r w:rsidRPr="00E80AD6">
        <w:rPr>
          <w:rFonts w:ascii="Arial" w:hAnsi="Arial" w:cs="Arial"/>
          <w:color w:val="000000"/>
          <w:sz w:val="20"/>
        </w:rPr>
        <w:tab/>
        <w:t xml:space="preserve">R. D. Meade, </w:t>
      </w:r>
      <w:r w:rsidRPr="00E80AD6">
        <w:rPr>
          <w:rFonts w:ascii="Arial" w:hAnsi="Arial" w:cs="Arial"/>
          <w:i/>
          <w:iCs/>
          <w:color w:val="000000"/>
          <w:sz w:val="20"/>
        </w:rPr>
        <w:t>et al.</w:t>
      </w:r>
      <w:r w:rsidRPr="00E80AD6">
        <w:rPr>
          <w:rFonts w:ascii="Arial" w:hAnsi="Arial" w:cs="Arial"/>
          <w:color w:val="000000"/>
          <w:sz w:val="20"/>
        </w:rPr>
        <w:t xml:space="preserve">, Physiological factors characterizing heat-vulnerable older adults: A narrative review. </w:t>
      </w:r>
      <w:r w:rsidRPr="00E80AD6">
        <w:rPr>
          <w:rFonts w:ascii="Arial" w:hAnsi="Arial" w:cs="Arial"/>
          <w:i/>
          <w:iCs/>
          <w:color w:val="000000"/>
          <w:sz w:val="20"/>
        </w:rPr>
        <w:t>Environment International</w:t>
      </w:r>
      <w:r w:rsidRPr="00E80AD6">
        <w:rPr>
          <w:rFonts w:ascii="Arial" w:hAnsi="Arial" w:cs="Arial"/>
          <w:color w:val="000000"/>
          <w:sz w:val="20"/>
        </w:rPr>
        <w:t xml:space="preserve"> </w:t>
      </w:r>
      <w:r w:rsidRPr="00E80AD6">
        <w:rPr>
          <w:rFonts w:ascii="Arial" w:hAnsi="Arial" w:cs="Arial"/>
          <w:b/>
          <w:bCs/>
          <w:color w:val="000000"/>
          <w:sz w:val="20"/>
        </w:rPr>
        <w:t>144</w:t>
      </w:r>
      <w:r w:rsidRPr="00E80AD6">
        <w:rPr>
          <w:rFonts w:ascii="Arial" w:hAnsi="Arial" w:cs="Arial"/>
          <w:color w:val="000000"/>
          <w:sz w:val="20"/>
        </w:rPr>
        <w:t>, 105909 (2020).</w:t>
      </w:r>
    </w:p>
    <w:p w14:paraId="3F29071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13. </w:t>
      </w:r>
      <w:r w:rsidRPr="00E80AD6">
        <w:rPr>
          <w:rFonts w:ascii="Arial" w:hAnsi="Arial" w:cs="Arial"/>
          <w:color w:val="000000"/>
          <w:sz w:val="20"/>
        </w:rPr>
        <w:tab/>
        <w:t xml:space="preserve">N. Veronese, </w:t>
      </w:r>
      <w:r w:rsidRPr="00E80AD6">
        <w:rPr>
          <w:rFonts w:ascii="Arial" w:hAnsi="Arial" w:cs="Arial"/>
          <w:i/>
          <w:iCs/>
          <w:color w:val="000000"/>
          <w:sz w:val="20"/>
        </w:rPr>
        <w:t>et al.</w:t>
      </w:r>
      <w:r w:rsidRPr="00E80AD6">
        <w:rPr>
          <w:rFonts w:ascii="Arial" w:hAnsi="Arial" w:cs="Arial"/>
          <w:color w:val="000000"/>
          <w:sz w:val="20"/>
        </w:rPr>
        <w:t xml:space="preserve">, Prevalence of multidimensional frailty and pre-frailty in older people in different settings: A systematic review and meta-analysis. </w:t>
      </w:r>
      <w:r w:rsidRPr="00E80AD6">
        <w:rPr>
          <w:rFonts w:ascii="Arial" w:hAnsi="Arial" w:cs="Arial"/>
          <w:i/>
          <w:iCs/>
          <w:color w:val="000000"/>
          <w:sz w:val="20"/>
        </w:rPr>
        <w:t>Ageing Research Reviews</w:t>
      </w:r>
      <w:r w:rsidRPr="00E80AD6">
        <w:rPr>
          <w:rFonts w:ascii="Arial" w:hAnsi="Arial" w:cs="Arial"/>
          <w:color w:val="000000"/>
          <w:sz w:val="20"/>
        </w:rPr>
        <w:t xml:space="preserve"> </w:t>
      </w:r>
      <w:r w:rsidRPr="00E80AD6">
        <w:rPr>
          <w:rFonts w:ascii="Arial" w:hAnsi="Arial" w:cs="Arial"/>
          <w:b/>
          <w:bCs/>
          <w:color w:val="000000"/>
          <w:sz w:val="20"/>
        </w:rPr>
        <w:t>72</w:t>
      </w:r>
      <w:r w:rsidRPr="00E80AD6">
        <w:rPr>
          <w:rFonts w:ascii="Arial" w:hAnsi="Arial" w:cs="Arial"/>
          <w:color w:val="000000"/>
          <w:sz w:val="20"/>
        </w:rPr>
        <w:t>, 101498 (2021).</w:t>
      </w:r>
    </w:p>
    <w:p w14:paraId="2401708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lastRenderedPageBreak/>
        <w:t xml:space="preserve">14. </w:t>
      </w:r>
      <w:r w:rsidRPr="00E80AD6">
        <w:rPr>
          <w:rFonts w:ascii="Arial" w:hAnsi="Arial" w:cs="Arial"/>
          <w:color w:val="000000"/>
          <w:sz w:val="20"/>
        </w:rPr>
        <w:tab/>
        <w:t xml:space="preserve">C. O. Weiss, C. M. Boyd, Q. Yu, J. L. Wolff, B. Leff, Patterns of Prevalent Major Chronic Disease Among Older Adults in the United States. </w:t>
      </w:r>
      <w:r w:rsidRPr="00E80AD6">
        <w:rPr>
          <w:rFonts w:ascii="Arial" w:hAnsi="Arial" w:cs="Arial"/>
          <w:i/>
          <w:iCs/>
          <w:color w:val="000000"/>
          <w:sz w:val="20"/>
        </w:rPr>
        <w:t>JAMA</w:t>
      </w:r>
      <w:r w:rsidRPr="00E80AD6">
        <w:rPr>
          <w:rFonts w:ascii="Arial" w:hAnsi="Arial" w:cs="Arial"/>
          <w:color w:val="000000"/>
          <w:sz w:val="20"/>
        </w:rPr>
        <w:t xml:space="preserve"> </w:t>
      </w:r>
      <w:r w:rsidRPr="00E80AD6">
        <w:rPr>
          <w:rFonts w:ascii="Arial" w:hAnsi="Arial" w:cs="Arial"/>
          <w:b/>
          <w:bCs/>
          <w:color w:val="000000"/>
          <w:sz w:val="20"/>
        </w:rPr>
        <w:t>298</w:t>
      </w:r>
      <w:r w:rsidRPr="00E80AD6">
        <w:rPr>
          <w:rFonts w:ascii="Arial" w:hAnsi="Arial" w:cs="Arial"/>
          <w:color w:val="000000"/>
          <w:sz w:val="20"/>
        </w:rPr>
        <w:t>, 1158 (2007).</w:t>
      </w:r>
    </w:p>
    <w:p w14:paraId="66475C03"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15. </w:t>
      </w:r>
      <w:r w:rsidRPr="00E80AD6">
        <w:rPr>
          <w:rFonts w:ascii="Arial" w:hAnsi="Arial" w:cs="Arial"/>
          <w:color w:val="000000"/>
          <w:sz w:val="20"/>
        </w:rPr>
        <w:tab/>
        <w:t xml:space="preserve">A. </w:t>
      </w:r>
      <w:proofErr w:type="spellStart"/>
      <w:r w:rsidRPr="00E80AD6">
        <w:rPr>
          <w:rFonts w:ascii="Arial" w:hAnsi="Arial" w:cs="Arial"/>
          <w:color w:val="000000"/>
          <w:sz w:val="20"/>
        </w:rPr>
        <w:t>Yazdanyar</w:t>
      </w:r>
      <w:proofErr w:type="spellEnd"/>
      <w:r w:rsidRPr="00E80AD6">
        <w:rPr>
          <w:rFonts w:ascii="Arial" w:hAnsi="Arial" w:cs="Arial"/>
          <w:color w:val="000000"/>
          <w:sz w:val="20"/>
        </w:rPr>
        <w:t xml:space="preserve">, A. B. Newman, The Burden of Cardiovascular Disease in the Elderly: Morbidity, Mortality, and Costs. </w:t>
      </w:r>
      <w:r w:rsidRPr="00E80AD6">
        <w:rPr>
          <w:rFonts w:ascii="Arial" w:hAnsi="Arial" w:cs="Arial"/>
          <w:i/>
          <w:iCs/>
          <w:color w:val="000000"/>
          <w:sz w:val="20"/>
        </w:rPr>
        <w:t>Clinics in Geriatric Medicine</w:t>
      </w:r>
      <w:r w:rsidRPr="00E80AD6">
        <w:rPr>
          <w:rFonts w:ascii="Arial" w:hAnsi="Arial" w:cs="Arial"/>
          <w:color w:val="000000"/>
          <w:sz w:val="20"/>
        </w:rPr>
        <w:t xml:space="preserve"> </w:t>
      </w:r>
      <w:r w:rsidRPr="00E80AD6">
        <w:rPr>
          <w:rFonts w:ascii="Arial" w:hAnsi="Arial" w:cs="Arial"/>
          <w:b/>
          <w:bCs/>
          <w:color w:val="000000"/>
          <w:sz w:val="20"/>
        </w:rPr>
        <w:t>25</w:t>
      </w:r>
      <w:r w:rsidRPr="00E80AD6">
        <w:rPr>
          <w:rFonts w:ascii="Arial" w:hAnsi="Arial" w:cs="Arial"/>
          <w:color w:val="000000"/>
          <w:sz w:val="20"/>
        </w:rPr>
        <w:t>, 563–577 (2009).</w:t>
      </w:r>
    </w:p>
    <w:p w14:paraId="5AA1BEEC"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16. </w:t>
      </w:r>
      <w:r w:rsidRPr="00E80AD6">
        <w:rPr>
          <w:rFonts w:ascii="Arial" w:hAnsi="Arial" w:cs="Arial"/>
          <w:color w:val="000000"/>
          <w:sz w:val="20"/>
        </w:rPr>
        <w:tab/>
        <w:t xml:space="preserve">L. Dahlberg, K. J. McKee, A. Frank, M. Naseer, A systematic review of longitudinal risk factors for loneliness in older adults. </w:t>
      </w:r>
      <w:r w:rsidRPr="00E80AD6">
        <w:rPr>
          <w:rFonts w:ascii="Arial" w:hAnsi="Arial" w:cs="Arial"/>
          <w:i/>
          <w:iCs/>
          <w:color w:val="000000"/>
          <w:sz w:val="20"/>
        </w:rPr>
        <w:t>Aging &amp; Mental Health</w:t>
      </w:r>
      <w:r w:rsidRPr="00E80AD6">
        <w:rPr>
          <w:rFonts w:ascii="Arial" w:hAnsi="Arial" w:cs="Arial"/>
          <w:color w:val="000000"/>
          <w:sz w:val="20"/>
        </w:rPr>
        <w:t xml:space="preserve"> </w:t>
      </w:r>
      <w:r w:rsidRPr="00E80AD6">
        <w:rPr>
          <w:rFonts w:ascii="Arial" w:hAnsi="Arial" w:cs="Arial"/>
          <w:b/>
          <w:bCs/>
          <w:color w:val="000000"/>
          <w:sz w:val="20"/>
        </w:rPr>
        <w:t>26</w:t>
      </w:r>
      <w:r w:rsidRPr="00E80AD6">
        <w:rPr>
          <w:rFonts w:ascii="Arial" w:hAnsi="Arial" w:cs="Arial"/>
          <w:color w:val="000000"/>
          <w:sz w:val="20"/>
        </w:rPr>
        <w:t>, 225–249 (2022).</w:t>
      </w:r>
    </w:p>
    <w:p w14:paraId="0A2649CA"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17. </w:t>
      </w:r>
      <w:r w:rsidRPr="00E80AD6">
        <w:rPr>
          <w:rFonts w:ascii="Arial" w:hAnsi="Arial" w:cs="Arial"/>
          <w:color w:val="000000"/>
          <w:sz w:val="20"/>
        </w:rPr>
        <w:tab/>
        <w:t xml:space="preserve">P. Hoang, </w:t>
      </w:r>
      <w:r w:rsidRPr="00E80AD6">
        <w:rPr>
          <w:rFonts w:ascii="Arial" w:hAnsi="Arial" w:cs="Arial"/>
          <w:i/>
          <w:iCs/>
          <w:color w:val="000000"/>
          <w:sz w:val="20"/>
        </w:rPr>
        <w:t>et al.</w:t>
      </w:r>
      <w:r w:rsidRPr="00E80AD6">
        <w:rPr>
          <w:rFonts w:ascii="Arial" w:hAnsi="Arial" w:cs="Arial"/>
          <w:color w:val="000000"/>
          <w:sz w:val="20"/>
        </w:rPr>
        <w:t xml:space="preserve">, Interventions Associated </w:t>
      </w:r>
      <w:proofErr w:type="gramStart"/>
      <w:r w:rsidRPr="00E80AD6">
        <w:rPr>
          <w:rFonts w:ascii="Arial" w:hAnsi="Arial" w:cs="Arial"/>
          <w:color w:val="000000"/>
          <w:sz w:val="20"/>
        </w:rPr>
        <w:t>With</w:t>
      </w:r>
      <w:proofErr w:type="gramEnd"/>
      <w:r w:rsidRPr="00E80AD6">
        <w:rPr>
          <w:rFonts w:ascii="Arial" w:hAnsi="Arial" w:cs="Arial"/>
          <w:color w:val="000000"/>
          <w:sz w:val="20"/>
        </w:rPr>
        <w:t xml:space="preserve"> Reduced Loneliness and Social Isolation in Older Adults: A Systematic Review and Meta-analysis. </w:t>
      </w:r>
      <w:r w:rsidRPr="00E80AD6">
        <w:rPr>
          <w:rFonts w:ascii="Arial" w:hAnsi="Arial" w:cs="Arial"/>
          <w:i/>
          <w:iCs/>
          <w:color w:val="000000"/>
          <w:sz w:val="20"/>
        </w:rPr>
        <w:t xml:space="preserve">JAMA </w:t>
      </w:r>
      <w:proofErr w:type="spellStart"/>
      <w:r w:rsidRPr="00E80AD6">
        <w:rPr>
          <w:rFonts w:ascii="Arial" w:hAnsi="Arial" w:cs="Arial"/>
          <w:i/>
          <w:iCs/>
          <w:color w:val="000000"/>
          <w:sz w:val="20"/>
        </w:rPr>
        <w:t>Netw</w:t>
      </w:r>
      <w:proofErr w:type="spellEnd"/>
      <w:r w:rsidRPr="00E80AD6">
        <w:rPr>
          <w:rFonts w:ascii="Arial" w:hAnsi="Arial" w:cs="Arial"/>
          <w:i/>
          <w:iCs/>
          <w:color w:val="000000"/>
          <w:sz w:val="20"/>
        </w:rPr>
        <w:t xml:space="preserve"> Open</w:t>
      </w:r>
      <w:r w:rsidRPr="00E80AD6">
        <w:rPr>
          <w:rFonts w:ascii="Arial" w:hAnsi="Arial" w:cs="Arial"/>
          <w:color w:val="000000"/>
          <w:sz w:val="20"/>
        </w:rPr>
        <w:t xml:space="preserve"> </w:t>
      </w:r>
      <w:r w:rsidRPr="00E80AD6">
        <w:rPr>
          <w:rFonts w:ascii="Arial" w:hAnsi="Arial" w:cs="Arial"/>
          <w:b/>
          <w:bCs/>
          <w:color w:val="000000"/>
          <w:sz w:val="20"/>
        </w:rPr>
        <w:t>5</w:t>
      </w:r>
      <w:r w:rsidRPr="00E80AD6">
        <w:rPr>
          <w:rFonts w:ascii="Arial" w:hAnsi="Arial" w:cs="Arial"/>
          <w:color w:val="000000"/>
          <w:sz w:val="20"/>
        </w:rPr>
        <w:t>, e2236676 (2022).</w:t>
      </w:r>
    </w:p>
    <w:p w14:paraId="79E98CFE"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18. </w:t>
      </w:r>
      <w:r w:rsidRPr="00E80AD6">
        <w:rPr>
          <w:rFonts w:ascii="Arial" w:hAnsi="Arial" w:cs="Arial"/>
          <w:color w:val="000000"/>
          <w:sz w:val="20"/>
        </w:rPr>
        <w:tab/>
        <w:t xml:space="preserve">N. A. M. Molinari, B. Chen, N. Krishna, T. Morris, Who’s at Risk When the Power Goes Out? The At-home Electricity-Dependent Population in the United States, 2012. </w:t>
      </w:r>
      <w:r w:rsidRPr="00E80AD6">
        <w:rPr>
          <w:rFonts w:ascii="Arial" w:hAnsi="Arial" w:cs="Arial"/>
          <w:i/>
          <w:iCs/>
          <w:color w:val="000000"/>
          <w:sz w:val="20"/>
        </w:rPr>
        <w:t>Journal of Public Health Management and Practice</w:t>
      </w:r>
      <w:r w:rsidRPr="00E80AD6">
        <w:rPr>
          <w:rFonts w:ascii="Arial" w:hAnsi="Arial" w:cs="Arial"/>
          <w:color w:val="000000"/>
          <w:sz w:val="20"/>
        </w:rPr>
        <w:t xml:space="preserve"> </w:t>
      </w:r>
      <w:r w:rsidRPr="00E80AD6">
        <w:rPr>
          <w:rFonts w:ascii="Arial" w:hAnsi="Arial" w:cs="Arial"/>
          <w:b/>
          <w:bCs/>
          <w:color w:val="000000"/>
          <w:sz w:val="20"/>
        </w:rPr>
        <w:t>23</w:t>
      </w:r>
      <w:r w:rsidRPr="00E80AD6">
        <w:rPr>
          <w:rFonts w:ascii="Arial" w:hAnsi="Arial" w:cs="Arial"/>
          <w:color w:val="000000"/>
          <w:sz w:val="20"/>
        </w:rPr>
        <w:t>, 152–159 (2017).</w:t>
      </w:r>
    </w:p>
    <w:p w14:paraId="0FD2D879"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19. </w:t>
      </w:r>
      <w:r w:rsidRPr="00E80AD6">
        <w:rPr>
          <w:rFonts w:ascii="Arial" w:hAnsi="Arial" w:cs="Arial"/>
          <w:color w:val="000000"/>
          <w:sz w:val="20"/>
        </w:rPr>
        <w:tab/>
        <w:t xml:space="preserve">W. Zhang, </w:t>
      </w:r>
      <w:r w:rsidRPr="00E80AD6">
        <w:rPr>
          <w:rFonts w:ascii="Arial" w:hAnsi="Arial" w:cs="Arial"/>
          <w:i/>
          <w:iCs/>
          <w:color w:val="000000"/>
          <w:sz w:val="20"/>
        </w:rPr>
        <w:t>et al.</w:t>
      </w:r>
      <w:r w:rsidRPr="00E80AD6">
        <w:rPr>
          <w:rFonts w:ascii="Arial" w:hAnsi="Arial" w:cs="Arial"/>
          <w:color w:val="000000"/>
          <w:sz w:val="20"/>
        </w:rPr>
        <w:t xml:space="preserve">, Power Outage: An Ignored Risk Factor for COPD Exacerbations. </w:t>
      </w:r>
      <w:r w:rsidRPr="00E80AD6">
        <w:rPr>
          <w:rFonts w:ascii="Arial" w:hAnsi="Arial" w:cs="Arial"/>
          <w:i/>
          <w:iCs/>
          <w:color w:val="000000"/>
          <w:sz w:val="20"/>
        </w:rPr>
        <w:t>Chest</w:t>
      </w:r>
      <w:r w:rsidRPr="00E80AD6">
        <w:rPr>
          <w:rFonts w:ascii="Arial" w:hAnsi="Arial" w:cs="Arial"/>
          <w:color w:val="000000"/>
          <w:sz w:val="20"/>
        </w:rPr>
        <w:t xml:space="preserve"> </w:t>
      </w:r>
      <w:r w:rsidRPr="00E80AD6">
        <w:rPr>
          <w:rFonts w:ascii="Arial" w:hAnsi="Arial" w:cs="Arial"/>
          <w:b/>
          <w:bCs/>
          <w:color w:val="000000"/>
          <w:sz w:val="20"/>
        </w:rPr>
        <w:t>158</w:t>
      </w:r>
      <w:r w:rsidRPr="00E80AD6">
        <w:rPr>
          <w:rFonts w:ascii="Arial" w:hAnsi="Arial" w:cs="Arial"/>
          <w:color w:val="000000"/>
          <w:sz w:val="20"/>
        </w:rPr>
        <w:t>, 2346–2357 (2020).</w:t>
      </w:r>
    </w:p>
    <w:p w14:paraId="26C75886"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20. </w:t>
      </w:r>
      <w:r w:rsidRPr="00E80AD6">
        <w:rPr>
          <w:rFonts w:ascii="Arial" w:hAnsi="Arial" w:cs="Arial"/>
          <w:color w:val="000000"/>
          <w:sz w:val="20"/>
        </w:rPr>
        <w:tab/>
        <w:t xml:space="preserve">S. Lin, </w:t>
      </w:r>
      <w:r w:rsidRPr="00E80AD6">
        <w:rPr>
          <w:rFonts w:ascii="Arial" w:hAnsi="Arial" w:cs="Arial"/>
          <w:i/>
          <w:iCs/>
          <w:color w:val="000000"/>
          <w:sz w:val="20"/>
        </w:rPr>
        <w:t>et al.</w:t>
      </w:r>
      <w:r w:rsidRPr="00E80AD6">
        <w:rPr>
          <w:rFonts w:ascii="Arial" w:hAnsi="Arial" w:cs="Arial"/>
          <w:color w:val="000000"/>
          <w:sz w:val="20"/>
        </w:rPr>
        <w:t xml:space="preserve">, The Joint Effects of Thunderstorms and Power Outages on Respiratory-Related Emergency Visits and Modifying and Mediating Factors of This Relationship. </w:t>
      </w:r>
      <w:r w:rsidRPr="00E80AD6">
        <w:rPr>
          <w:rFonts w:ascii="Arial" w:hAnsi="Arial" w:cs="Arial"/>
          <w:i/>
          <w:iCs/>
          <w:color w:val="000000"/>
          <w:sz w:val="20"/>
        </w:rPr>
        <w:t xml:space="preserve">Environ Health </w:t>
      </w:r>
      <w:proofErr w:type="spellStart"/>
      <w:r w:rsidRPr="00E80AD6">
        <w:rPr>
          <w:rFonts w:ascii="Arial" w:hAnsi="Arial" w:cs="Arial"/>
          <w:i/>
          <w:iCs/>
          <w:color w:val="000000"/>
          <w:sz w:val="20"/>
        </w:rPr>
        <w:t>Perspect</w:t>
      </w:r>
      <w:proofErr w:type="spellEnd"/>
      <w:r w:rsidRPr="00E80AD6">
        <w:rPr>
          <w:rFonts w:ascii="Arial" w:hAnsi="Arial" w:cs="Arial"/>
          <w:color w:val="000000"/>
          <w:sz w:val="20"/>
        </w:rPr>
        <w:t xml:space="preserve"> </w:t>
      </w:r>
      <w:r w:rsidRPr="00E80AD6">
        <w:rPr>
          <w:rFonts w:ascii="Arial" w:hAnsi="Arial" w:cs="Arial"/>
          <w:b/>
          <w:bCs/>
          <w:color w:val="000000"/>
          <w:sz w:val="20"/>
        </w:rPr>
        <w:t>132</w:t>
      </w:r>
      <w:r w:rsidRPr="00E80AD6">
        <w:rPr>
          <w:rFonts w:ascii="Arial" w:hAnsi="Arial" w:cs="Arial"/>
          <w:color w:val="000000"/>
          <w:sz w:val="20"/>
        </w:rPr>
        <w:t>, 067002 (2024).</w:t>
      </w:r>
    </w:p>
    <w:p w14:paraId="489BD9D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21. </w:t>
      </w:r>
      <w:r w:rsidRPr="00E80AD6">
        <w:rPr>
          <w:rFonts w:ascii="Arial" w:hAnsi="Arial" w:cs="Arial"/>
          <w:color w:val="000000"/>
          <w:sz w:val="20"/>
        </w:rPr>
        <w:tab/>
        <w:t xml:space="preserve">C. </w:t>
      </w:r>
      <w:proofErr w:type="spellStart"/>
      <w:r w:rsidRPr="00E80AD6">
        <w:rPr>
          <w:rFonts w:ascii="Arial" w:hAnsi="Arial" w:cs="Arial"/>
          <w:color w:val="000000"/>
          <w:sz w:val="20"/>
        </w:rPr>
        <w:t>Dominianni</w:t>
      </w:r>
      <w:proofErr w:type="spellEnd"/>
      <w:r w:rsidRPr="00E80AD6">
        <w:rPr>
          <w:rFonts w:ascii="Arial" w:hAnsi="Arial" w:cs="Arial"/>
          <w:color w:val="000000"/>
          <w:sz w:val="20"/>
        </w:rPr>
        <w:t xml:space="preserve">, K. Lane, S. Johnson, K. Ito, T. Matte, Health Impacts of Citywide and Localized Power Outages in New York City. </w:t>
      </w:r>
      <w:r w:rsidRPr="00E80AD6">
        <w:rPr>
          <w:rFonts w:ascii="Arial" w:hAnsi="Arial" w:cs="Arial"/>
          <w:i/>
          <w:iCs/>
          <w:color w:val="000000"/>
          <w:sz w:val="20"/>
        </w:rPr>
        <w:t xml:space="preserve">Environ Health </w:t>
      </w:r>
      <w:proofErr w:type="spellStart"/>
      <w:r w:rsidRPr="00E80AD6">
        <w:rPr>
          <w:rFonts w:ascii="Arial" w:hAnsi="Arial" w:cs="Arial"/>
          <w:i/>
          <w:iCs/>
          <w:color w:val="000000"/>
          <w:sz w:val="20"/>
        </w:rPr>
        <w:t>Perspect</w:t>
      </w:r>
      <w:proofErr w:type="spellEnd"/>
      <w:r w:rsidRPr="00E80AD6">
        <w:rPr>
          <w:rFonts w:ascii="Arial" w:hAnsi="Arial" w:cs="Arial"/>
          <w:color w:val="000000"/>
          <w:sz w:val="20"/>
        </w:rPr>
        <w:t xml:space="preserve"> </w:t>
      </w:r>
      <w:r w:rsidRPr="00E80AD6">
        <w:rPr>
          <w:rFonts w:ascii="Arial" w:hAnsi="Arial" w:cs="Arial"/>
          <w:b/>
          <w:bCs/>
          <w:color w:val="000000"/>
          <w:sz w:val="20"/>
        </w:rPr>
        <w:t>126</w:t>
      </w:r>
      <w:r w:rsidRPr="00E80AD6">
        <w:rPr>
          <w:rFonts w:ascii="Arial" w:hAnsi="Arial" w:cs="Arial"/>
          <w:color w:val="000000"/>
          <w:sz w:val="20"/>
        </w:rPr>
        <w:t>, 067003 (2018).</w:t>
      </w:r>
    </w:p>
    <w:p w14:paraId="1E0183D9"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22. </w:t>
      </w:r>
      <w:r w:rsidRPr="00E80AD6">
        <w:rPr>
          <w:rFonts w:ascii="Arial" w:hAnsi="Arial" w:cs="Arial"/>
          <w:color w:val="000000"/>
          <w:sz w:val="20"/>
        </w:rPr>
        <w:tab/>
        <w:t xml:space="preserve">G. B. Anderson, M. L. Bell, Lights Out: Impact of the August 2003 Power Outage on Mortality in New York, NY. </w:t>
      </w:r>
      <w:r w:rsidRPr="00E80AD6">
        <w:rPr>
          <w:rFonts w:ascii="Arial" w:hAnsi="Arial" w:cs="Arial"/>
          <w:i/>
          <w:iCs/>
          <w:color w:val="000000"/>
          <w:sz w:val="20"/>
        </w:rPr>
        <w:t>Epidemiology</w:t>
      </w:r>
      <w:r w:rsidRPr="00E80AD6">
        <w:rPr>
          <w:rFonts w:ascii="Arial" w:hAnsi="Arial" w:cs="Arial"/>
          <w:color w:val="000000"/>
          <w:sz w:val="20"/>
        </w:rPr>
        <w:t xml:space="preserve"> </w:t>
      </w:r>
      <w:r w:rsidRPr="00E80AD6">
        <w:rPr>
          <w:rFonts w:ascii="Arial" w:hAnsi="Arial" w:cs="Arial"/>
          <w:b/>
          <w:bCs/>
          <w:color w:val="000000"/>
          <w:sz w:val="20"/>
        </w:rPr>
        <w:t>23</w:t>
      </w:r>
      <w:r w:rsidRPr="00E80AD6">
        <w:rPr>
          <w:rFonts w:ascii="Arial" w:hAnsi="Arial" w:cs="Arial"/>
          <w:color w:val="000000"/>
          <w:sz w:val="20"/>
        </w:rPr>
        <w:t>, 189–193 (2012).</w:t>
      </w:r>
    </w:p>
    <w:p w14:paraId="3B2BD4C7"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23. </w:t>
      </w:r>
      <w:r w:rsidRPr="00E80AD6">
        <w:rPr>
          <w:rFonts w:ascii="Arial" w:hAnsi="Arial" w:cs="Arial"/>
          <w:color w:val="000000"/>
          <w:sz w:val="20"/>
        </w:rPr>
        <w:tab/>
        <w:t>Oak Ridge National Laboratory, Oak Ridge National Laboratory, EAGLE-I Outage Data 2014-2022. Available at: https://smc-datachallenge.ornl.gov/eagle/ [Accessed 3 January 2025].</w:t>
      </w:r>
    </w:p>
    <w:p w14:paraId="1B8EB1EF"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24. </w:t>
      </w:r>
      <w:r w:rsidRPr="00E80AD6">
        <w:rPr>
          <w:rFonts w:ascii="Arial" w:hAnsi="Arial" w:cs="Arial"/>
          <w:color w:val="000000"/>
          <w:sz w:val="20"/>
        </w:rPr>
        <w:tab/>
        <w:t>PowerOutage.us. Available at: https://poweroutage.us/.</w:t>
      </w:r>
    </w:p>
    <w:p w14:paraId="4C4CD6E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25. </w:t>
      </w:r>
      <w:r w:rsidRPr="00E80AD6">
        <w:rPr>
          <w:rFonts w:ascii="Arial" w:hAnsi="Arial" w:cs="Arial"/>
          <w:color w:val="000000"/>
          <w:sz w:val="20"/>
        </w:rPr>
        <w:tab/>
        <w:t xml:space="preserve">V. Do, The impact of power outages on cardiovascular hospitalizations among Medicare enrollees in New York State, 2017-2018. </w:t>
      </w:r>
      <w:r w:rsidRPr="00E80AD6">
        <w:rPr>
          <w:rFonts w:ascii="Arial" w:hAnsi="Arial" w:cs="Arial"/>
          <w:i/>
          <w:iCs/>
          <w:color w:val="000000"/>
          <w:sz w:val="20"/>
        </w:rPr>
        <w:t>Under review at Epidemiology</w:t>
      </w:r>
      <w:r w:rsidRPr="00E80AD6">
        <w:rPr>
          <w:rFonts w:ascii="Arial" w:hAnsi="Arial" w:cs="Arial"/>
          <w:color w:val="000000"/>
          <w:sz w:val="20"/>
        </w:rPr>
        <w:t>.</w:t>
      </w:r>
    </w:p>
    <w:p w14:paraId="3ADDDEF2"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26. </w:t>
      </w:r>
      <w:r w:rsidRPr="00E80AD6">
        <w:rPr>
          <w:rFonts w:ascii="Arial" w:hAnsi="Arial" w:cs="Arial"/>
          <w:color w:val="000000"/>
          <w:sz w:val="20"/>
        </w:rPr>
        <w:tab/>
        <w:t xml:space="preserve">V. Do, </w:t>
      </w:r>
      <w:r w:rsidRPr="00E80AD6">
        <w:rPr>
          <w:rFonts w:ascii="Arial" w:hAnsi="Arial" w:cs="Arial"/>
          <w:i/>
          <w:iCs/>
          <w:color w:val="000000"/>
          <w:sz w:val="20"/>
        </w:rPr>
        <w:t>et al.</w:t>
      </w:r>
      <w:r w:rsidRPr="00E80AD6">
        <w:rPr>
          <w:rFonts w:ascii="Arial" w:hAnsi="Arial" w:cs="Arial"/>
          <w:color w:val="000000"/>
          <w:sz w:val="20"/>
        </w:rPr>
        <w:t>, Spatiotemporal patterns of power outages co-occurring with individual and multiple severe weather events in the United States, 2018-2020. [Preprint] (2024). Available at: https://www.researchsquare.com/article/rs-4752336/v1 [Accessed 4 January 2025].</w:t>
      </w:r>
    </w:p>
    <w:p w14:paraId="6CBEC121"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27. </w:t>
      </w:r>
      <w:r w:rsidRPr="00E80AD6">
        <w:rPr>
          <w:rFonts w:ascii="Arial" w:hAnsi="Arial" w:cs="Arial"/>
          <w:color w:val="000000"/>
          <w:sz w:val="20"/>
        </w:rPr>
        <w:tab/>
        <w:t xml:space="preserve">H. M. Salman, J. </w:t>
      </w:r>
      <w:proofErr w:type="spellStart"/>
      <w:r w:rsidRPr="00E80AD6">
        <w:rPr>
          <w:rFonts w:ascii="Arial" w:hAnsi="Arial" w:cs="Arial"/>
          <w:color w:val="000000"/>
          <w:sz w:val="20"/>
        </w:rPr>
        <w:t>Pasupuleti</w:t>
      </w:r>
      <w:proofErr w:type="spellEnd"/>
      <w:r w:rsidRPr="00E80AD6">
        <w:rPr>
          <w:rFonts w:ascii="Arial" w:hAnsi="Arial" w:cs="Arial"/>
          <w:color w:val="000000"/>
          <w:sz w:val="20"/>
        </w:rPr>
        <w:t xml:space="preserve">, A. H. Sabry, Review on Causes of Power Outages and Their Occurrence: Mitigation Strategies. </w:t>
      </w:r>
      <w:r w:rsidRPr="00E80AD6">
        <w:rPr>
          <w:rFonts w:ascii="Arial" w:hAnsi="Arial" w:cs="Arial"/>
          <w:i/>
          <w:iCs/>
          <w:color w:val="000000"/>
          <w:sz w:val="20"/>
        </w:rPr>
        <w:t>Sustainability</w:t>
      </w:r>
      <w:r w:rsidRPr="00E80AD6">
        <w:rPr>
          <w:rFonts w:ascii="Arial" w:hAnsi="Arial" w:cs="Arial"/>
          <w:color w:val="000000"/>
          <w:sz w:val="20"/>
        </w:rPr>
        <w:t xml:space="preserve"> </w:t>
      </w:r>
      <w:r w:rsidRPr="00E80AD6">
        <w:rPr>
          <w:rFonts w:ascii="Arial" w:hAnsi="Arial" w:cs="Arial"/>
          <w:b/>
          <w:bCs/>
          <w:color w:val="000000"/>
          <w:sz w:val="20"/>
        </w:rPr>
        <w:t>15</w:t>
      </w:r>
      <w:r w:rsidRPr="00E80AD6">
        <w:rPr>
          <w:rFonts w:ascii="Arial" w:hAnsi="Arial" w:cs="Arial"/>
          <w:color w:val="000000"/>
          <w:sz w:val="20"/>
        </w:rPr>
        <w:t>, 15001 (2023).</w:t>
      </w:r>
    </w:p>
    <w:p w14:paraId="6D03F94F"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28. </w:t>
      </w:r>
      <w:r w:rsidRPr="00E80AD6">
        <w:rPr>
          <w:rFonts w:ascii="Arial" w:hAnsi="Arial" w:cs="Arial"/>
          <w:color w:val="000000"/>
          <w:sz w:val="20"/>
        </w:rPr>
        <w:tab/>
        <w:t xml:space="preserve">X. Deng, </w:t>
      </w:r>
      <w:r w:rsidRPr="00E80AD6">
        <w:rPr>
          <w:rFonts w:ascii="Arial" w:hAnsi="Arial" w:cs="Arial"/>
          <w:i/>
          <w:iCs/>
          <w:color w:val="000000"/>
          <w:sz w:val="20"/>
        </w:rPr>
        <w:t>et al.</w:t>
      </w:r>
      <w:r w:rsidRPr="00E80AD6">
        <w:rPr>
          <w:rFonts w:ascii="Arial" w:hAnsi="Arial" w:cs="Arial"/>
          <w:color w:val="000000"/>
          <w:sz w:val="20"/>
        </w:rPr>
        <w:t xml:space="preserve">, The independent and synergistic impacts of power outages and floods on hospital admissions for multiple diseases. </w:t>
      </w:r>
      <w:r w:rsidRPr="00E80AD6">
        <w:rPr>
          <w:rFonts w:ascii="Arial" w:hAnsi="Arial" w:cs="Arial"/>
          <w:i/>
          <w:iCs/>
          <w:color w:val="000000"/>
          <w:sz w:val="20"/>
        </w:rPr>
        <w:t>Science of The Total Environment</w:t>
      </w:r>
      <w:r w:rsidRPr="00E80AD6">
        <w:rPr>
          <w:rFonts w:ascii="Arial" w:hAnsi="Arial" w:cs="Arial"/>
          <w:color w:val="000000"/>
          <w:sz w:val="20"/>
        </w:rPr>
        <w:t xml:space="preserve"> </w:t>
      </w:r>
      <w:r w:rsidRPr="00E80AD6">
        <w:rPr>
          <w:rFonts w:ascii="Arial" w:hAnsi="Arial" w:cs="Arial"/>
          <w:b/>
          <w:bCs/>
          <w:color w:val="000000"/>
          <w:sz w:val="20"/>
        </w:rPr>
        <w:t>828</w:t>
      </w:r>
      <w:r w:rsidRPr="00E80AD6">
        <w:rPr>
          <w:rFonts w:ascii="Arial" w:hAnsi="Arial" w:cs="Arial"/>
          <w:color w:val="000000"/>
          <w:sz w:val="20"/>
        </w:rPr>
        <w:t>, 154305 (2022).</w:t>
      </w:r>
    </w:p>
    <w:p w14:paraId="4C80424F"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29. </w:t>
      </w:r>
      <w:r w:rsidRPr="00E80AD6">
        <w:rPr>
          <w:rFonts w:ascii="Arial" w:hAnsi="Arial" w:cs="Arial"/>
          <w:color w:val="000000"/>
          <w:sz w:val="20"/>
        </w:rPr>
        <w:tab/>
        <w:t xml:space="preserve">C. Klinger, O. </w:t>
      </w:r>
      <w:proofErr w:type="spellStart"/>
      <w:r w:rsidRPr="00E80AD6">
        <w:rPr>
          <w:rFonts w:ascii="Arial" w:hAnsi="Arial" w:cs="Arial"/>
          <w:color w:val="000000"/>
          <w:sz w:val="20"/>
        </w:rPr>
        <w:t>Landeg</w:t>
      </w:r>
      <w:proofErr w:type="spellEnd"/>
      <w:r w:rsidRPr="00E80AD6">
        <w:rPr>
          <w:rFonts w:ascii="Arial" w:hAnsi="Arial" w:cs="Arial"/>
          <w:color w:val="000000"/>
          <w:sz w:val="20"/>
        </w:rPr>
        <w:t xml:space="preserve">, V. Murray, Power Outages, Extreme Events and Health: </w:t>
      </w:r>
      <w:proofErr w:type="gramStart"/>
      <w:r w:rsidRPr="00E80AD6">
        <w:rPr>
          <w:rFonts w:ascii="Arial" w:hAnsi="Arial" w:cs="Arial"/>
          <w:color w:val="000000"/>
          <w:sz w:val="20"/>
        </w:rPr>
        <w:t>a</w:t>
      </w:r>
      <w:proofErr w:type="gramEnd"/>
      <w:r w:rsidRPr="00E80AD6">
        <w:rPr>
          <w:rFonts w:ascii="Arial" w:hAnsi="Arial" w:cs="Arial"/>
          <w:color w:val="000000"/>
          <w:sz w:val="20"/>
        </w:rPr>
        <w:t xml:space="preserve"> Systematic Review of the Literature from 2011-2012. </w:t>
      </w:r>
      <w:r w:rsidRPr="00E80AD6">
        <w:rPr>
          <w:rFonts w:ascii="Arial" w:hAnsi="Arial" w:cs="Arial"/>
          <w:i/>
          <w:iCs/>
          <w:color w:val="000000"/>
          <w:sz w:val="20"/>
        </w:rPr>
        <w:t>PLOS Currents</w:t>
      </w:r>
      <w:r w:rsidRPr="00E80AD6">
        <w:rPr>
          <w:rFonts w:ascii="Arial" w:hAnsi="Arial" w:cs="Arial"/>
          <w:color w:val="000000"/>
          <w:sz w:val="20"/>
        </w:rPr>
        <w:t xml:space="preserve"> (2014).</w:t>
      </w:r>
    </w:p>
    <w:p w14:paraId="6F7CBF37"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lastRenderedPageBreak/>
        <w:t xml:space="preserve">30. </w:t>
      </w:r>
      <w:r w:rsidRPr="00E80AD6">
        <w:rPr>
          <w:rFonts w:ascii="Arial" w:hAnsi="Arial" w:cs="Arial"/>
          <w:color w:val="000000"/>
          <w:sz w:val="20"/>
        </w:rPr>
        <w:tab/>
        <w:t xml:space="preserve">R. J. Carroll, D. Ruppert, L. A. Stefanski, C. M. </w:t>
      </w:r>
      <w:proofErr w:type="spellStart"/>
      <w:r w:rsidRPr="00E80AD6">
        <w:rPr>
          <w:rFonts w:ascii="Arial" w:hAnsi="Arial" w:cs="Arial"/>
          <w:color w:val="000000"/>
          <w:sz w:val="20"/>
        </w:rPr>
        <w:t>Crainiceanu</w:t>
      </w:r>
      <w:proofErr w:type="spellEnd"/>
      <w:r w:rsidRPr="00E80AD6">
        <w:rPr>
          <w:rFonts w:ascii="Arial" w:hAnsi="Arial" w:cs="Arial"/>
          <w:color w:val="000000"/>
          <w:sz w:val="20"/>
        </w:rPr>
        <w:t xml:space="preserve">, </w:t>
      </w:r>
      <w:r w:rsidRPr="00E80AD6">
        <w:rPr>
          <w:rFonts w:ascii="Arial" w:hAnsi="Arial" w:cs="Arial"/>
          <w:i/>
          <w:iCs/>
          <w:color w:val="000000"/>
          <w:sz w:val="20"/>
        </w:rPr>
        <w:t>Measurement Error in Nonlinear Models</w:t>
      </w:r>
      <w:r w:rsidRPr="00E80AD6">
        <w:rPr>
          <w:rFonts w:ascii="Arial" w:hAnsi="Arial" w:cs="Arial"/>
          <w:color w:val="000000"/>
          <w:sz w:val="20"/>
        </w:rPr>
        <w:t>.</w:t>
      </w:r>
    </w:p>
    <w:p w14:paraId="1FC09E1D"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31. </w:t>
      </w:r>
      <w:r w:rsidRPr="00E80AD6">
        <w:rPr>
          <w:rFonts w:ascii="Arial" w:hAnsi="Arial" w:cs="Arial"/>
          <w:color w:val="000000"/>
          <w:sz w:val="20"/>
        </w:rPr>
        <w:tab/>
        <w:t xml:space="preserve">S. M. Abdalla, S. Yu, S. Galea, Trends in Cardiovascular Disease Prevalence by Income Level in the United States. </w:t>
      </w:r>
      <w:r w:rsidRPr="00E80AD6">
        <w:rPr>
          <w:rFonts w:ascii="Arial" w:hAnsi="Arial" w:cs="Arial"/>
          <w:i/>
          <w:iCs/>
          <w:color w:val="000000"/>
          <w:sz w:val="20"/>
        </w:rPr>
        <w:t xml:space="preserve">JAMA </w:t>
      </w:r>
      <w:proofErr w:type="spellStart"/>
      <w:r w:rsidRPr="00E80AD6">
        <w:rPr>
          <w:rFonts w:ascii="Arial" w:hAnsi="Arial" w:cs="Arial"/>
          <w:i/>
          <w:iCs/>
          <w:color w:val="000000"/>
          <w:sz w:val="20"/>
        </w:rPr>
        <w:t>Netw</w:t>
      </w:r>
      <w:proofErr w:type="spellEnd"/>
      <w:r w:rsidRPr="00E80AD6">
        <w:rPr>
          <w:rFonts w:ascii="Arial" w:hAnsi="Arial" w:cs="Arial"/>
          <w:i/>
          <w:iCs/>
          <w:color w:val="000000"/>
          <w:sz w:val="20"/>
        </w:rPr>
        <w:t xml:space="preserve"> Open</w:t>
      </w:r>
      <w:r w:rsidRPr="00E80AD6">
        <w:rPr>
          <w:rFonts w:ascii="Arial" w:hAnsi="Arial" w:cs="Arial"/>
          <w:color w:val="000000"/>
          <w:sz w:val="20"/>
        </w:rPr>
        <w:t xml:space="preserve"> </w:t>
      </w:r>
      <w:r w:rsidRPr="00E80AD6">
        <w:rPr>
          <w:rFonts w:ascii="Arial" w:hAnsi="Arial" w:cs="Arial"/>
          <w:b/>
          <w:bCs/>
          <w:color w:val="000000"/>
          <w:sz w:val="20"/>
        </w:rPr>
        <w:t>3</w:t>
      </w:r>
      <w:r w:rsidRPr="00E80AD6">
        <w:rPr>
          <w:rFonts w:ascii="Arial" w:hAnsi="Arial" w:cs="Arial"/>
          <w:color w:val="000000"/>
          <w:sz w:val="20"/>
        </w:rPr>
        <w:t>, e2018150 (2020).</w:t>
      </w:r>
    </w:p>
    <w:p w14:paraId="3B7E7F0D"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32. </w:t>
      </w:r>
      <w:r w:rsidRPr="00E80AD6">
        <w:rPr>
          <w:rFonts w:ascii="Arial" w:hAnsi="Arial" w:cs="Arial"/>
          <w:color w:val="000000"/>
          <w:sz w:val="20"/>
        </w:rPr>
        <w:tab/>
        <w:t xml:space="preserve">C. </w:t>
      </w:r>
      <w:proofErr w:type="spellStart"/>
      <w:r w:rsidRPr="00E80AD6">
        <w:rPr>
          <w:rFonts w:ascii="Arial" w:hAnsi="Arial" w:cs="Arial"/>
          <w:color w:val="000000"/>
          <w:sz w:val="20"/>
        </w:rPr>
        <w:t>Faselis</w:t>
      </w:r>
      <w:proofErr w:type="spellEnd"/>
      <w:r w:rsidRPr="00E80AD6">
        <w:rPr>
          <w:rFonts w:ascii="Arial" w:hAnsi="Arial" w:cs="Arial"/>
          <w:color w:val="000000"/>
          <w:sz w:val="20"/>
        </w:rPr>
        <w:t xml:space="preserve">, </w:t>
      </w:r>
      <w:r w:rsidRPr="00E80AD6">
        <w:rPr>
          <w:rFonts w:ascii="Arial" w:hAnsi="Arial" w:cs="Arial"/>
          <w:i/>
          <w:iCs/>
          <w:color w:val="000000"/>
          <w:sz w:val="20"/>
        </w:rPr>
        <w:t>et al.</w:t>
      </w:r>
      <w:r w:rsidRPr="00E80AD6">
        <w:rPr>
          <w:rFonts w:ascii="Arial" w:hAnsi="Arial" w:cs="Arial"/>
          <w:color w:val="000000"/>
          <w:sz w:val="20"/>
        </w:rPr>
        <w:t xml:space="preserve">, Income disparity and incident cardiovascular disease in older Americans. </w:t>
      </w:r>
      <w:r w:rsidRPr="00E80AD6">
        <w:rPr>
          <w:rFonts w:ascii="Arial" w:hAnsi="Arial" w:cs="Arial"/>
          <w:i/>
          <w:iCs/>
          <w:color w:val="000000"/>
          <w:sz w:val="20"/>
        </w:rPr>
        <w:t>Progress in Cardiovascular Diseases</w:t>
      </w:r>
      <w:r w:rsidRPr="00E80AD6">
        <w:rPr>
          <w:rFonts w:ascii="Arial" w:hAnsi="Arial" w:cs="Arial"/>
          <w:color w:val="000000"/>
          <w:sz w:val="20"/>
        </w:rPr>
        <w:t xml:space="preserve"> </w:t>
      </w:r>
      <w:r w:rsidRPr="00E80AD6">
        <w:rPr>
          <w:rFonts w:ascii="Arial" w:hAnsi="Arial" w:cs="Arial"/>
          <w:b/>
          <w:bCs/>
          <w:color w:val="000000"/>
          <w:sz w:val="20"/>
        </w:rPr>
        <w:t>71</w:t>
      </w:r>
      <w:r w:rsidRPr="00E80AD6">
        <w:rPr>
          <w:rFonts w:ascii="Arial" w:hAnsi="Arial" w:cs="Arial"/>
          <w:color w:val="000000"/>
          <w:sz w:val="20"/>
        </w:rPr>
        <w:t>, 92–99 (2022).</w:t>
      </w:r>
    </w:p>
    <w:p w14:paraId="7EDCD841"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33. </w:t>
      </w:r>
      <w:r w:rsidRPr="00E80AD6">
        <w:rPr>
          <w:rFonts w:ascii="Arial" w:hAnsi="Arial" w:cs="Arial"/>
          <w:color w:val="000000"/>
          <w:sz w:val="20"/>
        </w:rPr>
        <w:tab/>
        <w:t xml:space="preserve">C. </w:t>
      </w:r>
      <w:proofErr w:type="spellStart"/>
      <w:r w:rsidRPr="00E80AD6">
        <w:rPr>
          <w:rFonts w:ascii="Arial" w:hAnsi="Arial" w:cs="Arial"/>
          <w:color w:val="000000"/>
          <w:sz w:val="20"/>
        </w:rPr>
        <w:t>Dominianni</w:t>
      </w:r>
      <w:proofErr w:type="spellEnd"/>
      <w:r w:rsidRPr="00E80AD6">
        <w:rPr>
          <w:rFonts w:ascii="Arial" w:hAnsi="Arial" w:cs="Arial"/>
          <w:color w:val="000000"/>
          <w:sz w:val="20"/>
        </w:rPr>
        <w:t xml:space="preserve">, </w:t>
      </w:r>
      <w:r w:rsidRPr="00E80AD6">
        <w:rPr>
          <w:rFonts w:ascii="Arial" w:hAnsi="Arial" w:cs="Arial"/>
          <w:i/>
          <w:iCs/>
          <w:color w:val="000000"/>
          <w:sz w:val="20"/>
        </w:rPr>
        <w:t>et al.</w:t>
      </w:r>
      <w:r w:rsidRPr="00E80AD6">
        <w:rPr>
          <w:rFonts w:ascii="Arial" w:hAnsi="Arial" w:cs="Arial"/>
          <w:color w:val="000000"/>
          <w:sz w:val="20"/>
        </w:rPr>
        <w:t xml:space="preserve">, Power Outage Preparedness and Concern among Vulnerable New York City Residents. </w:t>
      </w:r>
      <w:r w:rsidRPr="00E80AD6">
        <w:rPr>
          <w:rFonts w:ascii="Arial" w:hAnsi="Arial" w:cs="Arial"/>
          <w:i/>
          <w:iCs/>
          <w:color w:val="000000"/>
          <w:sz w:val="20"/>
        </w:rPr>
        <w:t>J Urban Health</w:t>
      </w:r>
      <w:r w:rsidRPr="00E80AD6">
        <w:rPr>
          <w:rFonts w:ascii="Arial" w:hAnsi="Arial" w:cs="Arial"/>
          <w:color w:val="000000"/>
          <w:sz w:val="20"/>
        </w:rPr>
        <w:t xml:space="preserve"> </w:t>
      </w:r>
      <w:r w:rsidRPr="00E80AD6">
        <w:rPr>
          <w:rFonts w:ascii="Arial" w:hAnsi="Arial" w:cs="Arial"/>
          <w:b/>
          <w:bCs/>
          <w:color w:val="000000"/>
          <w:sz w:val="20"/>
        </w:rPr>
        <w:t>95</w:t>
      </w:r>
      <w:r w:rsidRPr="00E80AD6">
        <w:rPr>
          <w:rFonts w:ascii="Arial" w:hAnsi="Arial" w:cs="Arial"/>
          <w:color w:val="000000"/>
          <w:sz w:val="20"/>
        </w:rPr>
        <w:t>, 716–726 (2018).</w:t>
      </w:r>
    </w:p>
    <w:p w14:paraId="7961413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34. </w:t>
      </w:r>
      <w:r w:rsidRPr="00E80AD6">
        <w:rPr>
          <w:rFonts w:ascii="Arial" w:hAnsi="Arial" w:cs="Arial"/>
          <w:color w:val="000000"/>
          <w:sz w:val="20"/>
        </w:rPr>
        <w:tab/>
        <w:t>T. M. Al-</w:t>
      </w:r>
      <w:proofErr w:type="spellStart"/>
      <w:r w:rsidRPr="00E80AD6">
        <w:rPr>
          <w:rFonts w:ascii="Arial" w:hAnsi="Arial" w:cs="Arial"/>
          <w:color w:val="000000"/>
          <w:sz w:val="20"/>
        </w:rPr>
        <w:t>rousan</w:t>
      </w:r>
      <w:proofErr w:type="spellEnd"/>
      <w:r w:rsidRPr="00E80AD6">
        <w:rPr>
          <w:rFonts w:ascii="Arial" w:hAnsi="Arial" w:cs="Arial"/>
          <w:color w:val="000000"/>
          <w:sz w:val="20"/>
        </w:rPr>
        <w:t xml:space="preserve">, L. M. Rubenstein, R. B. Wallace, Preparedness for Natural Disasters Among Older US Adults: A Nationwide Survey. </w:t>
      </w:r>
      <w:r w:rsidRPr="00E80AD6">
        <w:rPr>
          <w:rFonts w:ascii="Arial" w:hAnsi="Arial" w:cs="Arial"/>
          <w:i/>
          <w:iCs/>
          <w:color w:val="000000"/>
          <w:sz w:val="20"/>
        </w:rPr>
        <w:t>Am J Public Health</w:t>
      </w:r>
      <w:r w:rsidRPr="00E80AD6">
        <w:rPr>
          <w:rFonts w:ascii="Arial" w:hAnsi="Arial" w:cs="Arial"/>
          <w:color w:val="000000"/>
          <w:sz w:val="20"/>
        </w:rPr>
        <w:t xml:space="preserve"> </w:t>
      </w:r>
      <w:r w:rsidRPr="00E80AD6">
        <w:rPr>
          <w:rFonts w:ascii="Arial" w:hAnsi="Arial" w:cs="Arial"/>
          <w:b/>
          <w:bCs/>
          <w:color w:val="000000"/>
          <w:sz w:val="20"/>
        </w:rPr>
        <w:t>104</w:t>
      </w:r>
      <w:r w:rsidRPr="00E80AD6">
        <w:rPr>
          <w:rFonts w:ascii="Arial" w:hAnsi="Arial" w:cs="Arial"/>
          <w:color w:val="000000"/>
          <w:sz w:val="20"/>
        </w:rPr>
        <w:t>, 506–511 (2014).</w:t>
      </w:r>
    </w:p>
    <w:p w14:paraId="230F510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35. </w:t>
      </w:r>
      <w:r w:rsidRPr="00E80AD6">
        <w:rPr>
          <w:rFonts w:ascii="Arial" w:hAnsi="Arial" w:cs="Arial"/>
          <w:color w:val="000000"/>
          <w:sz w:val="20"/>
        </w:rPr>
        <w:tab/>
        <w:t xml:space="preserve">J. Xu, Y. Qiang, H. Cai, L. Zou, Power outage and environmental justice in Winter Storm Uri: an analytical workflow based on nighttime light remote sensing. </w:t>
      </w:r>
      <w:r w:rsidRPr="00E80AD6">
        <w:rPr>
          <w:rFonts w:ascii="Arial" w:hAnsi="Arial" w:cs="Arial"/>
          <w:i/>
          <w:iCs/>
          <w:color w:val="000000"/>
          <w:sz w:val="20"/>
        </w:rPr>
        <w:t>International Journal of Digital Earth</w:t>
      </w:r>
      <w:r w:rsidRPr="00E80AD6">
        <w:rPr>
          <w:rFonts w:ascii="Arial" w:hAnsi="Arial" w:cs="Arial"/>
          <w:color w:val="000000"/>
          <w:sz w:val="20"/>
        </w:rPr>
        <w:t xml:space="preserve"> </w:t>
      </w:r>
      <w:r w:rsidRPr="00E80AD6">
        <w:rPr>
          <w:rFonts w:ascii="Arial" w:hAnsi="Arial" w:cs="Arial"/>
          <w:b/>
          <w:bCs/>
          <w:color w:val="000000"/>
          <w:sz w:val="20"/>
        </w:rPr>
        <w:t>16</w:t>
      </w:r>
      <w:r w:rsidRPr="00E80AD6">
        <w:rPr>
          <w:rFonts w:ascii="Arial" w:hAnsi="Arial" w:cs="Arial"/>
          <w:color w:val="000000"/>
          <w:sz w:val="20"/>
        </w:rPr>
        <w:t>, 2259–2278 (2023).</w:t>
      </w:r>
    </w:p>
    <w:p w14:paraId="1DA3DA4D"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36. </w:t>
      </w:r>
      <w:r w:rsidRPr="00E80AD6">
        <w:rPr>
          <w:rFonts w:ascii="Arial" w:hAnsi="Arial" w:cs="Arial"/>
          <w:color w:val="000000"/>
          <w:sz w:val="20"/>
        </w:rPr>
        <w:tab/>
        <w:t xml:space="preserve">Z. Shah, </w:t>
      </w:r>
      <w:r w:rsidRPr="00E80AD6">
        <w:rPr>
          <w:rFonts w:ascii="Arial" w:hAnsi="Arial" w:cs="Arial"/>
          <w:i/>
          <w:iCs/>
          <w:color w:val="000000"/>
          <w:sz w:val="20"/>
        </w:rPr>
        <w:t>et al.</w:t>
      </w:r>
      <w:r w:rsidRPr="00E80AD6">
        <w:rPr>
          <w:rFonts w:ascii="Arial" w:hAnsi="Arial" w:cs="Arial"/>
          <w:color w:val="000000"/>
          <w:sz w:val="20"/>
        </w:rPr>
        <w:t xml:space="preserve">, The electricity scene from above: Exploring power grid inconsistencies using satellite data in Accra, Ghana. </w:t>
      </w:r>
      <w:r w:rsidRPr="00E80AD6">
        <w:rPr>
          <w:rFonts w:ascii="Arial" w:hAnsi="Arial" w:cs="Arial"/>
          <w:i/>
          <w:iCs/>
          <w:color w:val="000000"/>
          <w:sz w:val="20"/>
        </w:rPr>
        <w:t>Applied Energy</w:t>
      </w:r>
      <w:r w:rsidRPr="00E80AD6">
        <w:rPr>
          <w:rFonts w:ascii="Arial" w:hAnsi="Arial" w:cs="Arial"/>
          <w:color w:val="000000"/>
          <w:sz w:val="20"/>
        </w:rPr>
        <w:t xml:space="preserve"> </w:t>
      </w:r>
      <w:r w:rsidRPr="00E80AD6">
        <w:rPr>
          <w:rFonts w:ascii="Arial" w:hAnsi="Arial" w:cs="Arial"/>
          <w:b/>
          <w:bCs/>
          <w:color w:val="000000"/>
          <w:sz w:val="20"/>
        </w:rPr>
        <w:t>319</w:t>
      </w:r>
      <w:r w:rsidRPr="00E80AD6">
        <w:rPr>
          <w:rFonts w:ascii="Arial" w:hAnsi="Arial" w:cs="Arial"/>
          <w:color w:val="000000"/>
          <w:sz w:val="20"/>
        </w:rPr>
        <w:t>, 119237 (2022).</w:t>
      </w:r>
    </w:p>
    <w:p w14:paraId="31FA794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37. </w:t>
      </w:r>
      <w:r w:rsidRPr="00E80AD6">
        <w:rPr>
          <w:rFonts w:ascii="Arial" w:hAnsi="Arial" w:cs="Arial"/>
          <w:color w:val="000000"/>
          <w:sz w:val="20"/>
        </w:rPr>
        <w:tab/>
        <w:t xml:space="preserve">H. McBrien, D. Mork, M.-A. Kioumourtzoglou, J. A. Casey, Assessing potential sources of bias in measuring power outage exposure with simulations. </w:t>
      </w:r>
      <w:r w:rsidRPr="00E80AD6">
        <w:rPr>
          <w:rFonts w:ascii="Arial" w:hAnsi="Arial" w:cs="Arial"/>
          <w:i/>
          <w:iCs/>
          <w:color w:val="000000"/>
          <w:sz w:val="20"/>
        </w:rPr>
        <w:t>Under review at Environmental Health</w:t>
      </w:r>
      <w:r w:rsidRPr="00E80AD6">
        <w:rPr>
          <w:rFonts w:ascii="Arial" w:hAnsi="Arial" w:cs="Arial"/>
          <w:color w:val="000000"/>
          <w:sz w:val="20"/>
        </w:rPr>
        <w:t>.</w:t>
      </w:r>
    </w:p>
    <w:p w14:paraId="710AEF81"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38. </w:t>
      </w:r>
      <w:r w:rsidRPr="00E80AD6">
        <w:rPr>
          <w:rFonts w:ascii="Arial" w:hAnsi="Arial" w:cs="Arial"/>
          <w:color w:val="000000"/>
          <w:sz w:val="20"/>
        </w:rPr>
        <w:tab/>
        <w:t xml:space="preserve">A. J. Northrop, N. M. Flores, V. Do, P. E. Sheffield, J. A. Casey, Power outages and pediatric unintentional injury hospitalizations in New York State. </w:t>
      </w:r>
      <w:r w:rsidRPr="00E80AD6">
        <w:rPr>
          <w:rFonts w:ascii="Arial" w:hAnsi="Arial" w:cs="Arial"/>
          <w:i/>
          <w:iCs/>
          <w:color w:val="000000"/>
          <w:sz w:val="20"/>
        </w:rPr>
        <w:t>Environmental Epidemiology</w:t>
      </w:r>
      <w:r w:rsidRPr="00E80AD6">
        <w:rPr>
          <w:rFonts w:ascii="Arial" w:hAnsi="Arial" w:cs="Arial"/>
          <w:color w:val="000000"/>
          <w:sz w:val="20"/>
        </w:rPr>
        <w:t xml:space="preserve"> </w:t>
      </w:r>
      <w:r w:rsidRPr="00E80AD6">
        <w:rPr>
          <w:rFonts w:ascii="Arial" w:hAnsi="Arial" w:cs="Arial"/>
          <w:b/>
          <w:bCs/>
          <w:color w:val="000000"/>
          <w:sz w:val="20"/>
        </w:rPr>
        <w:t>8</w:t>
      </w:r>
      <w:r w:rsidRPr="00E80AD6">
        <w:rPr>
          <w:rFonts w:ascii="Arial" w:hAnsi="Arial" w:cs="Arial"/>
          <w:color w:val="000000"/>
          <w:sz w:val="20"/>
        </w:rPr>
        <w:t>, e287 (2024).</w:t>
      </w:r>
    </w:p>
    <w:p w14:paraId="4B9324D8"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39. </w:t>
      </w:r>
      <w:r w:rsidRPr="00E80AD6">
        <w:rPr>
          <w:rFonts w:ascii="Arial" w:hAnsi="Arial" w:cs="Arial"/>
          <w:color w:val="000000"/>
          <w:sz w:val="20"/>
        </w:rPr>
        <w:tab/>
        <w:t xml:space="preserve">U.S. Energy Information Administration Electricity Data. </w:t>
      </w:r>
      <w:r w:rsidRPr="00E80AD6">
        <w:rPr>
          <w:rFonts w:ascii="Arial" w:hAnsi="Arial" w:cs="Arial"/>
          <w:i/>
          <w:iCs/>
          <w:color w:val="000000"/>
          <w:sz w:val="20"/>
        </w:rPr>
        <w:t>U.S. Energy Information Administration Electricity Data</w:t>
      </w:r>
      <w:r w:rsidRPr="00E80AD6">
        <w:rPr>
          <w:rFonts w:ascii="Arial" w:hAnsi="Arial" w:cs="Arial"/>
          <w:color w:val="000000"/>
          <w:sz w:val="20"/>
        </w:rPr>
        <w:t>. Available at: https://www.eia.gov/electricity/data.php [Accessed 3 January 2024].</w:t>
      </w:r>
    </w:p>
    <w:p w14:paraId="66F94B68"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40. </w:t>
      </w:r>
      <w:r w:rsidRPr="00E80AD6">
        <w:rPr>
          <w:rFonts w:ascii="Arial" w:hAnsi="Arial" w:cs="Arial"/>
          <w:color w:val="000000"/>
          <w:sz w:val="20"/>
        </w:rPr>
        <w:tab/>
        <w:t xml:space="preserve">J. Xiao, </w:t>
      </w:r>
      <w:r w:rsidRPr="00E80AD6">
        <w:rPr>
          <w:rFonts w:ascii="Arial" w:hAnsi="Arial" w:cs="Arial"/>
          <w:i/>
          <w:iCs/>
          <w:color w:val="000000"/>
          <w:sz w:val="20"/>
        </w:rPr>
        <w:t>et al.</w:t>
      </w:r>
      <w:r w:rsidRPr="00E80AD6">
        <w:rPr>
          <w:rFonts w:ascii="Arial" w:hAnsi="Arial" w:cs="Arial"/>
          <w:color w:val="000000"/>
          <w:sz w:val="20"/>
        </w:rPr>
        <w:t xml:space="preserve">, Increased risk of multiple pregnancy complications following large-scale power outages during Hurricane Sandy in New York State. </w:t>
      </w:r>
      <w:r w:rsidRPr="00E80AD6">
        <w:rPr>
          <w:rFonts w:ascii="Arial" w:hAnsi="Arial" w:cs="Arial"/>
          <w:i/>
          <w:iCs/>
          <w:color w:val="000000"/>
          <w:sz w:val="20"/>
        </w:rPr>
        <w:t>Science of The Total Environment</w:t>
      </w:r>
      <w:r w:rsidRPr="00E80AD6">
        <w:rPr>
          <w:rFonts w:ascii="Arial" w:hAnsi="Arial" w:cs="Arial"/>
          <w:color w:val="000000"/>
          <w:sz w:val="20"/>
        </w:rPr>
        <w:t xml:space="preserve"> </w:t>
      </w:r>
      <w:r w:rsidRPr="00E80AD6">
        <w:rPr>
          <w:rFonts w:ascii="Arial" w:hAnsi="Arial" w:cs="Arial"/>
          <w:b/>
          <w:bCs/>
          <w:color w:val="000000"/>
          <w:sz w:val="20"/>
        </w:rPr>
        <w:t>770</w:t>
      </w:r>
      <w:r w:rsidRPr="00E80AD6">
        <w:rPr>
          <w:rFonts w:ascii="Arial" w:hAnsi="Arial" w:cs="Arial"/>
          <w:color w:val="000000"/>
          <w:sz w:val="20"/>
        </w:rPr>
        <w:t>, 145359 (2021).</w:t>
      </w:r>
    </w:p>
    <w:p w14:paraId="04CEC5ED"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41. </w:t>
      </w:r>
      <w:r w:rsidRPr="00E80AD6">
        <w:rPr>
          <w:rFonts w:ascii="Arial" w:hAnsi="Arial" w:cs="Arial"/>
          <w:color w:val="000000"/>
          <w:sz w:val="20"/>
        </w:rPr>
        <w:tab/>
        <w:t xml:space="preserve">B. G. Armstrong, A. </w:t>
      </w:r>
      <w:proofErr w:type="spellStart"/>
      <w:r w:rsidRPr="00E80AD6">
        <w:rPr>
          <w:rFonts w:ascii="Arial" w:hAnsi="Arial" w:cs="Arial"/>
          <w:color w:val="000000"/>
          <w:sz w:val="20"/>
        </w:rPr>
        <w:t>Gasparrini</w:t>
      </w:r>
      <w:proofErr w:type="spellEnd"/>
      <w:r w:rsidRPr="00E80AD6">
        <w:rPr>
          <w:rFonts w:ascii="Arial" w:hAnsi="Arial" w:cs="Arial"/>
          <w:color w:val="000000"/>
          <w:sz w:val="20"/>
        </w:rPr>
        <w:t xml:space="preserve">, A. Tobias, Conditional Poisson models: a flexible alternative to conditional logistic case cross-over analysis. </w:t>
      </w:r>
      <w:r w:rsidRPr="00E80AD6">
        <w:rPr>
          <w:rFonts w:ascii="Arial" w:hAnsi="Arial" w:cs="Arial"/>
          <w:i/>
          <w:iCs/>
          <w:color w:val="000000"/>
          <w:sz w:val="20"/>
        </w:rPr>
        <w:t xml:space="preserve">BMC Med Res </w:t>
      </w:r>
      <w:proofErr w:type="spellStart"/>
      <w:r w:rsidRPr="00E80AD6">
        <w:rPr>
          <w:rFonts w:ascii="Arial" w:hAnsi="Arial" w:cs="Arial"/>
          <w:i/>
          <w:iCs/>
          <w:color w:val="000000"/>
          <w:sz w:val="20"/>
        </w:rPr>
        <w:t>Methodol</w:t>
      </w:r>
      <w:proofErr w:type="spellEnd"/>
      <w:r w:rsidRPr="00E80AD6">
        <w:rPr>
          <w:rFonts w:ascii="Arial" w:hAnsi="Arial" w:cs="Arial"/>
          <w:color w:val="000000"/>
          <w:sz w:val="20"/>
        </w:rPr>
        <w:t xml:space="preserve"> </w:t>
      </w:r>
      <w:r w:rsidRPr="00E80AD6">
        <w:rPr>
          <w:rFonts w:ascii="Arial" w:hAnsi="Arial" w:cs="Arial"/>
          <w:b/>
          <w:bCs/>
          <w:color w:val="000000"/>
          <w:sz w:val="20"/>
        </w:rPr>
        <w:t>14</w:t>
      </w:r>
      <w:r w:rsidRPr="00E80AD6">
        <w:rPr>
          <w:rFonts w:ascii="Arial" w:hAnsi="Arial" w:cs="Arial"/>
          <w:color w:val="000000"/>
          <w:sz w:val="20"/>
        </w:rPr>
        <w:t>, 122 (2014).</w:t>
      </w:r>
    </w:p>
    <w:p w14:paraId="0B8BD337"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42. </w:t>
      </w:r>
      <w:r w:rsidRPr="00E80AD6">
        <w:rPr>
          <w:rFonts w:ascii="Arial" w:hAnsi="Arial" w:cs="Arial"/>
          <w:color w:val="000000"/>
          <w:sz w:val="20"/>
        </w:rPr>
        <w:tab/>
        <w:t xml:space="preserve">C. J. Gronlund, K. P. Sullivan, Y. </w:t>
      </w:r>
      <w:proofErr w:type="spellStart"/>
      <w:r w:rsidRPr="00E80AD6">
        <w:rPr>
          <w:rFonts w:ascii="Arial" w:hAnsi="Arial" w:cs="Arial"/>
          <w:color w:val="000000"/>
          <w:sz w:val="20"/>
        </w:rPr>
        <w:t>Kefelegn</w:t>
      </w:r>
      <w:proofErr w:type="spellEnd"/>
      <w:r w:rsidRPr="00E80AD6">
        <w:rPr>
          <w:rFonts w:ascii="Arial" w:hAnsi="Arial" w:cs="Arial"/>
          <w:color w:val="000000"/>
          <w:sz w:val="20"/>
        </w:rPr>
        <w:t xml:space="preserve">, L. Cameron, M. S. O’Neill, Climate change and temperature extremes: A review of heat- and cold-related morbidity and mortality concerns of municipalities. </w:t>
      </w:r>
      <w:proofErr w:type="spellStart"/>
      <w:r w:rsidRPr="00E80AD6">
        <w:rPr>
          <w:rFonts w:ascii="Arial" w:hAnsi="Arial" w:cs="Arial"/>
          <w:i/>
          <w:iCs/>
          <w:color w:val="000000"/>
          <w:sz w:val="20"/>
        </w:rPr>
        <w:t>Maturitas</w:t>
      </w:r>
      <w:proofErr w:type="spellEnd"/>
      <w:r w:rsidRPr="00E80AD6">
        <w:rPr>
          <w:rFonts w:ascii="Arial" w:hAnsi="Arial" w:cs="Arial"/>
          <w:color w:val="000000"/>
          <w:sz w:val="20"/>
        </w:rPr>
        <w:t xml:space="preserve"> </w:t>
      </w:r>
      <w:r w:rsidRPr="00E80AD6">
        <w:rPr>
          <w:rFonts w:ascii="Arial" w:hAnsi="Arial" w:cs="Arial"/>
          <w:b/>
          <w:bCs/>
          <w:color w:val="000000"/>
          <w:sz w:val="20"/>
        </w:rPr>
        <w:t>114</w:t>
      </w:r>
      <w:r w:rsidRPr="00E80AD6">
        <w:rPr>
          <w:rFonts w:ascii="Arial" w:hAnsi="Arial" w:cs="Arial"/>
          <w:color w:val="000000"/>
          <w:sz w:val="20"/>
        </w:rPr>
        <w:t>, 54–59 (2018).</w:t>
      </w:r>
    </w:p>
    <w:p w14:paraId="0E32AEB7"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43. </w:t>
      </w:r>
      <w:r w:rsidRPr="00E80AD6">
        <w:rPr>
          <w:rFonts w:ascii="Arial" w:hAnsi="Arial" w:cs="Arial"/>
          <w:color w:val="000000"/>
          <w:sz w:val="20"/>
        </w:rPr>
        <w:tab/>
        <w:t xml:space="preserve">C.-M. Tseng, </w:t>
      </w:r>
      <w:r w:rsidRPr="00E80AD6">
        <w:rPr>
          <w:rFonts w:ascii="Arial" w:hAnsi="Arial" w:cs="Arial"/>
          <w:i/>
          <w:iCs/>
          <w:color w:val="000000"/>
          <w:sz w:val="20"/>
        </w:rPr>
        <w:t>et al.</w:t>
      </w:r>
      <w:r w:rsidRPr="00E80AD6">
        <w:rPr>
          <w:rFonts w:ascii="Arial" w:hAnsi="Arial" w:cs="Arial"/>
          <w:color w:val="000000"/>
          <w:sz w:val="20"/>
        </w:rPr>
        <w:t xml:space="preserve">, The Effect of Cold Temperature on Increased Exacerbation of Chronic Obstructive Pulmonary Disease: A Nationwide Study. </w:t>
      </w:r>
      <w:proofErr w:type="spellStart"/>
      <w:r w:rsidRPr="00E80AD6">
        <w:rPr>
          <w:rFonts w:ascii="Arial" w:hAnsi="Arial" w:cs="Arial"/>
          <w:i/>
          <w:iCs/>
          <w:color w:val="000000"/>
          <w:sz w:val="20"/>
        </w:rPr>
        <w:t>PLoS</w:t>
      </w:r>
      <w:proofErr w:type="spellEnd"/>
      <w:r w:rsidRPr="00E80AD6">
        <w:rPr>
          <w:rFonts w:ascii="Arial" w:hAnsi="Arial" w:cs="Arial"/>
          <w:i/>
          <w:iCs/>
          <w:color w:val="000000"/>
          <w:sz w:val="20"/>
        </w:rPr>
        <w:t xml:space="preserve"> ONE</w:t>
      </w:r>
      <w:r w:rsidRPr="00E80AD6">
        <w:rPr>
          <w:rFonts w:ascii="Arial" w:hAnsi="Arial" w:cs="Arial"/>
          <w:color w:val="000000"/>
          <w:sz w:val="20"/>
        </w:rPr>
        <w:t xml:space="preserve"> </w:t>
      </w:r>
      <w:r w:rsidRPr="00E80AD6">
        <w:rPr>
          <w:rFonts w:ascii="Arial" w:hAnsi="Arial" w:cs="Arial"/>
          <w:b/>
          <w:bCs/>
          <w:color w:val="000000"/>
          <w:sz w:val="20"/>
        </w:rPr>
        <w:t>8</w:t>
      </w:r>
      <w:r w:rsidRPr="00E80AD6">
        <w:rPr>
          <w:rFonts w:ascii="Arial" w:hAnsi="Arial" w:cs="Arial"/>
          <w:color w:val="000000"/>
          <w:sz w:val="20"/>
        </w:rPr>
        <w:t>, e57066 (2013).</w:t>
      </w:r>
    </w:p>
    <w:p w14:paraId="49654BC4"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44. </w:t>
      </w:r>
      <w:r w:rsidRPr="00E80AD6">
        <w:rPr>
          <w:rFonts w:ascii="Arial" w:hAnsi="Arial" w:cs="Arial"/>
          <w:color w:val="000000"/>
          <w:sz w:val="20"/>
        </w:rPr>
        <w:tab/>
        <w:t xml:space="preserve">B. </w:t>
      </w:r>
      <w:proofErr w:type="spellStart"/>
      <w:r w:rsidRPr="00E80AD6">
        <w:rPr>
          <w:rFonts w:ascii="Arial" w:hAnsi="Arial" w:cs="Arial"/>
          <w:color w:val="000000"/>
          <w:sz w:val="20"/>
        </w:rPr>
        <w:t>Alahmad</w:t>
      </w:r>
      <w:proofErr w:type="spellEnd"/>
      <w:r w:rsidRPr="00E80AD6">
        <w:rPr>
          <w:rFonts w:ascii="Arial" w:hAnsi="Arial" w:cs="Arial"/>
          <w:color w:val="000000"/>
          <w:sz w:val="20"/>
        </w:rPr>
        <w:t xml:space="preserve">, </w:t>
      </w:r>
      <w:r w:rsidRPr="00E80AD6">
        <w:rPr>
          <w:rFonts w:ascii="Arial" w:hAnsi="Arial" w:cs="Arial"/>
          <w:i/>
          <w:iCs/>
          <w:color w:val="000000"/>
          <w:sz w:val="20"/>
        </w:rPr>
        <w:t>et al.</w:t>
      </w:r>
      <w:r w:rsidRPr="00E80AD6">
        <w:rPr>
          <w:rFonts w:ascii="Arial" w:hAnsi="Arial" w:cs="Arial"/>
          <w:color w:val="000000"/>
          <w:sz w:val="20"/>
        </w:rPr>
        <w:t xml:space="preserve">, Associations Between Extreme Temperatures and Cardiovascular Cause-Specific Mortality: Results From 27 Countries. </w:t>
      </w:r>
      <w:r w:rsidRPr="00E80AD6">
        <w:rPr>
          <w:rFonts w:ascii="Arial" w:hAnsi="Arial" w:cs="Arial"/>
          <w:i/>
          <w:iCs/>
          <w:color w:val="000000"/>
          <w:sz w:val="20"/>
        </w:rPr>
        <w:t>Circulation</w:t>
      </w:r>
      <w:r w:rsidRPr="00E80AD6">
        <w:rPr>
          <w:rFonts w:ascii="Arial" w:hAnsi="Arial" w:cs="Arial"/>
          <w:color w:val="000000"/>
          <w:sz w:val="20"/>
        </w:rPr>
        <w:t xml:space="preserve"> </w:t>
      </w:r>
      <w:r w:rsidRPr="00E80AD6">
        <w:rPr>
          <w:rFonts w:ascii="Arial" w:hAnsi="Arial" w:cs="Arial"/>
          <w:b/>
          <w:bCs/>
          <w:color w:val="000000"/>
          <w:sz w:val="20"/>
        </w:rPr>
        <w:t>147</w:t>
      </w:r>
      <w:r w:rsidRPr="00E80AD6">
        <w:rPr>
          <w:rFonts w:ascii="Arial" w:hAnsi="Arial" w:cs="Arial"/>
          <w:color w:val="000000"/>
          <w:sz w:val="20"/>
        </w:rPr>
        <w:t>, 35–46 (2023).</w:t>
      </w:r>
    </w:p>
    <w:p w14:paraId="4E187B43"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45. </w:t>
      </w:r>
      <w:r w:rsidRPr="00E80AD6">
        <w:rPr>
          <w:rFonts w:ascii="Arial" w:hAnsi="Arial" w:cs="Arial"/>
          <w:color w:val="000000"/>
          <w:sz w:val="20"/>
        </w:rPr>
        <w:tab/>
        <w:t xml:space="preserve">J. T. </w:t>
      </w:r>
      <w:proofErr w:type="spellStart"/>
      <w:r w:rsidRPr="00E80AD6">
        <w:rPr>
          <w:rFonts w:ascii="Arial" w:hAnsi="Arial" w:cs="Arial"/>
          <w:color w:val="000000"/>
          <w:sz w:val="20"/>
        </w:rPr>
        <w:t>Abatzoglou</w:t>
      </w:r>
      <w:proofErr w:type="spellEnd"/>
      <w:r w:rsidRPr="00E80AD6">
        <w:rPr>
          <w:rFonts w:ascii="Arial" w:hAnsi="Arial" w:cs="Arial"/>
          <w:color w:val="000000"/>
          <w:sz w:val="20"/>
        </w:rPr>
        <w:t xml:space="preserve">, Development of gridded surface meteorological data for ecological applications and modelling. </w:t>
      </w:r>
      <w:r w:rsidRPr="00E80AD6">
        <w:rPr>
          <w:rFonts w:ascii="Arial" w:hAnsi="Arial" w:cs="Arial"/>
          <w:i/>
          <w:iCs/>
          <w:color w:val="000000"/>
          <w:sz w:val="20"/>
        </w:rPr>
        <w:t>Intl Journal of Climatology</w:t>
      </w:r>
      <w:r w:rsidRPr="00E80AD6">
        <w:rPr>
          <w:rFonts w:ascii="Arial" w:hAnsi="Arial" w:cs="Arial"/>
          <w:color w:val="000000"/>
          <w:sz w:val="20"/>
        </w:rPr>
        <w:t xml:space="preserve"> </w:t>
      </w:r>
      <w:r w:rsidRPr="00E80AD6">
        <w:rPr>
          <w:rFonts w:ascii="Arial" w:hAnsi="Arial" w:cs="Arial"/>
          <w:b/>
          <w:bCs/>
          <w:color w:val="000000"/>
          <w:sz w:val="20"/>
        </w:rPr>
        <w:t>33</w:t>
      </w:r>
      <w:r w:rsidRPr="00E80AD6">
        <w:rPr>
          <w:rFonts w:ascii="Arial" w:hAnsi="Arial" w:cs="Arial"/>
          <w:color w:val="000000"/>
          <w:sz w:val="20"/>
        </w:rPr>
        <w:t>, 121–131 (2013).</w:t>
      </w:r>
    </w:p>
    <w:p w14:paraId="1C3DAA1C"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lastRenderedPageBreak/>
        <w:t xml:space="preserve">46. </w:t>
      </w:r>
      <w:r w:rsidRPr="00E80AD6">
        <w:rPr>
          <w:rFonts w:ascii="Arial" w:hAnsi="Arial" w:cs="Arial"/>
          <w:color w:val="000000"/>
          <w:sz w:val="20"/>
        </w:rPr>
        <w:tab/>
        <w:t xml:space="preserve">G. B. Anderson, </w:t>
      </w:r>
      <w:r w:rsidRPr="00E80AD6">
        <w:rPr>
          <w:rFonts w:ascii="Arial" w:hAnsi="Arial" w:cs="Arial"/>
          <w:i/>
          <w:iCs/>
          <w:color w:val="000000"/>
          <w:sz w:val="20"/>
        </w:rPr>
        <w:t>et al.</w:t>
      </w:r>
      <w:r w:rsidRPr="00E80AD6">
        <w:rPr>
          <w:rFonts w:ascii="Arial" w:hAnsi="Arial" w:cs="Arial"/>
          <w:color w:val="000000"/>
          <w:sz w:val="20"/>
        </w:rPr>
        <w:t xml:space="preserve">, Heat-related Emergency Hospitalizations for Respiratory Diseases in the Medicare Population. </w:t>
      </w:r>
      <w:r w:rsidRPr="00E80AD6">
        <w:rPr>
          <w:rFonts w:ascii="Arial" w:hAnsi="Arial" w:cs="Arial"/>
          <w:i/>
          <w:iCs/>
          <w:color w:val="000000"/>
          <w:sz w:val="20"/>
        </w:rPr>
        <w:t>Am J Respir Crit Care Med</w:t>
      </w:r>
      <w:r w:rsidRPr="00E80AD6">
        <w:rPr>
          <w:rFonts w:ascii="Arial" w:hAnsi="Arial" w:cs="Arial"/>
          <w:color w:val="000000"/>
          <w:sz w:val="20"/>
        </w:rPr>
        <w:t xml:space="preserve"> </w:t>
      </w:r>
      <w:r w:rsidRPr="00E80AD6">
        <w:rPr>
          <w:rFonts w:ascii="Arial" w:hAnsi="Arial" w:cs="Arial"/>
          <w:b/>
          <w:bCs/>
          <w:color w:val="000000"/>
          <w:sz w:val="20"/>
        </w:rPr>
        <w:t>187</w:t>
      </w:r>
      <w:r w:rsidRPr="00E80AD6">
        <w:rPr>
          <w:rFonts w:ascii="Arial" w:hAnsi="Arial" w:cs="Arial"/>
          <w:color w:val="000000"/>
          <w:sz w:val="20"/>
        </w:rPr>
        <w:t>, 1098–1103 (2013).</w:t>
      </w:r>
    </w:p>
    <w:p w14:paraId="04B3B5D0"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47. </w:t>
      </w:r>
      <w:r w:rsidRPr="00E80AD6">
        <w:rPr>
          <w:rFonts w:ascii="Arial" w:hAnsi="Arial" w:cs="Arial"/>
          <w:color w:val="000000"/>
          <w:sz w:val="20"/>
        </w:rPr>
        <w:tab/>
        <w:t xml:space="preserve">A. </w:t>
      </w:r>
      <w:proofErr w:type="spellStart"/>
      <w:r w:rsidRPr="00E80AD6">
        <w:rPr>
          <w:rFonts w:ascii="Arial" w:hAnsi="Arial" w:cs="Arial"/>
          <w:color w:val="000000"/>
          <w:sz w:val="20"/>
        </w:rPr>
        <w:t>Gasparrini</w:t>
      </w:r>
      <w:proofErr w:type="spellEnd"/>
      <w:r w:rsidRPr="00E80AD6">
        <w:rPr>
          <w:rFonts w:ascii="Arial" w:hAnsi="Arial" w:cs="Arial"/>
          <w:color w:val="000000"/>
          <w:sz w:val="20"/>
        </w:rPr>
        <w:t>, B. Armstrong, M. G. Kenward, Distributed lag non</w:t>
      </w:r>
      <w:r w:rsidRPr="00E80AD6">
        <w:rPr>
          <w:rFonts w:ascii="Cambria Math" w:hAnsi="Cambria Math" w:cs="Cambria Math"/>
          <w:color w:val="000000"/>
          <w:sz w:val="20"/>
        </w:rPr>
        <w:t>‐</w:t>
      </w:r>
      <w:r w:rsidRPr="00E80AD6">
        <w:rPr>
          <w:rFonts w:ascii="Arial" w:hAnsi="Arial" w:cs="Arial"/>
          <w:color w:val="000000"/>
          <w:sz w:val="20"/>
        </w:rPr>
        <w:t xml:space="preserve">linear models. </w:t>
      </w:r>
      <w:r w:rsidRPr="00E80AD6">
        <w:rPr>
          <w:rFonts w:ascii="Arial" w:hAnsi="Arial" w:cs="Arial"/>
          <w:i/>
          <w:iCs/>
          <w:color w:val="000000"/>
          <w:sz w:val="20"/>
        </w:rPr>
        <w:t>Statistics in Medicine</w:t>
      </w:r>
      <w:r w:rsidRPr="00E80AD6">
        <w:rPr>
          <w:rFonts w:ascii="Arial" w:hAnsi="Arial" w:cs="Arial"/>
          <w:color w:val="000000"/>
          <w:sz w:val="20"/>
        </w:rPr>
        <w:t xml:space="preserve"> </w:t>
      </w:r>
      <w:r w:rsidRPr="00E80AD6">
        <w:rPr>
          <w:rFonts w:ascii="Arial" w:hAnsi="Arial" w:cs="Arial"/>
          <w:b/>
          <w:bCs/>
          <w:color w:val="000000"/>
          <w:sz w:val="20"/>
        </w:rPr>
        <w:t>29</w:t>
      </w:r>
      <w:r w:rsidRPr="00E80AD6">
        <w:rPr>
          <w:rFonts w:ascii="Arial" w:hAnsi="Arial" w:cs="Arial"/>
          <w:color w:val="000000"/>
          <w:sz w:val="20"/>
        </w:rPr>
        <w:t>, 2224–2234 (2010).</w:t>
      </w:r>
    </w:p>
    <w:p w14:paraId="7D52A488"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48. </w:t>
      </w:r>
      <w:r w:rsidRPr="00E80AD6">
        <w:rPr>
          <w:rFonts w:ascii="Arial" w:hAnsi="Arial" w:cs="Arial"/>
          <w:color w:val="000000"/>
          <w:sz w:val="20"/>
        </w:rPr>
        <w:tab/>
        <w:t xml:space="preserve">HHS </w:t>
      </w:r>
      <w:proofErr w:type="spellStart"/>
      <w:r w:rsidRPr="00E80AD6">
        <w:rPr>
          <w:rFonts w:ascii="Arial" w:hAnsi="Arial" w:cs="Arial"/>
          <w:color w:val="000000"/>
          <w:sz w:val="20"/>
        </w:rPr>
        <w:t>emPOWER</w:t>
      </w:r>
      <w:proofErr w:type="spellEnd"/>
      <w:r w:rsidRPr="00E80AD6">
        <w:rPr>
          <w:rFonts w:ascii="Arial" w:hAnsi="Arial" w:cs="Arial"/>
          <w:color w:val="000000"/>
          <w:sz w:val="20"/>
        </w:rPr>
        <w:t xml:space="preserve"> program platform. Available at: https://empowerprogram.hhs.gov/ [Accessed 3 January 2024].</w:t>
      </w:r>
    </w:p>
    <w:p w14:paraId="667EE98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49. </w:t>
      </w:r>
      <w:r w:rsidRPr="00E80AD6">
        <w:rPr>
          <w:rFonts w:ascii="Arial" w:hAnsi="Arial" w:cs="Arial"/>
          <w:color w:val="000000"/>
          <w:sz w:val="20"/>
        </w:rPr>
        <w:tab/>
        <w:t xml:space="preserve">H. Turner, D. Firth, </w:t>
      </w:r>
      <w:proofErr w:type="spellStart"/>
      <w:r w:rsidRPr="00E80AD6">
        <w:rPr>
          <w:rFonts w:ascii="Arial" w:hAnsi="Arial" w:cs="Arial"/>
          <w:color w:val="000000"/>
          <w:sz w:val="20"/>
        </w:rPr>
        <w:t>gnm</w:t>
      </w:r>
      <w:proofErr w:type="spellEnd"/>
      <w:r w:rsidRPr="00E80AD6">
        <w:rPr>
          <w:rFonts w:ascii="Arial" w:hAnsi="Arial" w:cs="Arial"/>
          <w:color w:val="000000"/>
          <w:sz w:val="20"/>
        </w:rPr>
        <w:t>: Generalized Nonlinear Models. https://doi.org/10.32614/CRAN.package.gnm. Deposited 29 June 2005.</w:t>
      </w:r>
    </w:p>
    <w:p w14:paraId="2DD2682B"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50. </w:t>
      </w:r>
      <w:r w:rsidRPr="00E80AD6">
        <w:rPr>
          <w:rFonts w:ascii="Arial" w:hAnsi="Arial" w:cs="Arial"/>
          <w:color w:val="000000"/>
          <w:sz w:val="20"/>
        </w:rPr>
        <w:tab/>
        <w:t xml:space="preserve">W. Wang, J. Yan, Shape-Restricted Regression Splines with R Package splines2. </w:t>
      </w:r>
      <w:r w:rsidRPr="00E80AD6">
        <w:rPr>
          <w:rFonts w:ascii="Arial" w:hAnsi="Arial" w:cs="Arial"/>
          <w:i/>
          <w:iCs/>
          <w:color w:val="000000"/>
          <w:sz w:val="20"/>
        </w:rPr>
        <w:t>Journal of Data Science</w:t>
      </w:r>
      <w:r w:rsidRPr="00E80AD6">
        <w:rPr>
          <w:rFonts w:ascii="Arial" w:hAnsi="Arial" w:cs="Arial"/>
          <w:color w:val="000000"/>
          <w:sz w:val="20"/>
        </w:rPr>
        <w:t xml:space="preserve"> 498–517 (2021). https://doi.org/10.6339/21-JDS1020.</w:t>
      </w:r>
    </w:p>
    <w:p w14:paraId="7BF2F7F5" w14:textId="77777777" w:rsidR="00E80AD6" w:rsidRPr="00E80AD6" w:rsidRDefault="00E80AD6" w:rsidP="00E80AD6">
      <w:pPr>
        <w:pStyle w:val="Bibliography"/>
        <w:rPr>
          <w:rFonts w:ascii="Arial" w:hAnsi="Arial" w:cs="Arial"/>
          <w:color w:val="000000"/>
          <w:sz w:val="20"/>
        </w:rPr>
      </w:pPr>
      <w:r w:rsidRPr="00E80AD6">
        <w:rPr>
          <w:rFonts w:ascii="Arial" w:hAnsi="Arial" w:cs="Arial"/>
          <w:color w:val="000000"/>
          <w:sz w:val="20"/>
        </w:rPr>
        <w:t xml:space="preserve">51. </w:t>
      </w:r>
      <w:r w:rsidRPr="00E80AD6">
        <w:rPr>
          <w:rFonts w:ascii="Arial" w:hAnsi="Arial" w:cs="Arial"/>
          <w:color w:val="000000"/>
          <w:sz w:val="20"/>
        </w:rPr>
        <w:tab/>
        <w:t xml:space="preserve">A. </w:t>
      </w:r>
      <w:proofErr w:type="spellStart"/>
      <w:r w:rsidRPr="00E80AD6">
        <w:rPr>
          <w:rFonts w:ascii="Arial" w:hAnsi="Arial" w:cs="Arial"/>
          <w:color w:val="000000"/>
          <w:sz w:val="20"/>
        </w:rPr>
        <w:t>Gasparrini</w:t>
      </w:r>
      <w:proofErr w:type="spellEnd"/>
      <w:r w:rsidRPr="00E80AD6">
        <w:rPr>
          <w:rFonts w:ascii="Arial" w:hAnsi="Arial" w:cs="Arial"/>
          <w:color w:val="000000"/>
          <w:sz w:val="20"/>
        </w:rPr>
        <w:t xml:space="preserve">, Distributed Lag Linear and Non-Linear Models in </w:t>
      </w:r>
      <w:proofErr w:type="gramStart"/>
      <w:r w:rsidRPr="00E80AD6">
        <w:rPr>
          <w:rFonts w:ascii="Arial" w:hAnsi="Arial" w:cs="Arial"/>
          <w:i/>
          <w:iCs/>
          <w:color w:val="000000"/>
          <w:sz w:val="20"/>
        </w:rPr>
        <w:t>R</w:t>
      </w:r>
      <w:r w:rsidRPr="00E80AD6">
        <w:rPr>
          <w:rFonts w:ascii="Arial" w:hAnsi="Arial" w:cs="Arial"/>
          <w:color w:val="000000"/>
          <w:sz w:val="20"/>
        </w:rPr>
        <w:t> :</w:t>
      </w:r>
      <w:proofErr w:type="gramEnd"/>
      <w:r w:rsidRPr="00E80AD6">
        <w:rPr>
          <w:rFonts w:ascii="Arial" w:hAnsi="Arial" w:cs="Arial"/>
          <w:color w:val="000000"/>
          <w:sz w:val="20"/>
        </w:rPr>
        <w:t xml:space="preserve"> The Package </w:t>
      </w:r>
      <w:proofErr w:type="spellStart"/>
      <w:r w:rsidRPr="00E80AD6">
        <w:rPr>
          <w:rFonts w:ascii="Arial" w:hAnsi="Arial" w:cs="Arial"/>
          <w:b/>
          <w:bCs/>
          <w:color w:val="000000"/>
          <w:sz w:val="20"/>
        </w:rPr>
        <w:t>dlnm</w:t>
      </w:r>
      <w:proofErr w:type="spellEnd"/>
      <w:r w:rsidRPr="00E80AD6">
        <w:rPr>
          <w:rFonts w:ascii="Arial" w:hAnsi="Arial" w:cs="Arial"/>
          <w:color w:val="000000"/>
          <w:sz w:val="20"/>
        </w:rPr>
        <w:t xml:space="preserve">. </w:t>
      </w:r>
      <w:r w:rsidRPr="00E80AD6">
        <w:rPr>
          <w:rFonts w:ascii="Arial" w:hAnsi="Arial" w:cs="Arial"/>
          <w:i/>
          <w:iCs/>
          <w:color w:val="000000"/>
          <w:sz w:val="20"/>
        </w:rPr>
        <w:t>J. Stat. Soft.</w:t>
      </w:r>
      <w:r w:rsidRPr="00E80AD6">
        <w:rPr>
          <w:rFonts w:ascii="Arial" w:hAnsi="Arial" w:cs="Arial"/>
          <w:color w:val="000000"/>
          <w:sz w:val="20"/>
        </w:rPr>
        <w:t xml:space="preserve"> </w:t>
      </w:r>
      <w:r w:rsidRPr="00E80AD6">
        <w:rPr>
          <w:rFonts w:ascii="Arial" w:hAnsi="Arial" w:cs="Arial"/>
          <w:b/>
          <w:bCs/>
          <w:color w:val="000000"/>
          <w:sz w:val="20"/>
        </w:rPr>
        <w:t>43</w:t>
      </w:r>
      <w:r w:rsidRPr="00E80AD6">
        <w:rPr>
          <w:rFonts w:ascii="Arial" w:hAnsi="Arial" w:cs="Arial"/>
          <w:color w:val="000000"/>
          <w:sz w:val="20"/>
        </w:rPr>
        <w:t xml:space="preserve"> (2011).</w:t>
      </w:r>
    </w:p>
    <w:p w14:paraId="573086FD" w14:textId="089606CA" w:rsidR="00E80AD6" w:rsidRDefault="00E80AD6"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4023D00D" w14:textId="77777777" w:rsidR="00E80AD6" w:rsidRDefault="00E80AD6" w:rsidP="000854BD">
      <w:pPr>
        <w:keepNext/>
        <w:pBdr>
          <w:top w:val="nil"/>
          <w:left w:val="nil"/>
          <w:bottom w:val="nil"/>
          <w:right w:val="nil"/>
          <w:between w:val="nil"/>
        </w:pBdr>
        <w:spacing w:before="240" w:after="60"/>
        <w:contextualSpacing/>
        <w:jc w:val="both"/>
        <w:rPr>
          <w:lang w:val="en-CA"/>
        </w:rPr>
      </w:pPr>
    </w:p>
    <w:p w14:paraId="20531CA6" w14:textId="77777777" w:rsidR="00E80AD6" w:rsidRDefault="00E80AD6" w:rsidP="000854BD">
      <w:pPr>
        <w:keepNext/>
        <w:pBdr>
          <w:top w:val="nil"/>
          <w:left w:val="nil"/>
          <w:bottom w:val="nil"/>
          <w:right w:val="nil"/>
          <w:between w:val="nil"/>
        </w:pBdr>
        <w:spacing w:before="240" w:after="60"/>
        <w:contextualSpacing/>
        <w:jc w:val="both"/>
        <w:rPr>
          <w:lang w:val="en-CA"/>
        </w:rPr>
      </w:pPr>
    </w:p>
    <w:p w14:paraId="2E143BDF" w14:textId="77777777" w:rsidR="00E80AD6" w:rsidRDefault="00E80AD6" w:rsidP="000854BD">
      <w:pPr>
        <w:keepNext/>
        <w:pBdr>
          <w:top w:val="nil"/>
          <w:left w:val="nil"/>
          <w:bottom w:val="nil"/>
          <w:right w:val="nil"/>
          <w:between w:val="nil"/>
        </w:pBdr>
        <w:spacing w:before="240" w:after="60"/>
        <w:contextualSpacing/>
        <w:jc w:val="both"/>
        <w:rPr>
          <w:lang w:val="en-CA"/>
        </w:rPr>
      </w:pPr>
    </w:p>
    <w:p w14:paraId="789185E0" w14:textId="77777777" w:rsidR="00E80AD6" w:rsidRDefault="00E80AD6" w:rsidP="000854BD">
      <w:pPr>
        <w:keepNext/>
        <w:pBdr>
          <w:top w:val="nil"/>
          <w:left w:val="nil"/>
          <w:bottom w:val="nil"/>
          <w:right w:val="nil"/>
          <w:between w:val="nil"/>
        </w:pBdr>
        <w:spacing w:before="240" w:after="60"/>
        <w:contextualSpacing/>
        <w:jc w:val="both"/>
        <w:rPr>
          <w:lang w:val="en-CA"/>
        </w:rPr>
      </w:pPr>
    </w:p>
    <w:p w14:paraId="3A67A988" w14:textId="77777777" w:rsidR="00E80AD6" w:rsidRDefault="00E80AD6" w:rsidP="000854BD">
      <w:pPr>
        <w:keepNext/>
        <w:pBdr>
          <w:top w:val="nil"/>
          <w:left w:val="nil"/>
          <w:bottom w:val="nil"/>
          <w:right w:val="nil"/>
          <w:between w:val="nil"/>
        </w:pBdr>
        <w:spacing w:before="240" w:after="60"/>
        <w:contextualSpacing/>
        <w:jc w:val="both"/>
        <w:rPr>
          <w:lang w:val="en-CA"/>
        </w:rPr>
      </w:pPr>
    </w:p>
    <w:p w14:paraId="5DC8E86F" w14:textId="77777777" w:rsidR="00E80AD6" w:rsidRDefault="00E80AD6" w:rsidP="000854BD">
      <w:pPr>
        <w:keepNext/>
        <w:pBdr>
          <w:top w:val="nil"/>
          <w:left w:val="nil"/>
          <w:bottom w:val="nil"/>
          <w:right w:val="nil"/>
          <w:between w:val="nil"/>
        </w:pBdr>
        <w:spacing w:before="240" w:after="60"/>
        <w:contextualSpacing/>
        <w:jc w:val="both"/>
        <w:rPr>
          <w:lang w:val="en-CA"/>
        </w:rPr>
      </w:pPr>
    </w:p>
    <w:p w14:paraId="63D289F2" w14:textId="77777777" w:rsidR="00E80AD6" w:rsidRDefault="00E80AD6" w:rsidP="000854BD">
      <w:pPr>
        <w:keepNext/>
        <w:pBdr>
          <w:top w:val="nil"/>
          <w:left w:val="nil"/>
          <w:bottom w:val="nil"/>
          <w:right w:val="nil"/>
          <w:between w:val="nil"/>
        </w:pBdr>
        <w:spacing w:before="240" w:after="60"/>
        <w:contextualSpacing/>
        <w:jc w:val="both"/>
        <w:rPr>
          <w:lang w:val="en-CA"/>
        </w:rPr>
      </w:pPr>
    </w:p>
    <w:p w14:paraId="4DD5CB5F" w14:textId="77777777" w:rsidR="00E80AD6" w:rsidRDefault="00E80AD6" w:rsidP="000854BD">
      <w:pPr>
        <w:keepNext/>
        <w:pBdr>
          <w:top w:val="nil"/>
          <w:left w:val="nil"/>
          <w:bottom w:val="nil"/>
          <w:right w:val="nil"/>
          <w:between w:val="nil"/>
        </w:pBdr>
        <w:spacing w:before="240" w:after="60"/>
        <w:contextualSpacing/>
        <w:jc w:val="both"/>
        <w:rPr>
          <w:lang w:val="en-CA"/>
        </w:rPr>
      </w:pPr>
    </w:p>
    <w:p w14:paraId="601384D5" w14:textId="77777777" w:rsidR="00E80AD6" w:rsidRDefault="00E80AD6" w:rsidP="000854BD">
      <w:pPr>
        <w:keepNext/>
        <w:pBdr>
          <w:top w:val="nil"/>
          <w:left w:val="nil"/>
          <w:bottom w:val="nil"/>
          <w:right w:val="nil"/>
          <w:between w:val="nil"/>
        </w:pBdr>
        <w:spacing w:before="240" w:after="60"/>
        <w:contextualSpacing/>
        <w:jc w:val="both"/>
        <w:rPr>
          <w:lang w:val="en-CA"/>
        </w:rPr>
      </w:pPr>
    </w:p>
    <w:p w14:paraId="31E7BC72" w14:textId="77777777" w:rsidR="00E80AD6" w:rsidRDefault="00E80AD6" w:rsidP="000854BD">
      <w:pPr>
        <w:keepNext/>
        <w:pBdr>
          <w:top w:val="nil"/>
          <w:left w:val="nil"/>
          <w:bottom w:val="nil"/>
          <w:right w:val="nil"/>
          <w:between w:val="nil"/>
        </w:pBdr>
        <w:spacing w:before="240" w:after="60"/>
        <w:contextualSpacing/>
        <w:jc w:val="both"/>
        <w:rPr>
          <w:lang w:val="en-CA"/>
        </w:rPr>
      </w:pPr>
    </w:p>
    <w:p w14:paraId="72402A2A" w14:textId="77777777" w:rsidR="00E80AD6" w:rsidRDefault="00E80AD6" w:rsidP="000854BD">
      <w:pPr>
        <w:keepNext/>
        <w:pBdr>
          <w:top w:val="nil"/>
          <w:left w:val="nil"/>
          <w:bottom w:val="nil"/>
          <w:right w:val="nil"/>
          <w:between w:val="nil"/>
        </w:pBdr>
        <w:spacing w:before="240" w:after="60"/>
        <w:contextualSpacing/>
        <w:jc w:val="both"/>
        <w:rPr>
          <w:lang w:val="en-CA"/>
        </w:rPr>
      </w:pPr>
    </w:p>
    <w:p w14:paraId="386EF090" w14:textId="77777777" w:rsidR="00E80AD6" w:rsidRDefault="00E80AD6" w:rsidP="000854BD">
      <w:pPr>
        <w:keepNext/>
        <w:pBdr>
          <w:top w:val="nil"/>
          <w:left w:val="nil"/>
          <w:bottom w:val="nil"/>
          <w:right w:val="nil"/>
          <w:between w:val="nil"/>
        </w:pBdr>
        <w:spacing w:before="240" w:after="60"/>
        <w:contextualSpacing/>
        <w:jc w:val="both"/>
        <w:rPr>
          <w:lang w:val="en-CA"/>
        </w:rPr>
      </w:pPr>
    </w:p>
    <w:p w14:paraId="6D773212" w14:textId="77777777" w:rsidR="00E80AD6" w:rsidRDefault="00E80AD6" w:rsidP="000854BD">
      <w:pPr>
        <w:keepNext/>
        <w:pBdr>
          <w:top w:val="nil"/>
          <w:left w:val="nil"/>
          <w:bottom w:val="nil"/>
          <w:right w:val="nil"/>
          <w:between w:val="nil"/>
        </w:pBdr>
        <w:spacing w:before="240" w:after="60"/>
        <w:contextualSpacing/>
        <w:jc w:val="both"/>
        <w:rPr>
          <w:lang w:val="en-CA"/>
        </w:rPr>
      </w:pPr>
    </w:p>
    <w:p w14:paraId="01793CDA" w14:textId="77777777" w:rsidR="00E80AD6" w:rsidRDefault="00E80AD6" w:rsidP="000854BD">
      <w:pPr>
        <w:keepNext/>
        <w:pBdr>
          <w:top w:val="nil"/>
          <w:left w:val="nil"/>
          <w:bottom w:val="nil"/>
          <w:right w:val="nil"/>
          <w:between w:val="nil"/>
        </w:pBdr>
        <w:spacing w:before="240" w:after="60"/>
        <w:contextualSpacing/>
        <w:jc w:val="both"/>
        <w:rPr>
          <w:lang w:val="en-CA"/>
        </w:rPr>
      </w:pPr>
    </w:p>
    <w:p w14:paraId="22378F80" w14:textId="77777777" w:rsidR="00E80AD6" w:rsidRDefault="00E80AD6" w:rsidP="000854BD">
      <w:pPr>
        <w:keepNext/>
        <w:pBdr>
          <w:top w:val="nil"/>
          <w:left w:val="nil"/>
          <w:bottom w:val="nil"/>
          <w:right w:val="nil"/>
          <w:between w:val="nil"/>
        </w:pBdr>
        <w:spacing w:before="240" w:after="60"/>
        <w:contextualSpacing/>
        <w:jc w:val="both"/>
        <w:rPr>
          <w:lang w:val="en-CA"/>
        </w:rPr>
      </w:pPr>
    </w:p>
    <w:p w14:paraId="4471FBA7" w14:textId="77777777" w:rsidR="00E80AD6" w:rsidRDefault="00E80AD6" w:rsidP="000854BD">
      <w:pPr>
        <w:keepNext/>
        <w:pBdr>
          <w:top w:val="nil"/>
          <w:left w:val="nil"/>
          <w:bottom w:val="nil"/>
          <w:right w:val="nil"/>
          <w:between w:val="nil"/>
        </w:pBdr>
        <w:spacing w:before="240" w:after="60"/>
        <w:contextualSpacing/>
        <w:jc w:val="both"/>
        <w:rPr>
          <w:lang w:val="en-CA"/>
        </w:rPr>
      </w:pPr>
    </w:p>
    <w:p w14:paraId="59FBD15E" w14:textId="77777777" w:rsidR="00E80AD6" w:rsidRDefault="00E80AD6" w:rsidP="000854BD">
      <w:pPr>
        <w:keepNext/>
        <w:pBdr>
          <w:top w:val="nil"/>
          <w:left w:val="nil"/>
          <w:bottom w:val="nil"/>
          <w:right w:val="nil"/>
          <w:between w:val="nil"/>
        </w:pBdr>
        <w:spacing w:before="240" w:after="60"/>
        <w:contextualSpacing/>
        <w:jc w:val="both"/>
        <w:rPr>
          <w:lang w:val="en-CA"/>
        </w:rPr>
      </w:pPr>
    </w:p>
    <w:p w14:paraId="2A676FE0" w14:textId="6F744158" w:rsidR="00E6133D" w:rsidRDefault="00980C22"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3323E449" w14:textId="2CC530A6" w:rsidR="00BE76BD" w:rsidRDefault="00BE76BD"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E02341B" w14:textId="0071DAD0" w:rsidR="00C01470" w:rsidRPr="00C01470" w:rsidRDefault="00C01470" w:rsidP="000854BD">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r>
        <w:rPr>
          <w:rFonts w:ascii="Arial" w:hAnsi="Arial" w:cs="Arial"/>
          <w:b/>
          <w:color w:val="000000"/>
          <w:sz w:val="20"/>
          <w:szCs w:val="20"/>
        </w:rPr>
        <w:t>Figure 1.</w:t>
      </w:r>
    </w:p>
    <w:p w14:paraId="16655548" w14:textId="7619BBD8" w:rsidR="000854BD" w:rsidRDefault="000854B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001C0508" w14:textId="54484248" w:rsidR="000854BD" w:rsidRPr="00430D5E" w:rsidRDefault="00334570" w:rsidP="000854BD">
      <w:pPr>
        <w:rPr>
          <w:rFonts w:ascii="Arial" w:hAnsi="Arial" w:cs="Arial"/>
          <w:b/>
          <w:bCs/>
        </w:rPr>
      </w:pPr>
      <w:r>
        <w:rPr>
          <w:rFonts w:ascii="Arial" w:hAnsi="Arial" w:cs="Arial"/>
          <w:b/>
          <w:bCs/>
          <w:noProof/>
        </w:rPr>
        <w:drawing>
          <wp:anchor distT="0" distB="0" distL="114300" distR="114300" simplePos="0" relativeHeight="251667456" behindDoc="0" locked="0" layoutInCell="1" allowOverlap="1" wp14:anchorId="238D439E" wp14:editId="3B538930">
            <wp:simplePos x="0" y="0"/>
            <wp:positionH relativeFrom="column">
              <wp:posOffset>-148180</wp:posOffset>
            </wp:positionH>
            <wp:positionV relativeFrom="paragraph">
              <wp:posOffset>265430</wp:posOffset>
            </wp:positionV>
            <wp:extent cx="6250305" cy="2524125"/>
            <wp:effectExtent l="0" t="0" r="0" b="3175"/>
            <wp:wrapSquare wrapText="bothSides"/>
            <wp:docPr id="2091291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1818" name="Picture 20912918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0305" cy="2524125"/>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F87246B" w:rsidR="000854BD" w:rsidRDefault="000854BD" w:rsidP="000854BD">
      <w:pPr>
        <w:rPr>
          <w:rFonts w:ascii="Arial" w:hAnsi="Arial" w:cs="Arial"/>
          <w:b/>
          <w:bCs/>
        </w:rPr>
      </w:pPr>
      <w:r>
        <w:rPr>
          <w:rFonts w:ascii="Arial" w:hAnsi="Arial" w:cs="Arial"/>
          <w:b/>
          <w:bCs/>
        </w:rPr>
        <w:t>C.</w:t>
      </w:r>
    </w:p>
    <w:p w14:paraId="3224973F" w14:textId="4E8CE819" w:rsidR="000854BD" w:rsidRDefault="00C17C05" w:rsidP="000854BD">
      <w:pPr>
        <w:rPr>
          <w:rFonts w:ascii="Arial" w:hAnsi="Arial" w:cs="Arial"/>
          <w:b/>
          <w:bCs/>
        </w:rPr>
      </w:pPr>
      <w:r>
        <w:rPr>
          <w:rFonts w:ascii="Arial" w:hAnsi="Arial" w:cs="Arial"/>
          <w:b/>
          <w:bCs/>
          <w:noProof/>
        </w:rPr>
        <w:drawing>
          <wp:anchor distT="0" distB="0" distL="114300" distR="114300" simplePos="0" relativeHeight="251660288" behindDoc="0" locked="0" layoutInCell="1" allowOverlap="1" wp14:anchorId="685E38A6" wp14:editId="04CE302A">
            <wp:simplePos x="0" y="0"/>
            <wp:positionH relativeFrom="column">
              <wp:posOffset>2540</wp:posOffset>
            </wp:positionH>
            <wp:positionV relativeFrom="paragraph">
              <wp:posOffset>114935</wp:posOffset>
            </wp:positionV>
            <wp:extent cx="3611245" cy="238125"/>
            <wp:effectExtent l="0" t="0" r="0" b="3175"/>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rotWithShape="1">
                    <a:blip r:embed="rId17" cstate="print">
                      <a:extLst>
                        <a:ext uri="{28A0092B-C50C-407E-A947-70E740481C1C}">
                          <a14:useLocalDpi xmlns:a14="http://schemas.microsoft.com/office/drawing/2010/main" val="0"/>
                        </a:ext>
                      </a:extLst>
                    </a:blip>
                    <a:srcRect b="90353"/>
                    <a:stretch/>
                  </pic:blipFill>
                  <pic:spPr bwMode="auto">
                    <a:xfrm>
                      <a:off x="0" y="0"/>
                      <a:ext cx="361124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54DD1" w14:textId="0EA2F107" w:rsidR="000854BD" w:rsidRDefault="000E4671" w:rsidP="000854BD">
      <w:pPr>
        <w:rPr>
          <w:rFonts w:ascii="Arial" w:hAnsi="Arial" w:cs="Arial"/>
          <w:b/>
          <w:bCs/>
        </w:rPr>
      </w:pPr>
      <w:r>
        <w:rPr>
          <w:rFonts w:ascii="Arial" w:hAnsi="Arial" w:cs="Arial"/>
          <w:b/>
          <w:bCs/>
          <w:noProof/>
        </w:rPr>
        <w:lastRenderedPageBreak/>
        <w:drawing>
          <wp:inline distT="0" distB="0" distL="0" distR="0" wp14:anchorId="4B7C5102" wp14:editId="2FFD5F4A">
            <wp:extent cx="2997835" cy="1970452"/>
            <wp:effectExtent l="0" t="0" r="0" b="0"/>
            <wp:docPr id="1976131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1997" name="Picture 19761319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597" cy="2016963"/>
                    </a:xfrm>
                    <a:prstGeom prst="rect">
                      <a:avLst/>
                    </a:prstGeom>
                  </pic:spPr>
                </pic:pic>
              </a:graphicData>
            </a:graphic>
          </wp:inline>
        </w:drawing>
      </w:r>
    </w:p>
    <w:p w14:paraId="46073121" w14:textId="77777777" w:rsidR="000854BD" w:rsidRDefault="000854BD" w:rsidP="000854BD">
      <w:pPr>
        <w:rPr>
          <w:rFonts w:ascii="Arial" w:hAnsi="Arial" w:cs="Arial"/>
          <w:b/>
          <w:bCs/>
        </w:rPr>
      </w:pPr>
    </w:p>
    <w:p w14:paraId="5CDF22C3" w14:textId="790B0DBC"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exposure rates </w:t>
      </w:r>
      <w:r w:rsidR="008C4438" w:rsidRPr="000C0C18">
        <w:rPr>
          <w:rFonts w:ascii="Arial" w:hAnsi="Arial" w:cs="Arial"/>
          <w:sz w:val="20"/>
          <w:szCs w:val="20"/>
        </w:rPr>
        <w:t>for 2018.</w:t>
      </w:r>
    </w:p>
    <w:p w14:paraId="774571FF"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2018 Medicare Fee-For-Service county-level cardiovascular hospitalization rate per 100,000 beneficiaries.</w:t>
      </w:r>
    </w:p>
    <w:p w14:paraId="3E3337B3"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2018 Medicare Fee-For-Service county-level respiratory hospitalization rate per 100,000 beneficiaries.</w:t>
      </w:r>
    </w:p>
    <w:p w14:paraId="4DECB5CD" w14:textId="0AA7533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Power outage rate for 2,161 counties included in main analysis of association between 8+ hour power outage exposure and cardiovascular and respiratory hospitalization. </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7859BF7" w14:textId="44F924F2"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1">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F4F3735"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FE571E">
        <w:rPr>
          <w:rFonts w:ascii="Arial" w:hAnsi="Arial" w:cs="Arial"/>
          <w:sz w:val="20"/>
          <w:szCs w:val="20"/>
        </w:rPr>
        <w:t>Medicaid eligibility</w:t>
      </w:r>
      <w:r w:rsidRPr="00F97705">
        <w:rPr>
          <w:rFonts w:ascii="Arial" w:hAnsi="Arial" w:cs="Arial"/>
          <w:sz w:val="20"/>
          <w:szCs w:val="20"/>
        </w:rPr>
        <w:t xml:space="preserve">, and county durable medical equipment (DME) use quartile. Estimates are from conditional Poisson regression models adjusted for wind speed, temperature, and precipitation. </w:t>
      </w:r>
    </w:p>
    <w:p w14:paraId="41404AD9" w14:textId="74C5E778"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 by 2018 Medicare Fee-For-Service study population sociodemographic characteristics.</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2F75DC" w:rsidRPr="001B57DD" w14:paraId="1EED524B" w14:textId="77777777" w:rsidTr="00E416E1">
        <w:tc>
          <w:tcPr>
            <w:tcW w:w="4106" w:type="dxa"/>
            <w:gridSpan w:val="3"/>
            <w:tcBorders>
              <w:bottom w:val="single" w:sz="4" w:space="0" w:color="auto"/>
            </w:tcBorders>
            <w:shd w:val="clear" w:color="auto" w:fill="auto"/>
          </w:tcPr>
          <w:p w14:paraId="162E817D"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Number of county beneficiaries by category</w:t>
            </w:r>
          </w:p>
        </w:tc>
        <w:tc>
          <w:tcPr>
            <w:tcW w:w="5533" w:type="dxa"/>
            <w:tcBorders>
              <w:bottom w:val="single" w:sz="4" w:space="0" w:color="auto"/>
            </w:tcBorders>
            <w:shd w:val="clear" w:color="auto" w:fill="auto"/>
          </w:tcPr>
          <w:p w14:paraId="112A4D8A" w14:textId="77777777" w:rsidR="002F75DC" w:rsidRPr="001B57DD" w:rsidRDefault="002F75DC" w:rsidP="00E416E1">
            <w:pPr>
              <w:rPr>
                <w:rFonts w:ascii="Arial" w:hAnsi="Arial" w:cs="Arial"/>
                <w:b/>
                <w:bCs/>
                <w:sz w:val="20"/>
                <w:szCs w:val="20"/>
              </w:rPr>
            </w:pPr>
            <w:commentRangeStart w:id="40"/>
            <w:commentRangeStart w:id="41"/>
            <w:r w:rsidRPr="001B57DD">
              <w:rPr>
                <w:rFonts w:ascii="Arial" w:hAnsi="Arial" w:cs="Arial"/>
                <w:b/>
                <w:bCs/>
                <w:sz w:val="20"/>
                <w:szCs w:val="20"/>
              </w:rPr>
              <w:t xml:space="preserve">Proportion of county-person-days with 8+ hour outage affecting </w:t>
            </w:r>
            <w:r w:rsidRPr="001B57DD">
              <w:rPr>
                <w:rFonts w:ascii="Arial" w:eastAsia="Garamond" w:hAnsi="Arial" w:cs="Arial"/>
                <w:b/>
                <w:bCs/>
                <w:sz w:val="20"/>
                <w:szCs w:val="20"/>
              </w:rPr>
              <w:t>≥</w:t>
            </w:r>
            <w:r w:rsidRPr="001B57DD">
              <w:rPr>
                <w:rFonts w:ascii="Arial" w:hAnsi="Arial" w:cs="Arial"/>
                <w:b/>
                <w:bCs/>
                <w:sz w:val="20"/>
                <w:szCs w:val="20"/>
              </w:rPr>
              <w:t>1% of county customers</w:t>
            </w:r>
            <w:commentRangeEnd w:id="40"/>
            <w:r w:rsidRPr="001B57DD">
              <w:rPr>
                <w:rStyle w:val="CommentReference"/>
                <w:rFonts w:ascii="Arial" w:hAnsi="Arial" w:cs="Arial"/>
                <w:sz w:val="20"/>
                <w:szCs w:val="20"/>
              </w:rPr>
              <w:commentReference w:id="40"/>
            </w:r>
            <w:commentRangeEnd w:id="41"/>
            <w:r w:rsidRPr="001B57DD">
              <w:rPr>
                <w:rStyle w:val="CommentReference"/>
                <w:rFonts w:ascii="Arial" w:hAnsi="Arial" w:cs="Arial"/>
                <w:sz w:val="20"/>
                <w:szCs w:val="20"/>
              </w:rPr>
              <w:commentReference w:id="41"/>
            </w:r>
          </w:p>
        </w:tc>
      </w:tr>
      <w:tr w:rsidR="002F75DC" w:rsidRPr="001B57DD" w14:paraId="4152AA19" w14:textId="77777777" w:rsidTr="00E416E1">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1843"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533"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E416E1">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1843"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533" w:type="dxa"/>
            <w:shd w:val="clear" w:color="auto" w:fill="DBE5F1" w:themeFill="accent1" w:themeFillTint="33"/>
          </w:tcPr>
          <w:p w14:paraId="6092C5BD" w14:textId="11FB1C9C" w:rsidR="002F75DC" w:rsidRPr="001B57DD" w:rsidRDefault="00261C01" w:rsidP="00850DF8">
            <w:pPr>
              <w:pStyle w:val="HTMLPreformatted"/>
              <w:rPr>
                <w:rFonts w:ascii="Arial" w:hAnsi="Arial" w:cs="Arial"/>
              </w:rPr>
            </w:pPr>
            <w:r w:rsidRPr="001B57DD">
              <w:rPr>
                <w:rStyle w:val="gnd-iwgdh3b"/>
                <w:rFonts w:ascii="Arial" w:hAnsi="Arial" w:cs="Arial"/>
              </w:rPr>
              <w:t>0.01</w:t>
            </w:r>
            <w:r w:rsidR="00850DF8" w:rsidRPr="001B57DD">
              <w:rPr>
                <w:rStyle w:val="gnd-iwgdh3b"/>
                <w:rFonts w:ascii="Arial" w:hAnsi="Arial" w:cs="Arial"/>
              </w:rPr>
              <w:t>3</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E416E1">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1843"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533" w:type="dxa"/>
            <w:shd w:val="clear" w:color="auto" w:fill="DBE5F1" w:themeFill="accent1" w:themeFillTint="33"/>
          </w:tcPr>
          <w:p w14:paraId="538AC15A" w14:textId="685621BB" w:rsidR="002F75DC" w:rsidRPr="001B57DD" w:rsidRDefault="00BC5E5E" w:rsidP="00150E27">
            <w:pPr>
              <w:pStyle w:val="HTMLPreformatted"/>
              <w:rPr>
                <w:rFonts w:ascii="Arial" w:hAnsi="Arial" w:cs="Arial"/>
              </w:rPr>
            </w:pPr>
            <w:r w:rsidRPr="001B57DD">
              <w:rPr>
                <w:rFonts w:ascii="Arial" w:hAnsi="Arial" w:cs="Arial"/>
              </w:rPr>
              <w:t>0.01</w:t>
            </w:r>
            <w:r w:rsidR="000C05CB" w:rsidRPr="001B57DD">
              <w:rPr>
                <w:rFonts w:ascii="Arial" w:hAnsi="Arial" w:cs="Arial"/>
              </w:rPr>
              <w:t>3</w:t>
            </w:r>
          </w:p>
        </w:tc>
      </w:tr>
      <w:tr w:rsidR="002F75DC" w:rsidRPr="001B57DD" w14:paraId="2B3E8160" w14:textId="77777777" w:rsidTr="00E416E1">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1843"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533" w:type="dxa"/>
            <w:shd w:val="clear" w:color="auto" w:fill="auto"/>
          </w:tcPr>
          <w:p w14:paraId="3A46051A" w14:textId="15C2AC3B" w:rsidR="002F75DC" w:rsidRPr="001B57DD" w:rsidRDefault="00BC5E5E" w:rsidP="00150E27">
            <w:pPr>
              <w:pStyle w:val="HTMLPreformatted"/>
              <w:rPr>
                <w:rFonts w:ascii="Arial" w:hAnsi="Arial" w:cs="Arial"/>
              </w:rPr>
            </w:pPr>
            <w:r w:rsidRPr="001B57DD">
              <w:rPr>
                <w:rFonts w:ascii="Arial" w:hAnsi="Arial" w:cs="Arial"/>
              </w:rPr>
              <w:t>0.012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E416E1">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1843"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533" w:type="dxa"/>
            <w:shd w:val="clear" w:color="auto" w:fill="DBE5F1" w:themeFill="accent1" w:themeFillTint="33"/>
          </w:tcPr>
          <w:p w14:paraId="30EBFE92" w14:textId="5BF6E19B" w:rsidR="002F75DC" w:rsidRPr="001B57DD" w:rsidRDefault="00802F8C" w:rsidP="00E416E1">
            <w:pPr>
              <w:rPr>
                <w:rFonts w:ascii="Arial" w:hAnsi="Arial" w:cs="Arial"/>
                <w:sz w:val="20"/>
                <w:szCs w:val="20"/>
              </w:rPr>
            </w:pPr>
            <w:r w:rsidRPr="001B57DD">
              <w:rPr>
                <w:rFonts w:ascii="Arial" w:hAnsi="Arial" w:cs="Arial"/>
                <w:sz w:val="20"/>
                <w:szCs w:val="20"/>
              </w:rPr>
              <w:t>0.01</w:t>
            </w:r>
            <w:r w:rsidR="000C05CB" w:rsidRPr="001B57DD">
              <w:rPr>
                <w:rFonts w:ascii="Arial" w:hAnsi="Arial" w:cs="Arial"/>
                <w:sz w:val="20"/>
                <w:szCs w:val="20"/>
              </w:rPr>
              <w:t>3</w:t>
            </w:r>
          </w:p>
        </w:tc>
      </w:tr>
      <w:tr w:rsidR="002F75DC" w:rsidRPr="001B57DD" w14:paraId="4CEBE55D" w14:textId="77777777" w:rsidTr="00E416E1">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1843"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533" w:type="dxa"/>
            <w:shd w:val="clear" w:color="auto" w:fill="auto"/>
          </w:tcPr>
          <w:p w14:paraId="5F6BFD93" w14:textId="5BAE68AD" w:rsidR="002F75DC" w:rsidRPr="001B57DD" w:rsidRDefault="00EE77C1" w:rsidP="00BC5E5E">
            <w:pPr>
              <w:pStyle w:val="HTMLPreformatted"/>
              <w:rPr>
                <w:rFonts w:ascii="Arial" w:hAnsi="Arial" w:cs="Arial"/>
              </w:rPr>
            </w:pPr>
            <w:r w:rsidRPr="001B57DD">
              <w:rPr>
                <w:rFonts w:ascii="Arial" w:hAnsi="Arial" w:cs="Arial"/>
              </w:rPr>
              <w:t>0.012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396D5A">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1843"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533" w:type="dxa"/>
            <w:shd w:val="clear" w:color="auto" w:fill="DBE5F1" w:themeFill="accent1" w:themeFillTint="33"/>
          </w:tcPr>
          <w:p w14:paraId="34BD2F1D" w14:textId="77777777" w:rsidR="00B101F8" w:rsidRPr="001B57DD" w:rsidRDefault="00B101F8" w:rsidP="00396D5A">
            <w:pPr>
              <w:rPr>
                <w:rFonts w:ascii="Arial" w:hAnsi="Arial" w:cs="Arial"/>
                <w:sz w:val="20"/>
                <w:szCs w:val="20"/>
              </w:rPr>
            </w:pPr>
            <w:r w:rsidRPr="001B57DD">
              <w:rPr>
                <w:rFonts w:ascii="Arial" w:hAnsi="Arial" w:cs="Arial"/>
                <w:sz w:val="20"/>
                <w:szCs w:val="20"/>
              </w:rPr>
              <w:t>0.008</w:t>
            </w:r>
          </w:p>
        </w:tc>
      </w:tr>
      <w:tr w:rsidR="00B101F8" w:rsidRPr="001B57DD" w14:paraId="664F9265" w14:textId="77777777" w:rsidTr="00396D5A">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1843"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533" w:type="dxa"/>
            <w:shd w:val="clear" w:color="auto" w:fill="auto"/>
          </w:tcPr>
          <w:p w14:paraId="5FCA1334" w14:textId="77777777" w:rsidR="00B101F8" w:rsidRPr="001B57DD" w:rsidRDefault="00B101F8" w:rsidP="00396D5A">
            <w:pPr>
              <w:rPr>
                <w:rFonts w:ascii="Arial" w:hAnsi="Arial" w:cs="Arial"/>
                <w:sz w:val="20"/>
                <w:szCs w:val="20"/>
              </w:rPr>
            </w:pPr>
            <w:r w:rsidRPr="001B57DD">
              <w:rPr>
                <w:rFonts w:ascii="Arial" w:hAnsi="Arial" w:cs="Arial"/>
                <w:sz w:val="20"/>
                <w:szCs w:val="20"/>
              </w:rPr>
              <w:t>0.017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77777777" w:rsidR="006F7DCF" w:rsidRPr="001B57DD" w:rsidRDefault="006F7DCF" w:rsidP="00396D5A">
            <w:pPr>
              <w:rPr>
                <w:rFonts w:ascii="Arial" w:hAnsi="Arial" w:cs="Arial"/>
                <w:b/>
                <w:bCs/>
                <w:sz w:val="20"/>
                <w:szCs w:val="20"/>
              </w:rPr>
            </w:pPr>
            <w:r w:rsidRPr="001B57DD">
              <w:rPr>
                <w:rFonts w:ascii="Arial" w:hAnsi="Arial" w:cs="Arial"/>
                <w:b/>
                <w:bCs/>
                <w:sz w:val="20"/>
                <w:szCs w:val="20"/>
              </w:rPr>
              <w:t xml:space="preserve">County Medicare beneficiaries using durable medical equipment </w:t>
            </w:r>
          </w:p>
        </w:tc>
      </w:tr>
      <w:tr w:rsidR="006F7DCF" w:rsidRPr="001B57DD" w14:paraId="6015B281" w14:textId="77777777" w:rsidTr="00396D5A">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1843"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533" w:type="dxa"/>
            <w:shd w:val="clear" w:color="auto" w:fill="DBE5F1" w:themeFill="accent1" w:themeFillTint="33"/>
          </w:tcPr>
          <w:p w14:paraId="49807502" w14:textId="16E4136D" w:rsidR="006F7DCF" w:rsidRPr="001B57DD" w:rsidRDefault="00FE4B5A" w:rsidP="00396D5A">
            <w:pPr>
              <w:rPr>
                <w:rFonts w:ascii="Arial" w:hAnsi="Arial" w:cs="Arial"/>
                <w:sz w:val="20"/>
                <w:szCs w:val="20"/>
              </w:rPr>
            </w:pPr>
            <w:r w:rsidRPr="001B57DD">
              <w:rPr>
                <w:rFonts w:ascii="Arial" w:hAnsi="Arial" w:cs="Arial"/>
                <w:sz w:val="20"/>
                <w:szCs w:val="20"/>
              </w:rPr>
              <w:t>0.00</w:t>
            </w:r>
            <w:r w:rsidR="00E96A7D" w:rsidRPr="001B57DD">
              <w:rPr>
                <w:rFonts w:ascii="Arial" w:hAnsi="Arial" w:cs="Arial"/>
                <w:sz w:val="20"/>
                <w:szCs w:val="20"/>
              </w:rPr>
              <w:t>8</w:t>
            </w:r>
          </w:p>
        </w:tc>
      </w:tr>
      <w:tr w:rsidR="006F7DCF" w:rsidRPr="001B57DD" w14:paraId="3856D196" w14:textId="77777777" w:rsidTr="00396D5A">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1843"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533" w:type="dxa"/>
            <w:shd w:val="clear" w:color="auto" w:fill="auto"/>
          </w:tcPr>
          <w:p w14:paraId="62C846F3" w14:textId="11C12375" w:rsidR="006F7DCF" w:rsidRPr="001B57DD" w:rsidRDefault="00FE4B5A" w:rsidP="00396D5A">
            <w:pPr>
              <w:rPr>
                <w:rFonts w:ascii="Arial" w:hAnsi="Arial" w:cs="Arial"/>
                <w:sz w:val="20"/>
                <w:szCs w:val="20"/>
              </w:rPr>
            </w:pPr>
            <w:r w:rsidRPr="001B57DD">
              <w:rPr>
                <w:rFonts w:ascii="Arial" w:hAnsi="Arial" w:cs="Arial"/>
                <w:sz w:val="20"/>
                <w:szCs w:val="20"/>
              </w:rPr>
              <w:t>0.01</w:t>
            </w:r>
            <w:r w:rsidR="00E96A7D" w:rsidRPr="001B57DD">
              <w:rPr>
                <w:rFonts w:ascii="Arial" w:hAnsi="Arial" w:cs="Arial"/>
                <w:sz w:val="20"/>
                <w:szCs w:val="20"/>
              </w:rPr>
              <w:t>7</w:t>
            </w:r>
          </w:p>
        </w:tc>
      </w:tr>
      <w:tr w:rsidR="006F7DCF" w:rsidRPr="001B57DD" w14:paraId="14DFF13F" w14:textId="77777777" w:rsidTr="00396D5A">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1843"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533" w:type="dxa"/>
            <w:shd w:val="clear" w:color="auto" w:fill="DBE5F1" w:themeFill="accent1" w:themeFillTint="33"/>
          </w:tcPr>
          <w:p w14:paraId="036A021E" w14:textId="7AE9B3E4" w:rsidR="006F7DCF" w:rsidRPr="001B57DD" w:rsidRDefault="00FE4B5A" w:rsidP="00396D5A">
            <w:pPr>
              <w:rPr>
                <w:rFonts w:ascii="Arial" w:hAnsi="Arial" w:cs="Arial"/>
                <w:sz w:val="20"/>
                <w:szCs w:val="20"/>
              </w:rPr>
            </w:pPr>
            <w:r w:rsidRPr="001B57DD">
              <w:rPr>
                <w:rFonts w:ascii="Arial" w:hAnsi="Arial" w:cs="Arial"/>
                <w:sz w:val="20"/>
                <w:szCs w:val="20"/>
              </w:rPr>
              <w:t>0.0</w:t>
            </w:r>
            <w:r w:rsidR="00E96A7D" w:rsidRPr="001B57DD">
              <w:rPr>
                <w:rFonts w:ascii="Arial" w:hAnsi="Arial" w:cs="Arial"/>
                <w:sz w:val="20"/>
                <w:szCs w:val="20"/>
              </w:rPr>
              <w:t>20</w:t>
            </w:r>
          </w:p>
        </w:tc>
      </w:tr>
      <w:tr w:rsidR="006F7DCF" w:rsidRPr="001B57DD" w14:paraId="0D7746CD" w14:textId="77777777" w:rsidTr="00396D5A">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1843"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533" w:type="dxa"/>
            <w:shd w:val="clear" w:color="auto" w:fill="auto"/>
          </w:tcPr>
          <w:p w14:paraId="3B5E4D9D" w14:textId="1ADF4096" w:rsidR="00FE4B5A" w:rsidRPr="001B57DD" w:rsidRDefault="00FE4B5A" w:rsidP="00FE4B5A">
            <w:pPr>
              <w:rPr>
                <w:rFonts w:ascii="Arial" w:hAnsi="Arial" w:cs="Arial"/>
                <w:sz w:val="20"/>
                <w:szCs w:val="20"/>
              </w:rPr>
            </w:pPr>
            <w:r w:rsidRPr="001B57DD">
              <w:rPr>
                <w:rFonts w:ascii="Arial" w:hAnsi="Arial" w:cs="Arial"/>
                <w:sz w:val="20"/>
                <w:szCs w:val="20"/>
              </w:rPr>
              <w:t>0.020</w:t>
            </w:r>
          </w:p>
          <w:p w14:paraId="2E15980F" w14:textId="27E29AED" w:rsidR="006F7DCF" w:rsidRPr="001B57DD" w:rsidRDefault="006F7DCF" w:rsidP="00396D5A">
            <w:pPr>
              <w:rPr>
                <w:rFonts w:ascii="Arial" w:hAnsi="Arial" w:cs="Arial"/>
                <w:sz w:val="20"/>
                <w:szCs w:val="20"/>
              </w:rPr>
            </w:pPr>
          </w:p>
        </w:tc>
      </w:tr>
    </w:tbl>
    <w:p w14:paraId="6C0D9D6E" w14:textId="2B8283E6" w:rsidR="00E6133D" w:rsidRPr="000854BD" w:rsidRDefault="00E6133D"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25T15:49:00Z" w:initials="HM">
    <w:p w14:paraId="515C4469" w14:textId="54D6799A" w:rsidR="006552FF" w:rsidRDefault="006552FF">
      <w:pPr>
        <w:pStyle w:val="CommentText"/>
      </w:pPr>
      <w:r>
        <w:rPr>
          <w:rStyle w:val="CommentReference"/>
        </w:rPr>
        <w:annotationRef/>
      </w:r>
      <w:r>
        <w:rPr>
          <w:rStyle w:val="CommentReference"/>
        </w:rPr>
        <w:annotationRef/>
      </w:r>
      <w:r>
        <w:t xml:space="preserve">This title is causal language. OK? No? suggestions? </w:t>
      </w:r>
    </w:p>
  </w:comment>
  <w:comment w:id="1" w:author="Heather M" w:date="2025-01-25T15:51:00Z" w:initials="HM">
    <w:p w14:paraId="0B5338D4" w14:textId="25F6902C" w:rsidR="00F3493B" w:rsidRDefault="00F3493B">
      <w:pPr>
        <w:pStyle w:val="CommentText"/>
      </w:pPr>
      <w:r>
        <w:rPr>
          <w:rStyle w:val="CommentReference"/>
        </w:rPr>
        <w:annotationRef/>
      </w:r>
      <w:r>
        <w:t>I do not know what our classification is.</w:t>
      </w:r>
      <w:r w:rsidR="002F7FB8">
        <w:t xml:space="preserve"> Help me out?</w:t>
      </w:r>
      <w:r>
        <w:t xml:space="preserve"> List is here: </w:t>
      </w:r>
    </w:p>
    <w:p w14:paraId="65B9C956" w14:textId="325B9136" w:rsidR="00F3493B" w:rsidRDefault="00F3493B">
      <w:pPr>
        <w:pStyle w:val="CommentText"/>
      </w:pPr>
      <w:r w:rsidRPr="00F3493B">
        <w:t>https://www.pnas.org/author-center/submitting-your-manuscript</w:t>
      </w:r>
    </w:p>
  </w:comment>
  <w:comment w:id="2" w:author="Heather M" w:date="2025-01-25T16:18:00Z" w:initials="HM">
    <w:p w14:paraId="4F5DD8B2" w14:textId="297C268D" w:rsidR="00637DFE" w:rsidRDefault="00637DFE">
      <w:pPr>
        <w:pStyle w:val="CommentText"/>
      </w:pPr>
      <w:r>
        <w:rPr>
          <w:rStyle w:val="CommentReference"/>
        </w:rPr>
        <w:annotationRef/>
      </w:r>
      <w:r>
        <w:t xml:space="preserve">help </w:t>
      </w:r>
      <w:r w:rsidR="00F055DC">
        <w:t>lol</w:t>
      </w:r>
      <w:r w:rsidR="008232C9">
        <w:t xml:space="preserve"> – sometimes these are specific and sometimes they are the broadest things I’ve heard. Idk what to put here</w:t>
      </w:r>
    </w:p>
  </w:comment>
  <w:comment w:id="5" w:author="Joan Casey" w:date="2025-01-07T08:56:00Z" w:initials="JAC">
    <w:p w14:paraId="17C58F40" w14:textId="77777777" w:rsidR="009F5C6C" w:rsidRDefault="009F5C6C" w:rsidP="009F5C6C">
      <w:r>
        <w:rPr>
          <w:rStyle w:val="CommentReference"/>
        </w:rPr>
        <w:annotationRef/>
      </w:r>
      <w:r>
        <w:rPr>
          <w:color w:val="000000"/>
          <w:sz w:val="20"/>
          <w:szCs w:val="20"/>
        </w:rPr>
        <w:t>No citations in abstract, please remove.</w:t>
      </w:r>
    </w:p>
  </w:comment>
  <w:comment w:id="6" w:author="Heather M" w:date="2025-01-08T14:15:00Z" w:initials="HM">
    <w:p w14:paraId="11155A34" w14:textId="77777777" w:rsidR="009F5C6C" w:rsidRDefault="009F5C6C" w:rsidP="009F5C6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7" w:author="Kioumourtzoglou, Marianthi-Anna" w:date="2025-01-21T21:23:00Z" w:initials="MK">
    <w:p w14:paraId="7B322918" w14:textId="77777777" w:rsidR="009F5C6C" w:rsidRDefault="009F5C6C" w:rsidP="009F5C6C">
      <w:r>
        <w:rPr>
          <w:rStyle w:val="CommentReference"/>
        </w:rPr>
        <w:annotationRef/>
      </w:r>
      <w:r>
        <w:rPr>
          <w:sz w:val="20"/>
          <w:szCs w:val="20"/>
        </w:rPr>
        <w:t>what do you mean they asked for it? They explicitly state in their guidelines: “It may include up to three cited (non-numerical) references.”</w:t>
      </w:r>
    </w:p>
    <w:p w14:paraId="4E5F845D" w14:textId="77777777" w:rsidR="009F5C6C" w:rsidRDefault="009F5C6C" w:rsidP="009F5C6C"/>
    <w:p w14:paraId="4165CD5C" w14:textId="77777777" w:rsidR="009F5C6C" w:rsidRDefault="009F5C6C" w:rsidP="009F5C6C">
      <w:r>
        <w:rPr>
          <w:sz w:val="20"/>
          <w:szCs w:val="20"/>
        </w:rPr>
        <w:t>1. may does not read like required to me</w:t>
      </w:r>
    </w:p>
    <w:p w14:paraId="798419A3" w14:textId="77777777" w:rsidR="009F5C6C" w:rsidRDefault="009F5C6C" w:rsidP="009F5C6C">
      <w:r>
        <w:rPr>
          <w:sz w:val="20"/>
          <w:szCs w:val="20"/>
        </w:rPr>
        <w:t>2. it says up to 3</w:t>
      </w:r>
    </w:p>
    <w:p w14:paraId="5BD86C89" w14:textId="77777777" w:rsidR="009F5C6C" w:rsidRDefault="009F5C6C" w:rsidP="009F5C6C">
      <w:r>
        <w:rPr>
          <w:sz w:val="20"/>
          <w:szCs w:val="20"/>
        </w:rPr>
        <w:t>3. it says non-numerical</w:t>
      </w:r>
    </w:p>
    <w:p w14:paraId="18C8BA62" w14:textId="77777777" w:rsidR="009F5C6C" w:rsidRDefault="009F5C6C" w:rsidP="009F5C6C"/>
    <w:p w14:paraId="67A309AE" w14:textId="77777777" w:rsidR="009F5C6C" w:rsidRDefault="009F5C6C" w:rsidP="009F5C6C">
      <w:proofErr w:type="gramStart"/>
      <w:r>
        <w:rPr>
          <w:sz w:val="20"/>
          <w:szCs w:val="20"/>
        </w:rPr>
        <w:t>so</w:t>
      </w:r>
      <w:proofErr w:type="gramEnd"/>
      <w:r>
        <w:rPr>
          <w:sz w:val="20"/>
          <w:szCs w:val="20"/>
        </w:rPr>
        <w:t xml:space="preserve"> i am confused…</w:t>
      </w:r>
    </w:p>
  </w:comment>
  <w:comment w:id="8" w:author="Heather M" w:date="2025-01-24T11:56:00Z" w:initials="HM">
    <w:p w14:paraId="74B74E5F" w14:textId="77777777" w:rsidR="009F5C6C" w:rsidRDefault="009F5C6C" w:rsidP="009F5C6C">
      <w:pPr>
        <w:pStyle w:val="CommentText"/>
      </w:pPr>
      <w:r>
        <w:rPr>
          <w:rStyle w:val="CommentReference"/>
        </w:rPr>
        <w:annotationRef/>
      </w:r>
      <w:r>
        <w:rPr>
          <w:noProof/>
        </w:rPr>
        <w:drawing>
          <wp:inline distT="0" distB="0" distL="0" distR="0" wp14:anchorId="68A567CA" wp14:editId="2C8BA1C0">
            <wp:extent cx="5943600" cy="1543050"/>
            <wp:effectExtent l="0" t="0" r="0" b="6350"/>
            <wp:docPr id="20999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367" name="Picture 102057367"/>
                    <pic:cNvPicPr/>
                  </pic:nvPicPr>
                  <pic:blipFill>
                    <a:blip r:embed="rId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comment>
  <w:comment w:id="9" w:author="Heather M" w:date="2025-01-24T12:01:00Z" w:initials="HM">
    <w:p w14:paraId="37467D83" w14:textId="77777777" w:rsidR="009F5C6C" w:rsidRDefault="009F5C6C" w:rsidP="009F5C6C">
      <w:pPr>
        <w:pStyle w:val="CommentText"/>
      </w:pPr>
      <w:r>
        <w:rPr>
          <w:rStyle w:val="CommentReference"/>
        </w:rPr>
        <w:annotationRef/>
      </w:r>
      <w:r>
        <w:t xml:space="preserve">Under manuscript order – abstract </w:t>
      </w:r>
      <w:hyperlink r:id="rId2" w:history="1">
        <w:r w:rsidRPr="00C83EB3">
          <w:rPr>
            <w:rStyle w:val="Hyperlink"/>
          </w:rPr>
          <w:t>https://www.pnas.org/author-center/submitting-your-manuscript</w:t>
        </w:r>
      </w:hyperlink>
    </w:p>
    <w:p w14:paraId="2649CCC1" w14:textId="77777777" w:rsidR="009F5C6C" w:rsidRDefault="009F5C6C" w:rsidP="009F5C6C">
      <w:pPr>
        <w:pStyle w:val="CommentText"/>
      </w:pPr>
      <w:r>
        <w:t xml:space="preserve">Are their guidelines internally inconsistent? Or am I reading them wrong? </w:t>
      </w:r>
    </w:p>
  </w:comment>
  <w:comment w:id="10" w:author="Heather M" w:date="2025-01-28T15:10:00Z" w:initials="HM">
    <w:p w14:paraId="2DE27A91" w14:textId="0DCBAA1A" w:rsidR="00F55DE4" w:rsidRDefault="00F55DE4">
      <w:pPr>
        <w:pStyle w:val="CommentText"/>
      </w:pPr>
      <w:r>
        <w:rPr>
          <w:rStyle w:val="CommentReference"/>
        </w:rPr>
        <w:annotationRef/>
      </w:r>
      <w:r>
        <w:t xml:space="preserve">Update: they are internally inconsistent. I went with no citations because that seems more usual. </w:t>
      </w:r>
    </w:p>
  </w:comment>
  <w:comment w:id="11" w:author="Heather M" w:date="2025-01-24T12:02:00Z" w:initials="HM">
    <w:p w14:paraId="7840CA7F" w14:textId="7EA2B3A8" w:rsidR="009F5C6C" w:rsidRDefault="009F5C6C" w:rsidP="009F5C6C">
      <w:pPr>
        <w:pStyle w:val="CommentText"/>
      </w:pPr>
      <w:r>
        <w:rPr>
          <w:rStyle w:val="CommentReference"/>
        </w:rPr>
        <w:annotationRef/>
      </w:r>
      <w:r>
        <w:t xml:space="preserve">Is this </w:t>
      </w:r>
      <w:proofErr w:type="gramStart"/>
      <w:r>
        <w:t>wording</w:t>
      </w:r>
      <w:proofErr w:type="gramEnd"/>
      <w:r>
        <w:t xml:space="preserve"> ok? I’m having a little crisis over here in </w:t>
      </w:r>
      <w:proofErr w:type="spellStart"/>
      <w:r>
        <w:t>nyc</w:t>
      </w:r>
      <w:proofErr w:type="spellEnd"/>
      <w:r>
        <w:t xml:space="preserve"> about causal words vs association wording. Maybe we can discuss </w:t>
      </w:r>
      <w:r w:rsidR="0070423B">
        <w:t xml:space="preserve">at some point </w:t>
      </w:r>
    </w:p>
  </w:comment>
  <w:comment w:id="12" w:author="Heather M" w:date="2025-01-28T17:48:00Z" w:initials="HM">
    <w:p w14:paraId="4507CAF4" w14:textId="3D1CC6AE" w:rsidR="004F6CD0" w:rsidRDefault="004F6CD0">
      <w:pPr>
        <w:pStyle w:val="CommentText"/>
      </w:pPr>
      <w:r>
        <w:rPr>
          <w:rStyle w:val="CommentReference"/>
        </w:rPr>
        <w:annotationRef/>
      </w:r>
      <w:r>
        <w:t>I don’t think this sentence is true but I’m not sure what to say about the geographic distribution in its place.</w:t>
      </w:r>
    </w:p>
  </w:comment>
  <w:comment w:id="13" w:author="Mork, Daniel S" w:date="2025-01-15T14:36:00Z" w:initials="DM">
    <w:p w14:paraId="6C139789" w14:textId="77777777" w:rsidR="004C354A" w:rsidRDefault="004C354A" w:rsidP="004C354A">
      <w:r>
        <w:rPr>
          <w:rStyle w:val="CommentReference"/>
        </w:rPr>
        <w:annotationRef/>
      </w:r>
      <w:r>
        <w:rPr>
          <w:sz w:val="20"/>
          <w:szCs w:val="20"/>
        </w:rPr>
        <w:t>you should report results on the same scale (RR) vs now using %s</w:t>
      </w:r>
    </w:p>
  </w:comment>
  <w:comment w:id="14" w:author="Kioumourtzoglou, Marianthi-Anna" w:date="2025-01-21T23:00:00Z" w:initials="MK">
    <w:p w14:paraId="46A9587B" w14:textId="77777777" w:rsidR="004C354A" w:rsidRDefault="004C354A" w:rsidP="004C354A">
      <w:r>
        <w:rPr>
          <w:rStyle w:val="CommentReference"/>
        </w:rPr>
        <w:annotationRef/>
      </w:r>
      <w:r>
        <w:rPr>
          <w:sz w:val="20"/>
          <w:szCs w:val="20"/>
        </w:rPr>
        <w:t xml:space="preserve">agreed. and i like %increase more than RR personally (throughout) — plus that gives you more decimals! </w:t>
      </w:r>
    </w:p>
  </w:comment>
  <w:comment w:id="15" w:author="Heather M" w:date="2025-01-28T17:37:00Z" w:initials="HM">
    <w:p w14:paraId="3D940FAA" w14:textId="5D4BC742" w:rsidR="00D30EC1" w:rsidRDefault="00D30EC1">
      <w:pPr>
        <w:pStyle w:val="CommentText"/>
      </w:pPr>
      <w:r>
        <w:rPr>
          <w:rStyle w:val="CommentReference"/>
        </w:rPr>
        <w:annotationRef/>
      </w:r>
      <w:r>
        <w:t xml:space="preserve">Changed to % increase. </w:t>
      </w:r>
    </w:p>
  </w:comment>
  <w:comment w:id="16" w:author="Mork, Daniel S" w:date="2025-01-15T21:46:00Z" w:initials="DM">
    <w:p w14:paraId="01EC381E" w14:textId="77777777" w:rsidR="0097584B" w:rsidRDefault="0097584B" w:rsidP="0097584B">
      <w:r>
        <w:rPr>
          <w:rStyle w:val="CommentReference"/>
        </w:rPr>
        <w:annotationRef/>
      </w:r>
      <w:r>
        <w:rPr>
          <w:sz w:val="20"/>
          <w:szCs w:val="20"/>
        </w:rPr>
        <w:t>are DME users more likely to live in SNF settings? does the DME dataset differentiate residential vs assisted living situations?</w:t>
      </w:r>
    </w:p>
  </w:comment>
  <w:comment w:id="17" w:author="Kioumourtzoglou, Marianthi-Anna" w:date="2025-01-21T23:26:00Z" w:initials="MK">
    <w:p w14:paraId="5E319696" w14:textId="77777777" w:rsidR="0097584B" w:rsidRDefault="0097584B" w:rsidP="0097584B">
      <w:r>
        <w:rPr>
          <w:rStyle w:val="CommentReference"/>
        </w:rPr>
        <w:annotationRef/>
      </w:r>
      <w:r>
        <w:rPr>
          <w:sz w:val="20"/>
          <w:szCs w:val="20"/>
        </w:rPr>
        <w:t>what is SNF?</w:t>
      </w:r>
    </w:p>
  </w:comment>
  <w:comment w:id="18" w:author="Heather M" w:date="2025-01-25T14:54:00Z" w:initials="HM">
    <w:p w14:paraId="2F6AE178" w14:textId="4B4ACAC5" w:rsidR="0097584B" w:rsidRDefault="0097584B" w:rsidP="0097584B">
      <w:pPr>
        <w:pStyle w:val="CommentText"/>
      </w:pPr>
      <w:r>
        <w:rPr>
          <w:rStyle w:val="CommentReference"/>
        </w:rPr>
        <w:annotationRef/>
      </w:r>
      <w:r>
        <w:t xml:space="preserve">Skilled nursing facility. I think this is a good point but not quite sure how to incorporate it </w:t>
      </w:r>
      <w:r w:rsidR="006A53ED">
        <w:t xml:space="preserve">– I don’t know if they are more likely to live in such places or if those places have generators. </w:t>
      </w:r>
    </w:p>
  </w:comment>
  <w:comment w:id="19" w:author="Heather M" w:date="2025-01-28T18:21:00Z" w:initials="HM">
    <w:p w14:paraId="0806F5D1" w14:textId="1989C2E2" w:rsidR="00A800A9" w:rsidRDefault="00A800A9">
      <w:pPr>
        <w:pStyle w:val="CommentText"/>
      </w:pPr>
      <w:r>
        <w:rPr>
          <w:rStyle w:val="CommentReference"/>
        </w:rPr>
        <w:annotationRef/>
      </w:r>
      <w:r>
        <w:t xml:space="preserve">New! Please read and critique </w:t>
      </w:r>
    </w:p>
  </w:comment>
  <w:comment w:id="20" w:author="Heather M" w:date="2025-01-25T19:47:00Z" w:initials="HM">
    <w:p w14:paraId="0FAE1C10" w14:textId="03DC724D" w:rsidR="00D16792" w:rsidRDefault="00D16792">
      <w:pPr>
        <w:pStyle w:val="CommentText"/>
      </w:pPr>
      <w:r>
        <w:rPr>
          <w:rStyle w:val="CommentReference"/>
        </w:rPr>
        <w:annotationRef/>
      </w:r>
      <w:r>
        <w:t xml:space="preserve">This sounds really bad, but I’d like to say something here about how we did a whole paper about defining power outage exposure and simulations and how this was the best we can come up with for these data. Thoughts? </w:t>
      </w:r>
    </w:p>
  </w:comment>
  <w:comment w:id="21" w:author="Heather M" w:date="2025-01-28T18:14:00Z" w:initials="HM">
    <w:p w14:paraId="5E266697" w14:textId="3DA2B7B4" w:rsidR="00654114" w:rsidRDefault="00654114">
      <w:pPr>
        <w:pStyle w:val="CommentText"/>
      </w:pPr>
      <w:r>
        <w:rPr>
          <w:rStyle w:val="CommentReference"/>
        </w:rPr>
        <w:annotationRef/>
      </w:r>
      <w:r>
        <w:t>Ok?</w:t>
      </w:r>
    </w:p>
  </w:comment>
  <w:comment w:id="22" w:author="Kioumourtzoglou, Marianthi-Anna" w:date="2025-01-21T21:51:00Z" w:initials="MK">
    <w:p w14:paraId="0DD58BCF" w14:textId="77777777" w:rsidR="001C6BC5" w:rsidRDefault="001C6BC5" w:rsidP="001C6BC5">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23" w:author="Heather M" w:date="2025-01-25T15:25:00Z" w:initials="HM">
    <w:p w14:paraId="54613FFE" w14:textId="77777777" w:rsidR="001C6BC5" w:rsidRDefault="001C6BC5" w:rsidP="001C6BC5">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4" w:author="Kioumourtzoglou, Marianthi-Anna" w:date="2025-01-21T21:57:00Z" w:initials="MK">
    <w:p w14:paraId="31E0CB2A" w14:textId="77777777" w:rsidR="001C6BC5" w:rsidRDefault="001C6BC5" w:rsidP="001C6BC5">
      <w:r>
        <w:rPr>
          <w:rStyle w:val="CommentReference"/>
        </w:rPr>
        <w:annotationRef/>
      </w:r>
      <w:r>
        <w:rPr>
          <w:sz w:val="20"/>
          <w:szCs w:val="20"/>
        </w:rPr>
        <w:t>concern here — if this is unreliable, why do we think other info from POUS is reliable?</w:t>
      </w:r>
    </w:p>
  </w:comment>
  <w:comment w:id="25" w:author="Heather M" w:date="2025-01-24T12:21:00Z" w:initials="HM">
    <w:p w14:paraId="17DEE692" w14:textId="075DAAB6" w:rsidR="001C6BC5" w:rsidRDefault="001C6BC5" w:rsidP="001C6BC5">
      <w:pPr>
        <w:pStyle w:val="CommentText"/>
      </w:pPr>
      <w:r>
        <w:rPr>
          <w:rStyle w:val="CommentReference"/>
        </w:rPr>
        <w:annotationRef/>
      </w:r>
      <w:r>
        <w:t>We don’t</w:t>
      </w:r>
      <w:r w:rsidR="00E60511">
        <w:t>,</w:t>
      </w:r>
      <w:r>
        <w:t xml:space="preserve"> but it’s the best we have. Probably we’ll use EAGLE-I in subsequent analyses. Do you think we need to write something about this or are you just discussing? I think Vivian added and subtracted some stuff from this paragraph that made it confusing</w:t>
      </w:r>
      <w:r w:rsidR="00E60511">
        <w:t xml:space="preserve"> in my opinion</w:t>
      </w:r>
      <w:r>
        <w:t xml:space="preserve"> – it’s back to original now. what do you think?</w:t>
      </w:r>
    </w:p>
  </w:comment>
  <w:comment w:id="26" w:author="Heather M" w:date="2025-01-28T18:14:00Z" w:initials="HM">
    <w:p w14:paraId="1B2434A0" w14:textId="7D8AEA65" w:rsidR="00654114" w:rsidRDefault="00654114">
      <w:pPr>
        <w:pStyle w:val="CommentText"/>
      </w:pPr>
      <w:r>
        <w:rPr>
          <w:rStyle w:val="CommentReference"/>
        </w:rPr>
        <w:annotationRef/>
      </w:r>
      <w:r>
        <w:t>Marianthi how do u feel about this paragraph now?</w:t>
      </w:r>
    </w:p>
  </w:comment>
  <w:comment w:id="30" w:author="Joan Casey" w:date="2025-01-07T13:47:00Z" w:initials="JAC">
    <w:p w14:paraId="092C8EC9" w14:textId="77777777" w:rsidR="001C6BC5" w:rsidRDefault="001C6BC5" w:rsidP="001C6BC5">
      <w:r>
        <w:rPr>
          <w:rStyle w:val="CommentReference"/>
        </w:rPr>
        <w:annotationRef/>
      </w:r>
      <w:r>
        <w:rPr>
          <w:color w:val="000000"/>
          <w:sz w:val="20"/>
          <w:szCs w:val="20"/>
        </w:rPr>
        <w:t>need citation</w:t>
      </w:r>
    </w:p>
  </w:comment>
  <w:comment w:id="31" w:author="Heather M" w:date="2025-01-08T14:37:00Z" w:initials="HM">
    <w:p w14:paraId="0D6E594A" w14:textId="77777777" w:rsidR="001C6BC5" w:rsidRDefault="001C6BC5" w:rsidP="001C6BC5">
      <w:pPr>
        <w:pStyle w:val="CommentText"/>
      </w:pPr>
      <w:r>
        <w:rPr>
          <w:rStyle w:val="CommentReference"/>
        </w:rPr>
        <w:annotationRef/>
      </w:r>
      <w:r>
        <w:t xml:space="preserve">there is none unfortunately. Can self-cite your community study but that doesn’t really show this. I think we need to talk to some DME users at some point about this. </w:t>
      </w:r>
    </w:p>
  </w:comment>
  <w:comment w:id="27" w:author="Mork, Daniel S" w:date="2025-01-15T13:58:00Z" w:initials="DM">
    <w:p w14:paraId="5D641C0F" w14:textId="77777777"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28"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29"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32" w:author="Heather M" w:date="2025-01-24T12:54:00Z" w:initials="HM">
    <w:p w14:paraId="7957EF79" w14:textId="045D7BBA" w:rsidR="001C6BC5" w:rsidRDefault="001C6BC5" w:rsidP="001C6BC5">
      <w:pPr>
        <w:pStyle w:val="CommentText"/>
      </w:pPr>
      <w:r>
        <w:rPr>
          <w:rStyle w:val="CommentReference"/>
        </w:rPr>
        <w:annotationRef/>
      </w:r>
      <w:r>
        <w:t xml:space="preserve">Our outcome was not </w:t>
      </w:r>
      <w:proofErr w:type="spellStart"/>
      <w:r>
        <w:t>overdispersed</w:t>
      </w:r>
      <w:proofErr w:type="spellEnd"/>
      <w:r>
        <w:t xml:space="preserve"> and we used a regular (not quasi) conditional Poisson model. I tested for overdispersion</w:t>
      </w:r>
      <w:r w:rsidR="000571EA">
        <w:t xml:space="preserve"> and the variance was around 1x the rate. </w:t>
      </w:r>
      <w:r w:rsidR="002B3652">
        <w:t>(0.998 or something)</w:t>
      </w:r>
    </w:p>
  </w:comment>
  <w:comment w:id="33" w:author="Mork, Daniel S" w:date="2025-01-15T14:11:00Z" w:initials="DM">
    <w:p w14:paraId="3D8AE892" w14:textId="77777777" w:rsidR="001C6BC5" w:rsidRDefault="001C6BC5" w:rsidP="001C6BC5">
      <w:r>
        <w:rPr>
          <w:rStyle w:val="CommentReference"/>
        </w:rPr>
        <w:annotationRef/>
      </w:r>
      <w:r>
        <w:rPr>
          <w:sz w:val="20"/>
          <w:szCs w:val="20"/>
        </w:rPr>
        <w:t>results</w:t>
      </w:r>
    </w:p>
  </w:comment>
  <w:comment w:id="34" w:author="Heather M" w:date="2025-01-25T15:24:00Z" w:initials="HM">
    <w:p w14:paraId="15090D5F" w14:textId="77777777" w:rsidR="001C6BC5" w:rsidRDefault="001C6BC5" w:rsidP="001C6BC5">
      <w:pPr>
        <w:pStyle w:val="CommentText"/>
      </w:pPr>
      <w:r>
        <w:rPr>
          <w:rStyle w:val="CommentReference"/>
        </w:rPr>
        <w:annotationRef/>
      </w:r>
      <w:r>
        <w:t xml:space="preserve">I disagree. Joan and Marianthi? </w:t>
      </w:r>
    </w:p>
  </w:comment>
  <w:comment w:id="35" w:author="Mork, Daniel S" w:date="2025-01-15T14:13:00Z" w:initials="DM">
    <w:p w14:paraId="1752B14F" w14:textId="77777777" w:rsidR="001C6BC5" w:rsidRDefault="001C6BC5" w:rsidP="001C6BC5">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36" w:author="Kioumourtzoglou, Marianthi-Anna" w:date="2025-01-21T22:30:00Z" w:initials="MK">
    <w:p w14:paraId="5A68D53A" w14:textId="77777777" w:rsidR="001C6BC5" w:rsidRDefault="001C6BC5" w:rsidP="001C6BC5">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7" w:author="Heather M" w:date="2025-01-24T13:02:00Z" w:initials="HM">
    <w:p w14:paraId="02C8EE63" w14:textId="77777777" w:rsidR="001C6BC5" w:rsidRDefault="001C6BC5" w:rsidP="001C6BC5">
      <w:pPr>
        <w:pStyle w:val="CommentText"/>
      </w:pPr>
      <w:r>
        <w:rPr>
          <w:rStyle w:val="CommentReference"/>
        </w:rPr>
        <w:annotationRef/>
      </w:r>
      <w:r>
        <w:t xml:space="preserve">Should we say this then? Or leave as is? </w:t>
      </w:r>
    </w:p>
  </w:comment>
  <w:comment w:id="38" w:author="Kioumourtzoglou, Marianthi-Anna" w:date="2025-01-21T22:34:00Z" w:initials="MK">
    <w:p w14:paraId="716DF70C" w14:textId="77777777" w:rsidR="001C6BC5" w:rsidRDefault="001C6BC5" w:rsidP="001C6BC5">
      <w:r>
        <w:rPr>
          <w:rStyle w:val="CommentReference"/>
        </w:rPr>
        <w:annotationRef/>
      </w:r>
      <w:r>
        <w:rPr>
          <w:sz w:val="20"/>
          <w:szCs w:val="20"/>
        </w:rPr>
        <w:t>question — in these models, how do you adjust for confounders? which lag? sorry, i cannot remember!</w:t>
      </w:r>
    </w:p>
  </w:comment>
  <w:comment w:id="39" w:author="Heather M" w:date="2025-01-24T13:16:00Z" w:initials="HM">
    <w:p w14:paraId="22AB7236" w14:textId="77777777" w:rsidR="001C6BC5" w:rsidRDefault="001C6BC5" w:rsidP="001C6BC5">
      <w:pPr>
        <w:pStyle w:val="CommentText"/>
      </w:pPr>
      <w:r>
        <w:rPr>
          <w:rStyle w:val="CommentReference"/>
        </w:rPr>
        <w:annotationRef/>
      </w:r>
      <w:r>
        <w:t xml:space="preserve"> Me neither </w:t>
      </w:r>
      <w:proofErr w:type="gramStart"/>
      <w:r>
        <w:t>honestly</w:t>
      </w:r>
      <w:proofErr w:type="gramEnd"/>
      <w:r>
        <w:t xml:space="preserve"> I think I did unconstrained lags for temp and idk if I lagged wind and </w:t>
      </w:r>
      <w:proofErr w:type="spellStart"/>
      <w:r>
        <w:t>precip</w:t>
      </w:r>
      <w:proofErr w:type="spellEnd"/>
      <w:r>
        <w:t xml:space="preserve"> – I think not. Is this a big problem? Do I need to describe here? </w:t>
      </w:r>
    </w:p>
  </w:comment>
  <w:comment w:id="40" w:author="Kioumourtzoglou, Marianthi-Anna" w:date="2025-01-21T22:43:00Z" w:initials="MK">
    <w:p w14:paraId="287C43AB" w14:textId="77777777" w:rsidR="002F75DC" w:rsidRDefault="002F75DC" w:rsidP="002F75DC">
      <w:r>
        <w:rPr>
          <w:rStyle w:val="CommentReference"/>
        </w:rPr>
        <w:annotationRef/>
      </w:r>
      <w:r>
        <w:rPr>
          <w:sz w:val="20"/>
          <w:szCs w:val="20"/>
        </w:rPr>
        <w:t>how was this calculated? i am confused… why does it vary for the individual-level characteristics?</w:t>
      </w:r>
    </w:p>
  </w:comment>
  <w:comment w:id="41" w:author="Heather M" w:date="2025-01-25T17:02:00Z" w:initials="HM">
    <w:p w14:paraId="423CBB4E" w14:textId="77777777" w:rsidR="002F75DC" w:rsidRDefault="002F75DC" w:rsidP="002F75DC">
      <w:pPr>
        <w:pStyle w:val="CommentText"/>
      </w:pPr>
      <w:r>
        <w:rPr>
          <w:rStyle w:val="CommentReference"/>
        </w:rPr>
        <w:annotationRef/>
      </w:r>
      <w:r>
        <w:t xml:space="preserve"> County-days multiplied by county bene counts, and then you calculate how many are exposed vs not. Is this bad?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5C4469" w15:done="0"/>
  <w15:commentEx w15:paraId="65B9C956" w15:done="0"/>
  <w15:commentEx w15:paraId="4F5DD8B2" w15:done="0"/>
  <w15:commentEx w15:paraId="17C58F40" w15:done="0"/>
  <w15:commentEx w15:paraId="11155A34" w15:paraIdParent="17C58F40" w15:done="0"/>
  <w15:commentEx w15:paraId="67A309AE" w15:paraIdParent="17C58F40" w15:done="0"/>
  <w15:commentEx w15:paraId="74B74E5F" w15:paraIdParent="17C58F40" w15:done="0"/>
  <w15:commentEx w15:paraId="2649CCC1" w15:paraIdParent="17C58F40" w15:done="0"/>
  <w15:commentEx w15:paraId="2DE27A91" w15:paraIdParent="17C58F40" w15:done="0"/>
  <w15:commentEx w15:paraId="7840CA7F" w15:done="0"/>
  <w15:commentEx w15:paraId="4507CAF4" w15:done="0"/>
  <w15:commentEx w15:paraId="6C139789" w15:done="0"/>
  <w15:commentEx w15:paraId="46A9587B" w15:paraIdParent="6C139789" w15:done="0"/>
  <w15:commentEx w15:paraId="3D940FAA" w15:paraIdParent="6C139789" w15:done="0"/>
  <w15:commentEx w15:paraId="01EC381E" w15:done="0"/>
  <w15:commentEx w15:paraId="5E319696" w15:paraIdParent="01EC381E" w15:done="0"/>
  <w15:commentEx w15:paraId="2F6AE178" w15:paraIdParent="01EC381E" w15:done="0"/>
  <w15:commentEx w15:paraId="0806F5D1" w15:done="0"/>
  <w15:commentEx w15:paraId="0FAE1C10" w15:done="0"/>
  <w15:commentEx w15:paraId="5E266697" w15:done="0"/>
  <w15:commentEx w15:paraId="0DD58BCF" w15:done="0"/>
  <w15:commentEx w15:paraId="54613FFE" w15:paraIdParent="0DD58BCF" w15:done="0"/>
  <w15:commentEx w15:paraId="31E0CB2A" w15:done="0"/>
  <w15:commentEx w15:paraId="17DEE692" w15:paraIdParent="31E0CB2A" w15:done="0"/>
  <w15:commentEx w15:paraId="1B2434A0" w15:done="0"/>
  <w15:commentEx w15:paraId="092C8EC9" w15:done="0"/>
  <w15:commentEx w15:paraId="0D6E594A" w15:paraIdParent="092C8EC9" w15:done="0"/>
  <w15:commentEx w15:paraId="5D641C0F" w15:done="0"/>
  <w15:commentEx w15:paraId="649563C8" w15:paraIdParent="5D641C0F" w15:done="0"/>
  <w15:commentEx w15:paraId="5221E4EB" w15:paraIdParent="5D641C0F" w15:done="0"/>
  <w15:commentEx w15:paraId="7957EF79" w15:done="0"/>
  <w15:commentEx w15:paraId="3D8AE892" w15:done="0"/>
  <w15:commentEx w15:paraId="15090D5F" w15:paraIdParent="3D8AE892" w15:done="0"/>
  <w15:commentEx w15:paraId="1752B14F" w15:done="0"/>
  <w15:commentEx w15:paraId="5A68D53A" w15:paraIdParent="1752B14F" w15:done="0"/>
  <w15:commentEx w15:paraId="02C8EE63" w15:paraIdParent="1752B14F" w15:done="0"/>
  <w15:commentEx w15:paraId="716DF70C" w15:done="0"/>
  <w15:commentEx w15:paraId="22AB7236" w15:paraIdParent="716DF70C" w15:done="0"/>
  <w15:commentEx w15:paraId="287C43AB" w15:done="0"/>
  <w15:commentEx w15:paraId="423CBB4E" w15:paraIdParent="287C43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49A33F" w16cex:dateUtc="2025-01-25T20:49:00Z"/>
  <w16cex:commentExtensible w16cex:durableId="492665BE" w16cex:dateUtc="2025-01-25T20:51:00Z"/>
  <w16cex:commentExtensible w16cex:durableId="24BD5AA0" w16cex:dateUtc="2025-01-25T21:18:00Z"/>
  <w16cex:commentExtensible w16cex:durableId="776B4E4F" w16cex:dateUtc="2025-01-07T16:56:00Z"/>
  <w16cex:commentExtensible w16cex:durableId="2F9328F3" w16cex:dateUtc="2025-01-08T19:15:00Z"/>
  <w16cex:commentExtensible w16cex:durableId="415C7D56" w16cex:dateUtc="2025-01-22T02:23:00Z"/>
  <w16cex:commentExtensible w16cex:durableId="4131DE32" w16cex:dateUtc="2025-01-24T16:56:00Z"/>
  <w16cex:commentExtensible w16cex:durableId="19CB227C" w16cex:dateUtc="2025-01-24T17:01:00Z"/>
  <w16cex:commentExtensible w16cex:durableId="63F7F871" w16cex:dateUtc="2025-01-28T20:10:00Z"/>
  <w16cex:commentExtensible w16cex:durableId="1C1EA3B5" w16cex:dateUtc="2025-01-24T17:02:00Z"/>
  <w16cex:commentExtensible w16cex:durableId="2A594F58" w16cex:dateUtc="2025-01-28T22:48:00Z"/>
  <w16cex:commentExtensible w16cex:durableId="5A6390C5" w16cex:dateUtc="2025-01-15T19:36:00Z"/>
  <w16cex:commentExtensible w16cex:durableId="29AF2936" w16cex:dateUtc="2025-01-22T04:00:00Z"/>
  <w16cex:commentExtensible w16cex:durableId="532D5285" w16cex:dateUtc="2025-01-28T22:37:00Z"/>
  <w16cex:commentExtensible w16cex:durableId="2BD9A480" w16cex:dateUtc="2025-01-16T02:46:00Z"/>
  <w16cex:commentExtensible w16cex:durableId="57356FC9" w16cex:dateUtc="2025-01-22T04:26:00Z"/>
  <w16cex:commentExtensible w16cex:durableId="373285F3" w16cex:dateUtc="2025-01-25T19:54:00Z"/>
  <w16cex:commentExtensible w16cex:durableId="734527E1" w16cex:dateUtc="2025-01-28T23:21:00Z"/>
  <w16cex:commentExtensible w16cex:durableId="2E220454" w16cex:dateUtc="2025-01-26T00:47:00Z"/>
  <w16cex:commentExtensible w16cex:durableId="72521438" w16cex:dateUtc="2025-01-28T23:14:00Z"/>
  <w16cex:commentExtensible w16cex:durableId="79ED2593" w16cex:dateUtc="2025-01-22T02:51:00Z"/>
  <w16cex:commentExtensible w16cex:durableId="01A8B9B0" w16cex:dateUtc="2025-01-25T20:25:00Z"/>
  <w16cex:commentExtensible w16cex:durableId="3CB60A5A" w16cex:dateUtc="2025-01-22T02:57:00Z"/>
  <w16cex:commentExtensible w16cex:durableId="2B8820DB" w16cex:dateUtc="2025-01-24T17:21:00Z"/>
  <w16cex:commentExtensible w16cex:durableId="23AB4D18" w16cex:dateUtc="2025-01-28T23:14:00Z"/>
  <w16cex:commentExtensible w16cex:durableId="47B62831" w16cex:dateUtc="2025-01-07T21:47:00Z"/>
  <w16cex:commentExtensible w16cex:durableId="292BF40B" w16cex:dateUtc="2025-01-08T19:37:00Z"/>
  <w16cex:commentExtensible w16cex:durableId="5F54D15D" w16cex:dateUtc="2025-01-15T18:58:00Z"/>
  <w16cex:commentExtensible w16cex:durableId="197D58E0" w16cex:dateUtc="2025-01-24T17:50:00Z"/>
  <w16cex:commentExtensible w16cex:durableId="61EB778D" w16cex:dateUtc="2025-01-24T17:54:00Z"/>
  <w16cex:commentExtensible w16cex:durableId="62DA05BD" w16cex:dateUtc="2025-01-24T17:54:00Z"/>
  <w16cex:commentExtensible w16cex:durableId="508BE106" w16cex:dateUtc="2025-01-15T19:11:00Z"/>
  <w16cex:commentExtensible w16cex:durableId="0C42672C" w16cex:dateUtc="2025-01-25T20:24: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49A56B4" w16cex:dateUtc="2025-01-22T03:43:00Z"/>
  <w16cex:commentExtensible w16cex:durableId="299F5A2B" w16cex:dateUtc="2025-01-25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5C4469" w16cid:durableId="1749A33F"/>
  <w16cid:commentId w16cid:paraId="65B9C956" w16cid:durableId="492665BE"/>
  <w16cid:commentId w16cid:paraId="4F5DD8B2" w16cid:durableId="24BD5AA0"/>
  <w16cid:commentId w16cid:paraId="17C58F40" w16cid:durableId="776B4E4F"/>
  <w16cid:commentId w16cid:paraId="11155A34" w16cid:durableId="2F9328F3"/>
  <w16cid:commentId w16cid:paraId="67A309AE" w16cid:durableId="415C7D56"/>
  <w16cid:commentId w16cid:paraId="74B74E5F" w16cid:durableId="4131DE32"/>
  <w16cid:commentId w16cid:paraId="2649CCC1" w16cid:durableId="19CB227C"/>
  <w16cid:commentId w16cid:paraId="2DE27A91" w16cid:durableId="63F7F871"/>
  <w16cid:commentId w16cid:paraId="7840CA7F" w16cid:durableId="1C1EA3B5"/>
  <w16cid:commentId w16cid:paraId="4507CAF4" w16cid:durableId="2A594F58"/>
  <w16cid:commentId w16cid:paraId="6C139789" w16cid:durableId="5A6390C5"/>
  <w16cid:commentId w16cid:paraId="46A9587B" w16cid:durableId="29AF2936"/>
  <w16cid:commentId w16cid:paraId="3D940FAA" w16cid:durableId="532D5285"/>
  <w16cid:commentId w16cid:paraId="01EC381E" w16cid:durableId="2BD9A480"/>
  <w16cid:commentId w16cid:paraId="5E319696" w16cid:durableId="57356FC9"/>
  <w16cid:commentId w16cid:paraId="2F6AE178" w16cid:durableId="373285F3"/>
  <w16cid:commentId w16cid:paraId="0806F5D1" w16cid:durableId="734527E1"/>
  <w16cid:commentId w16cid:paraId="0FAE1C10" w16cid:durableId="2E220454"/>
  <w16cid:commentId w16cid:paraId="5E266697" w16cid:durableId="72521438"/>
  <w16cid:commentId w16cid:paraId="0DD58BCF" w16cid:durableId="79ED2593"/>
  <w16cid:commentId w16cid:paraId="54613FFE" w16cid:durableId="01A8B9B0"/>
  <w16cid:commentId w16cid:paraId="31E0CB2A" w16cid:durableId="3CB60A5A"/>
  <w16cid:commentId w16cid:paraId="17DEE692" w16cid:durableId="2B8820DB"/>
  <w16cid:commentId w16cid:paraId="1B2434A0" w16cid:durableId="23AB4D18"/>
  <w16cid:commentId w16cid:paraId="092C8EC9" w16cid:durableId="47B62831"/>
  <w16cid:commentId w16cid:paraId="0D6E594A" w16cid:durableId="292BF40B"/>
  <w16cid:commentId w16cid:paraId="5D641C0F" w16cid:durableId="5F54D15D"/>
  <w16cid:commentId w16cid:paraId="649563C8" w16cid:durableId="197D58E0"/>
  <w16cid:commentId w16cid:paraId="5221E4EB" w16cid:durableId="61EB778D"/>
  <w16cid:commentId w16cid:paraId="7957EF79" w16cid:durableId="62DA05BD"/>
  <w16cid:commentId w16cid:paraId="3D8AE892" w16cid:durableId="508BE106"/>
  <w16cid:commentId w16cid:paraId="15090D5F" w16cid:durableId="0C42672C"/>
  <w16cid:commentId w16cid:paraId="1752B14F" w16cid:durableId="6A230B8A"/>
  <w16cid:commentId w16cid:paraId="5A68D53A" w16cid:durableId="693D7987"/>
  <w16cid:commentId w16cid:paraId="02C8EE63" w16cid:durableId="1DCA47F6"/>
  <w16cid:commentId w16cid:paraId="716DF70C" w16cid:durableId="0C8A8BFE"/>
  <w16cid:commentId w16cid:paraId="22AB7236" w16cid:durableId="5410102A"/>
  <w16cid:commentId w16cid:paraId="287C43AB" w16cid:durableId="549A56B4"/>
  <w16cid:commentId w16cid:paraId="423CBB4E" w16cid:durableId="299F5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0EAB4" w14:textId="77777777" w:rsidR="008C2022" w:rsidRDefault="008C2022">
      <w:pPr>
        <w:spacing w:after="0"/>
      </w:pPr>
      <w:r>
        <w:separator/>
      </w:r>
    </w:p>
  </w:endnote>
  <w:endnote w:type="continuationSeparator" w:id="0">
    <w:p w14:paraId="076F9D40" w14:textId="77777777" w:rsidR="008C2022" w:rsidRDefault="008C20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BEA8E" w14:textId="77777777" w:rsidR="008C2022" w:rsidRDefault="008C2022">
      <w:pPr>
        <w:spacing w:after="0"/>
      </w:pPr>
      <w:r>
        <w:separator/>
      </w:r>
    </w:p>
  </w:footnote>
  <w:footnote w:type="continuationSeparator" w:id="0">
    <w:p w14:paraId="2B78A770" w14:textId="77777777" w:rsidR="008C2022" w:rsidRDefault="008C202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5138">
    <w:abstractNumId w:val="0"/>
  </w:num>
  <w:num w:numId="2" w16cid:durableId="455649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51BB"/>
    <w:rsid w:val="000259E8"/>
    <w:rsid w:val="0003119E"/>
    <w:rsid w:val="000425DB"/>
    <w:rsid w:val="00043E88"/>
    <w:rsid w:val="000571EA"/>
    <w:rsid w:val="00060705"/>
    <w:rsid w:val="00060D37"/>
    <w:rsid w:val="00061740"/>
    <w:rsid w:val="000854BD"/>
    <w:rsid w:val="00091B96"/>
    <w:rsid w:val="000B5194"/>
    <w:rsid w:val="000B7263"/>
    <w:rsid w:val="000C05CB"/>
    <w:rsid w:val="000C0C18"/>
    <w:rsid w:val="000C3044"/>
    <w:rsid w:val="000C3651"/>
    <w:rsid w:val="000D4D05"/>
    <w:rsid w:val="000E3957"/>
    <w:rsid w:val="000E4671"/>
    <w:rsid w:val="000F3001"/>
    <w:rsid w:val="00100F0C"/>
    <w:rsid w:val="00120156"/>
    <w:rsid w:val="001330F9"/>
    <w:rsid w:val="00135F56"/>
    <w:rsid w:val="00150E27"/>
    <w:rsid w:val="00151266"/>
    <w:rsid w:val="00155642"/>
    <w:rsid w:val="00156C48"/>
    <w:rsid w:val="001653B1"/>
    <w:rsid w:val="00166985"/>
    <w:rsid w:val="00170DEB"/>
    <w:rsid w:val="0017366A"/>
    <w:rsid w:val="00176D6B"/>
    <w:rsid w:val="00183824"/>
    <w:rsid w:val="00192E6D"/>
    <w:rsid w:val="001B57DD"/>
    <w:rsid w:val="001C40E6"/>
    <w:rsid w:val="001C48BC"/>
    <w:rsid w:val="001C6BC5"/>
    <w:rsid w:val="001D12DB"/>
    <w:rsid w:val="001E0A16"/>
    <w:rsid w:val="001E104C"/>
    <w:rsid w:val="001F0326"/>
    <w:rsid w:val="001F5244"/>
    <w:rsid w:val="00201D9B"/>
    <w:rsid w:val="00217209"/>
    <w:rsid w:val="002329D1"/>
    <w:rsid w:val="00253FC0"/>
    <w:rsid w:val="0025468E"/>
    <w:rsid w:val="00256155"/>
    <w:rsid w:val="00261C01"/>
    <w:rsid w:val="00267979"/>
    <w:rsid w:val="00270945"/>
    <w:rsid w:val="0027350A"/>
    <w:rsid w:val="002850F3"/>
    <w:rsid w:val="002912B7"/>
    <w:rsid w:val="0029538F"/>
    <w:rsid w:val="00295F9D"/>
    <w:rsid w:val="002A2B23"/>
    <w:rsid w:val="002A7053"/>
    <w:rsid w:val="002B2848"/>
    <w:rsid w:val="002B3652"/>
    <w:rsid w:val="002B75C6"/>
    <w:rsid w:val="002C6591"/>
    <w:rsid w:val="002D3B31"/>
    <w:rsid w:val="002F75DC"/>
    <w:rsid w:val="002F7FB8"/>
    <w:rsid w:val="003223D0"/>
    <w:rsid w:val="00325CC6"/>
    <w:rsid w:val="003330AD"/>
    <w:rsid w:val="00333F4D"/>
    <w:rsid w:val="00334570"/>
    <w:rsid w:val="003420CF"/>
    <w:rsid w:val="00373DC7"/>
    <w:rsid w:val="00377260"/>
    <w:rsid w:val="003830A5"/>
    <w:rsid w:val="003A31A2"/>
    <w:rsid w:val="003B18ED"/>
    <w:rsid w:val="003B4B1D"/>
    <w:rsid w:val="003B6B66"/>
    <w:rsid w:val="003D0FE0"/>
    <w:rsid w:val="003D5274"/>
    <w:rsid w:val="003E4CA6"/>
    <w:rsid w:val="003F5C2D"/>
    <w:rsid w:val="0042742C"/>
    <w:rsid w:val="00440433"/>
    <w:rsid w:val="00441F8F"/>
    <w:rsid w:val="00443E2B"/>
    <w:rsid w:val="004475D9"/>
    <w:rsid w:val="004479DF"/>
    <w:rsid w:val="0046494C"/>
    <w:rsid w:val="004666C9"/>
    <w:rsid w:val="00474D11"/>
    <w:rsid w:val="004768C8"/>
    <w:rsid w:val="00483D1D"/>
    <w:rsid w:val="00486C8C"/>
    <w:rsid w:val="00490951"/>
    <w:rsid w:val="004934FA"/>
    <w:rsid w:val="004A6F22"/>
    <w:rsid w:val="004B135C"/>
    <w:rsid w:val="004B31F5"/>
    <w:rsid w:val="004B433E"/>
    <w:rsid w:val="004B7E8D"/>
    <w:rsid w:val="004C354A"/>
    <w:rsid w:val="004C463E"/>
    <w:rsid w:val="004C76CC"/>
    <w:rsid w:val="004D4F27"/>
    <w:rsid w:val="004E1259"/>
    <w:rsid w:val="004F41CF"/>
    <w:rsid w:val="004F6CD0"/>
    <w:rsid w:val="004F7EDC"/>
    <w:rsid w:val="00526BAC"/>
    <w:rsid w:val="0053447A"/>
    <w:rsid w:val="00541ADA"/>
    <w:rsid w:val="0058448E"/>
    <w:rsid w:val="00596744"/>
    <w:rsid w:val="005A755F"/>
    <w:rsid w:val="005A78D5"/>
    <w:rsid w:val="005B1ED0"/>
    <w:rsid w:val="005C5388"/>
    <w:rsid w:val="005C7DD7"/>
    <w:rsid w:val="005D132F"/>
    <w:rsid w:val="005F1712"/>
    <w:rsid w:val="005F56C6"/>
    <w:rsid w:val="00614275"/>
    <w:rsid w:val="00623869"/>
    <w:rsid w:val="00624C8B"/>
    <w:rsid w:val="0063270B"/>
    <w:rsid w:val="00634C14"/>
    <w:rsid w:val="006357CD"/>
    <w:rsid w:val="00637271"/>
    <w:rsid w:val="00637DFE"/>
    <w:rsid w:val="00645162"/>
    <w:rsid w:val="00651F1F"/>
    <w:rsid w:val="00654114"/>
    <w:rsid w:val="006552FF"/>
    <w:rsid w:val="00657426"/>
    <w:rsid w:val="00674E36"/>
    <w:rsid w:val="00675819"/>
    <w:rsid w:val="00676D32"/>
    <w:rsid w:val="006A4679"/>
    <w:rsid w:val="006A53ED"/>
    <w:rsid w:val="006B5D26"/>
    <w:rsid w:val="006F7DCF"/>
    <w:rsid w:val="0070290C"/>
    <w:rsid w:val="007040F4"/>
    <w:rsid w:val="0070423B"/>
    <w:rsid w:val="00720938"/>
    <w:rsid w:val="00727740"/>
    <w:rsid w:val="00733B81"/>
    <w:rsid w:val="007416D4"/>
    <w:rsid w:val="00747389"/>
    <w:rsid w:val="007527BE"/>
    <w:rsid w:val="0075771A"/>
    <w:rsid w:val="007718DB"/>
    <w:rsid w:val="00771F21"/>
    <w:rsid w:val="00774E1B"/>
    <w:rsid w:val="00791295"/>
    <w:rsid w:val="007A17A9"/>
    <w:rsid w:val="007A3D5B"/>
    <w:rsid w:val="007D64C4"/>
    <w:rsid w:val="007F2499"/>
    <w:rsid w:val="007F70A1"/>
    <w:rsid w:val="00801779"/>
    <w:rsid w:val="008023DB"/>
    <w:rsid w:val="00802F8C"/>
    <w:rsid w:val="00807733"/>
    <w:rsid w:val="00807B8D"/>
    <w:rsid w:val="00812AE5"/>
    <w:rsid w:val="00816DC3"/>
    <w:rsid w:val="00820525"/>
    <w:rsid w:val="00822302"/>
    <w:rsid w:val="00822819"/>
    <w:rsid w:val="008232C9"/>
    <w:rsid w:val="008469B7"/>
    <w:rsid w:val="00850DF8"/>
    <w:rsid w:val="00880459"/>
    <w:rsid w:val="008A00BB"/>
    <w:rsid w:val="008B0B37"/>
    <w:rsid w:val="008B20BD"/>
    <w:rsid w:val="008B5B12"/>
    <w:rsid w:val="008B6669"/>
    <w:rsid w:val="008B7E9A"/>
    <w:rsid w:val="008C2022"/>
    <w:rsid w:val="008C4438"/>
    <w:rsid w:val="008D06EF"/>
    <w:rsid w:val="008D2F96"/>
    <w:rsid w:val="008D41B9"/>
    <w:rsid w:val="008E6DB8"/>
    <w:rsid w:val="0090008F"/>
    <w:rsid w:val="00904FBD"/>
    <w:rsid w:val="009127A8"/>
    <w:rsid w:val="00914BA8"/>
    <w:rsid w:val="009306F4"/>
    <w:rsid w:val="00940E85"/>
    <w:rsid w:val="00950EDA"/>
    <w:rsid w:val="0096214E"/>
    <w:rsid w:val="00962B6C"/>
    <w:rsid w:val="00966F54"/>
    <w:rsid w:val="0097584B"/>
    <w:rsid w:val="0097778A"/>
    <w:rsid w:val="00977BC7"/>
    <w:rsid w:val="00980655"/>
    <w:rsid w:val="00980C22"/>
    <w:rsid w:val="00983597"/>
    <w:rsid w:val="0098735D"/>
    <w:rsid w:val="0099402F"/>
    <w:rsid w:val="009951EA"/>
    <w:rsid w:val="009A29E1"/>
    <w:rsid w:val="009A46AD"/>
    <w:rsid w:val="009C3129"/>
    <w:rsid w:val="009C64F8"/>
    <w:rsid w:val="009D2E43"/>
    <w:rsid w:val="009D3CE4"/>
    <w:rsid w:val="009D5578"/>
    <w:rsid w:val="009D75BD"/>
    <w:rsid w:val="009E3560"/>
    <w:rsid w:val="009F5C6C"/>
    <w:rsid w:val="009F66BE"/>
    <w:rsid w:val="00A10F2D"/>
    <w:rsid w:val="00A1401C"/>
    <w:rsid w:val="00A26591"/>
    <w:rsid w:val="00A30C2B"/>
    <w:rsid w:val="00A33F4E"/>
    <w:rsid w:val="00A52863"/>
    <w:rsid w:val="00A53343"/>
    <w:rsid w:val="00A55237"/>
    <w:rsid w:val="00A57B3F"/>
    <w:rsid w:val="00A62075"/>
    <w:rsid w:val="00A635A9"/>
    <w:rsid w:val="00A800A9"/>
    <w:rsid w:val="00A85CC3"/>
    <w:rsid w:val="00A9714F"/>
    <w:rsid w:val="00AA6C52"/>
    <w:rsid w:val="00AB7191"/>
    <w:rsid w:val="00AB76A8"/>
    <w:rsid w:val="00AC7854"/>
    <w:rsid w:val="00AD1D49"/>
    <w:rsid w:val="00AD68A7"/>
    <w:rsid w:val="00AE60EF"/>
    <w:rsid w:val="00B040AD"/>
    <w:rsid w:val="00B056A3"/>
    <w:rsid w:val="00B101F8"/>
    <w:rsid w:val="00B21742"/>
    <w:rsid w:val="00B30924"/>
    <w:rsid w:val="00B30D6F"/>
    <w:rsid w:val="00B34160"/>
    <w:rsid w:val="00B3553D"/>
    <w:rsid w:val="00B357EE"/>
    <w:rsid w:val="00B4169B"/>
    <w:rsid w:val="00B53629"/>
    <w:rsid w:val="00B671B6"/>
    <w:rsid w:val="00B740E3"/>
    <w:rsid w:val="00B9147E"/>
    <w:rsid w:val="00B9758F"/>
    <w:rsid w:val="00B97D25"/>
    <w:rsid w:val="00BA7B7E"/>
    <w:rsid w:val="00BB315D"/>
    <w:rsid w:val="00BC4156"/>
    <w:rsid w:val="00BC5E5E"/>
    <w:rsid w:val="00BD0A34"/>
    <w:rsid w:val="00BE76BD"/>
    <w:rsid w:val="00BF4744"/>
    <w:rsid w:val="00C01470"/>
    <w:rsid w:val="00C12CCB"/>
    <w:rsid w:val="00C17C05"/>
    <w:rsid w:val="00C26EED"/>
    <w:rsid w:val="00C27DA1"/>
    <w:rsid w:val="00C354BE"/>
    <w:rsid w:val="00C429E1"/>
    <w:rsid w:val="00C56C56"/>
    <w:rsid w:val="00C60213"/>
    <w:rsid w:val="00C73EE3"/>
    <w:rsid w:val="00C74F74"/>
    <w:rsid w:val="00C778C4"/>
    <w:rsid w:val="00C87225"/>
    <w:rsid w:val="00C97AF8"/>
    <w:rsid w:val="00CA03B7"/>
    <w:rsid w:val="00CA4103"/>
    <w:rsid w:val="00CA4173"/>
    <w:rsid w:val="00CA6AD1"/>
    <w:rsid w:val="00CB5B28"/>
    <w:rsid w:val="00CC59F6"/>
    <w:rsid w:val="00CC7432"/>
    <w:rsid w:val="00CD2E53"/>
    <w:rsid w:val="00CE0007"/>
    <w:rsid w:val="00CE3598"/>
    <w:rsid w:val="00CF310F"/>
    <w:rsid w:val="00D16792"/>
    <w:rsid w:val="00D2550A"/>
    <w:rsid w:val="00D266CF"/>
    <w:rsid w:val="00D27C3F"/>
    <w:rsid w:val="00D30EC1"/>
    <w:rsid w:val="00D3271C"/>
    <w:rsid w:val="00D37F39"/>
    <w:rsid w:val="00D54511"/>
    <w:rsid w:val="00D84A45"/>
    <w:rsid w:val="00D8595A"/>
    <w:rsid w:val="00D95A3E"/>
    <w:rsid w:val="00DA6B91"/>
    <w:rsid w:val="00DD0F4D"/>
    <w:rsid w:val="00DF1224"/>
    <w:rsid w:val="00DF48AE"/>
    <w:rsid w:val="00DF4999"/>
    <w:rsid w:val="00E00979"/>
    <w:rsid w:val="00E01958"/>
    <w:rsid w:val="00E13AA6"/>
    <w:rsid w:val="00E20DE6"/>
    <w:rsid w:val="00E22E54"/>
    <w:rsid w:val="00E23217"/>
    <w:rsid w:val="00E27868"/>
    <w:rsid w:val="00E3278F"/>
    <w:rsid w:val="00E3418F"/>
    <w:rsid w:val="00E3564D"/>
    <w:rsid w:val="00E363B8"/>
    <w:rsid w:val="00E37A1D"/>
    <w:rsid w:val="00E54821"/>
    <w:rsid w:val="00E60511"/>
    <w:rsid w:val="00E6133D"/>
    <w:rsid w:val="00E62856"/>
    <w:rsid w:val="00E80AD6"/>
    <w:rsid w:val="00E96A7D"/>
    <w:rsid w:val="00E96D45"/>
    <w:rsid w:val="00EA0AB5"/>
    <w:rsid w:val="00EA1B02"/>
    <w:rsid w:val="00EC7135"/>
    <w:rsid w:val="00ED087C"/>
    <w:rsid w:val="00ED2D28"/>
    <w:rsid w:val="00ED5EF9"/>
    <w:rsid w:val="00ED7F7F"/>
    <w:rsid w:val="00EE195C"/>
    <w:rsid w:val="00EE498F"/>
    <w:rsid w:val="00EE6F30"/>
    <w:rsid w:val="00EE77C1"/>
    <w:rsid w:val="00EF0FDF"/>
    <w:rsid w:val="00F055DC"/>
    <w:rsid w:val="00F05EE2"/>
    <w:rsid w:val="00F12C01"/>
    <w:rsid w:val="00F139DD"/>
    <w:rsid w:val="00F171E0"/>
    <w:rsid w:val="00F25795"/>
    <w:rsid w:val="00F3263A"/>
    <w:rsid w:val="00F3493B"/>
    <w:rsid w:val="00F53A64"/>
    <w:rsid w:val="00F53CEC"/>
    <w:rsid w:val="00F558A4"/>
    <w:rsid w:val="00F55DE4"/>
    <w:rsid w:val="00F60287"/>
    <w:rsid w:val="00F649EE"/>
    <w:rsid w:val="00F8160E"/>
    <w:rsid w:val="00F839A7"/>
    <w:rsid w:val="00F97705"/>
    <w:rsid w:val="00FE4B5A"/>
    <w:rsid w:val="00FE571E"/>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author-center/submitting-your-manuscript" TargetMode="External"/><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hm2913@cumc.columbia.edu" TargetMode="External"/><Relationship Id="rId23" Type="http://schemas.microsoft.com/office/2011/relationships/people" Target="people.xml"/><Relationship Id="rId10" Type="http://schemas.openxmlformats.org/officeDocument/2006/relationships/image" Target="media/image1.tif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25</Pages>
  <Words>26945</Words>
  <Characters>153591</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216</cp:revision>
  <dcterms:created xsi:type="dcterms:W3CDTF">2025-01-25T21:42:00Z</dcterms:created>
  <dcterms:modified xsi:type="dcterms:W3CDTF">2025-02-03T22:25:00Z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id="29VFKoij"/&gt;&lt;style id="http://www.zotero.org/styles/pnas" hasBibliography="1" bibliographyStyleHasBeenSet="1"/&gt;&lt;prefs&gt;&lt;pref name="fieldType" value="Field"/&gt;&lt;/prefs&gt;&lt;/data&gt;</vt:lpwstr>
  </property>
</Properties>
</file>