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NC-LC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NC/LC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0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0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1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1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781AB7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781AB7" w:rsidRDefault="00781AB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781AB7" w:rsidRDefault="00781AB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781AB7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781AB7" w:rsidRDefault="00781AB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781AB7" w:rsidRDefault="00781AB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781AB7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781AB7" w:rsidRDefault="00781AB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781AB7" w:rsidRDefault="00781AB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</w:t>
      </w:r>
      <w:r w:rsidR="00781AB7">
        <w:rPr>
          <w:rFonts w:ascii="Century Schoolbook" w:hAnsi="Century Schoolbook"/>
          <w:noProof/>
        </w:rPr>
        <w:t>categories</w:t>
      </w:r>
      <w:r w:rsidRPr="00DD6106">
        <w:rPr>
          <w:rFonts w:ascii="Century Schoolbook" w:hAnsi="Century Schoolbook"/>
          <w:noProof/>
        </w:rPr>
        <w:t xml:space="preserve">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 individual reviews, the panel recomm</w:t>
      </w:r>
      <w:r w:rsidR="00781AB7">
        <w:rPr>
          <w:rFonts w:ascii="Century Schoolbook" w:hAnsi="Century Schoolbook"/>
          <w:noProof/>
        </w:rPr>
        <w:t>endation, and the panel summary</w:t>
      </w:r>
      <w:bookmarkStart w:id="2" w:name="_GoBack"/>
      <w:bookmarkEnd w:id="2"/>
      <w:r w:rsidRPr="00DD6106">
        <w:rPr>
          <w:rFonts w:ascii="Century Schoolbook" w:hAnsi="Century Schoolbook"/>
          <w:noProof/>
        </w:rPr>
        <w:t xml:space="preserve">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781AB7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1AB7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2E2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7</cp:revision>
  <dcterms:created xsi:type="dcterms:W3CDTF">2017-12-05T20:45:00Z</dcterms:created>
  <dcterms:modified xsi:type="dcterms:W3CDTF">2017-12-17T10:39:00Z</dcterms:modified>
</cp:coreProperties>
</file>