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3_660"/>
        <w:ind w:left="374" w:right="394"/>
        <w:jc w:val="center"/>
        <w:spacing w:before="21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МИНИСТЕРСТВО</w:t>
      </w:r>
      <w:r>
        <w:rPr>
          <w:rFonts w:ascii="FreeSerif" w:hAnsi="FreeSerif" w:eastAsia="FreeSerif" w:cs="FreeSerif"/>
          <w:spacing w:val="-7"/>
        </w:rPr>
        <w:t xml:space="preserve"> </w:t>
      </w:r>
      <w:r>
        <w:rPr>
          <w:rFonts w:ascii="FreeSerif" w:hAnsi="FreeSerif" w:eastAsia="FreeSerif" w:cs="FreeSerif"/>
        </w:rPr>
        <w:t xml:space="preserve">ПРОСВЕЩЕНИЯ</w:t>
      </w:r>
      <w:r>
        <w:rPr>
          <w:rFonts w:ascii="FreeSerif" w:hAnsi="FreeSerif" w:eastAsia="FreeSerif" w:cs="FreeSerif"/>
          <w:spacing w:val="-6"/>
        </w:rPr>
        <w:t xml:space="preserve"> </w:t>
      </w:r>
      <w:r>
        <w:rPr>
          <w:rFonts w:ascii="FreeSerif" w:hAnsi="FreeSerif" w:eastAsia="FreeSerif" w:cs="FreeSerif"/>
        </w:rPr>
        <w:t xml:space="preserve">РОССИЙСКОЙ</w:t>
      </w:r>
      <w:r>
        <w:rPr>
          <w:rFonts w:ascii="FreeSerif" w:hAnsi="FreeSerif" w:eastAsia="FreeSerif" w:cs="FreeSerif"/>
          <w:spacing w:val="-6"/>
        </w:rPr>
        <w:t xml:space="preserve"> </w:t>
      </w:r>
      <w:r>
        <w:rPr>
          <w:rFonts w:ascii="FreeSerif" w:hAnsi="FreeSerif" w:eastAsia="FreeSerif" w:cs="FreeSerif"/>
        </w:rPr>
        <w:t xml:space="preserve">ФЕДЕРАЦИИ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spacing w:before="11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3_660"/>
        <w:ind w:left="375" w:right="394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ФЕДЕРАЛЬНОЕ ГОСУДАРСТВЕННОЕ БЮДЖЕТНОЕ ОБРАЗОВАТЕЛЬНОЕ УЧРЕЖДЕНИЕ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ВЫСШЕГО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ОБРАЗОВАНИЯ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spacing w:before="1"/>
        <w:rPr>
          <w:rFonts w:ascii="FreeSerif" w:hAnsi="FreeSerif" w:cs="FreeSerif"/>
          <w:sz w:val="23"/>
        </w:rPr>
      </w:pPr>
      <w:r>
        <w:rPr>
          <w:rFonts w:ascii="FreeSerif" w:hAnsi="FreeSerif" w:eastAsia="FreeSerif" w:cs="FreeSerif"/>
          <w:sz w:val="23"/>
        </w:rPr>
      </w:r>
      <w:r>
        <w:rPr>
          <w:rFonts w:ascii="FreeSerif" w:hAnsi="FreeSerif" w:cs="FreeSerif"/>
          <w:sz w:val="23"/>
        </w:rPr>
      </w:r>
      <w:r>
        <w:rPr>
          <w:rFonts w:ascii="FreeSerif" w:hAnsi="FreeSerif" w:cs="FreeSerif"/>
          <w:sz w:val="23"/>
        </w:rPr>
      </w:r>
    </w:p>
    <w:p>
      <w:pPr>
        <w:pStyle w:val="3_660"/>
        <w:ind w:left="375" w:right="391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«РОССИЙСКИЙ ГОСУДАРСТВЕННЫЙ ПЕДАГОГИЧЕСКИЙ УНИВЕРСИТЕТ им. А.И.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ГЕРЦЕНА»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spacing w:before="10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3_660"/>
        <w:ind w:left="375" w:right="390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Направление</w:t>
      </w:r>
      <w:r>
        <w:rPr>
          <w:rFonts w:ascii="FreeSerif" w:hAnsi="FreeSerif" w:eastAsia="FreeSerif" w:cs="FreeSerif"/>
          <w:spacing w:val="-7"/>
        </w:rPr>
        <w:t xml:space="preserve"> </w:t>
      </w:r>
      <w:r>
        <w:rPr>
          <w:rFonts w:ascii="FreeSerif" w:hAnsi="FreeSerif" w:eastAsia="FreeSerif" w:cs="FreeSerif"/>
        </w:rPr>
        <w:t xml:space="preserve">подготовки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spacing w:before="12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3_660"/>
        <w:ind w:left="2265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09.03.01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–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Информатика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и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вычислительная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техника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spacing w:before="11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3_660"/>
        <w:ind w:left="1509" w:right="1529"/>
        <w:jc w:val="center"/>
        <w:spacing w:line="436" w:lineRule="auto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Профиль «Технологии разработки программного обеспечения»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Лабораторная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работа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№</w:t>
      </w:r>
      <w:r>
        <w:rPr>
          <w:rFonts w:ascii="FreeSerif" w:hAnsi="FreeSerif" w:eastAsia="FreeSerif" w:cs="FreeSerif"/>
        </w:rPr>
        <w:t xml:space="preserve">4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left="371" w:right="394"/>
        <w:jc w:val="center"/>
        <w:spacing w:line="341" w:lineRule="exact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«</w:t>
      </w:r>
      <w:r>
        <w:rPr>
          <w:rFonts w:ascii="FreeSerif" w:hAnsi="FreeSerif" w:eastAsia="FreeSerif" w:cs="FreeSerif"/>
          <w:b w:val="0"/>
          <w:bCs w:val="0"/>
        </w:rPr>
        <w:t xml:space="preserve">Решение систем линейных уравнений методом квадратного корня</w:t>
      </w:r>
      <w:r>
        <w:rPr>
          <w:rFonts w:ascii="FreeSerif" w:hAnsi="FreeSerif" w:eastAsia="FreeSerif" w:cs="FreeSerif"/>
        </w:rPr>
        <w:t xml:space="preserve">»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Работу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выполнили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студенты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2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курса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1.1</w:t>
      </w:r>
      <w:r>
        <w:rPr>
          <w:rFonts w:ascii="FreeSerif" w:hAnsi="FreeSerif" w:eastAsia="FreeSerif" w:cs="FreeSerif"/>
          <w:spacing w:val="-1"/>
        </w:rPr>
        <w:t xml:space="preserve"> </w:t>
      </w:r>
      <w:r>
        <w:rPr>
          <w:rFonts w:ascii="FreeSerif" w:hAnsi="FreeSerif" w:eastAsia="FreeSerif" w:cs="FreeSerif"/>
        </w:rPr>
        <w:t xml:space="preserve">группы: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left="8670" w:right="115" w:hanging="800"/>
        <w:jc w:val="right"/>
        <w:spacing w:before="186" w:line="369" w:lineRule="auto"/>
        <w:rPr>
          <w:rFonts w:ascii="FreeSerif" w:hAnsi="FreeSerif" w:cs="FreeSerif"/>
        </w:rPr>
      </w:pPr>
      <w:r>
        <w:rPr>
          <w:rFonts w:ascii="FreeSerif" w:hAnsi="FreeSerif" w:eastAsia="FreeSerif" w:cs="FreeSerif"/>
          <w:spacing w:val="-1"/>
        </w:rPr>
        <w:t xml:space="preserve">Шульга</w:t>
      </w:r>
      <w:r>
        <w:rPr>
          <w:rFonts w:ascii="FreeSerif" w:hAnsi="FreeSerif" w:eastAsia="FreeSerif" w:cs="FreeSerif"/>
          <w:spacing w:val="-11"/>
        </w:rPr>
        <w:t xml:space="preserve"> </w:t>
      </w:r>
      <w:r>
        <w:rPr>
          <w:rFonts w:ascii="FreeSerif" w:hAnsi="FreeSerif" w:eastAsia="FreeSerif" w:cs="FreeSerif"/>
        </w:rPr>
        <w:t xml:space="preserve">Евгений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right="116"/>
        <w:jc w:val="right"/>
        <w:spacing w:before="6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Зубов Михаил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pStyle w:val="3_660"/>
        <w:ind w:left="4610" w:right="3919"/>
        <w:jc w:val="center"/>
        <w:spacing w:before="194" w:line="369" w:lineRule="auto"/>
        <w:rPr>
          <w:rFonts w:ascii="FreeSerif" w:hAnsi="FreeSerif" w:cs="FreeSerif"/>
        </w:rPr>
        <w:sectPr>
          <w:footnotePr/>
          <w:endnotePr/>
          <w:type w:val="nextPage"/>
          <w:pgSz w:w="11910" w:h="16840" w:orient="portrait"/>
          <w:pgMar w:top="680" w:right="600" w:bottom="280" w:left="620" w:header="709" w:footer="709" w:gutter="0"/>
          <w:cols w:num="1" w:sep="0" w:space="720" w:equalWidth="1"/>
          <w:docGrid w:linePitch="360"/>
        </w:sectPr>
      </w:pPr>
      <w:r>
        <w:rPr>
          <w:rFonts w:ascii="FreeSerif" w:hAnsi="FreeSerif" w:eastAsia="FreeSerif" w:cs="FreeSerif"/>
        </w:rPr>
        <w:t xml:space="preserve">САНКТ-ПЕТЕРБУРГ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2024</w:t>
      </w:r>
      <w:r>
        <w:rPr>
          <w:rFonts w:ascii="FreeSerif" w:hAnsi="FreeSerif" w:cs="FreeSerif"/>
        </w:rPr>
      </w:r>
      <w:r>
        <w:rPr>
          <w:rFonts w:ascii="FreeSerif" w:hAnsi="FreeSerif" w:cs="FreeSerif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14:ligatures w14:val="none"/>
        </w:rPr>
      </w:r>
      <w:r>
        <w:rPr>
          <w:rStyle w:val="663"/>
          <w:rFonts w:ascii="FreeSerif" w:hAnsi="FreeSerif" w:eastAsia="FreeSerif" w:cs="FreeSerif"/>
          <w:b/>
          <w:bCs/>
          <w:sz w:val="28"/>
          <w:szCs w:val="28"/>
        </w:rPr>
        <w:t xml:space="preserve">Цель работы</w:t>
      </w:r>
      <w:r>
        <w:rPr>
          <w:rFonts w:ascii="FreeSerif" w:hAnsi="FreeSerif" w:eastAsia="FreeSerif" w:cs="FreeSerif"/>
          <w:sz w:val="28"/>
          <w:szCs w:val="28"/>
        </w:rPr>
        <w:t xml:space="preserve">: получить навыки расчета значений коэффициентов линейной зависимости по заданным эмпирическим данным</w:t>
      </w:r>
      <w:r>
        <w:rPr>
          <w:rFonts w:ascii="FreeSerif" w:hAnsi="FreeSerif" w:eastAsia="FreeSerif" w:cs="FreeSerif"/>
          <w:sz w:val="28"/>
          <w:szCs w:val="28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Задача 1.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Для изучения зависимости октанового числа бензина от чистоты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/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катализатора (%) провели 11 измерений, приведенных ниже в таблице: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409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6159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340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05.58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1). Найдите коэффициенты a, b линейной зависимости у(x)= ax + b октанового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числа от чистоты катализатора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2). Постройте график зависимости.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3). Вычислите значение октанового числа для чистоты катализатора 87%.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Задача 2.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Загрязнение региона в баллах было определено за последние 16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/>
    </w:p>
    <w:p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месяцев. Данные о загрязнении приведены в таблице. Разработать трендовую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модель для определения будущей экологической обстановки в районе в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регионе в последние пять месяцев.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11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191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311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03.2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Ход работы: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Задача 1, результат: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533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96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85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42.9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Задача 2, результат: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Мы определили трендовую линию на протяжении всего указанного периода, исходя из данных за последние 5 месяцев, можно сказать, что коэффициент загрязнения только увеличивается, что может негативно влиять на другие факторы!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42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610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884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27.1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Вывод: мы получили</w:t>
      </w:r>
      <w:r>
        <w:rPr>
          <w:rFonts w:ascii="FreeSerif" w:hAnsi="FreeSerif" w:eastAsia="FreeSerif" w:cs="FreeSerif"/>
          <w:sz w:val="28"/>
          <w:szCs w:val="28"/>
        </w:rPr>
        <w:t xml:space="preserve"> навыки расчета значений коэффициентов линейной зависимости по заданным эмпирическим данным</w:t>
      </w:r>
      <w:r/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FreeSerif">
    <w:panose1 w:val="020206030504050203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w:type="paragraph" w:styleId="3_660" w:customStyle="1">
    <w:name w:val="Body Text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2024-05-13T19:28:11Z</dcterms:modified>
</cp:coreProperties>
</file>