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C282" w14:textId="07961635" w:rsidR="008146B4" w:rsidRDefault="008146B4">
      <w:r>
        <w:t>Will tell two stories with data</w:t>
      </w:r>
    </w:p>
    <w:p w14:paraId="5C0C4751" w14:textId="1261C079" w:rsidR="005C4E67" w:rsidRDefault="005C4E67" w:rsidP="005C4E67">
      <w:pPr>
        <w:pStyle w:val="ListParagraph"/>
        <w:numPr>
          <w:ilvl w:val="0"/>
          <w:numId w:val="2"/>
        </w:numPr>
      </w:pPr>
      <w:r>
        <w:t xml:space="preserve">Disease outbreak during the </w:t>
      </w:r>
      <w:proofErr w:type="gramStart"/>
      <w:r>
        <w:t>time period</w:t>
      </w:r>
      <w:proofErr w:type="gramEnd"/>
    </w:p>
    <w:p w14:paraId="63E7240D" w14:textId="49FD51CE" w:rsidR="005C4E67" w:rsidRDefault="00C13AEE" w:rsidP="005C4E67">
      <w:pPr>
        <w:pStyle w:val="ListParagraph"/>
        <w:numPr>
          <w:ilvl w:val="0"/>
          <w:numId w:val="2"/>
        </w:numPr>
      </w:pPr>
      <w:r>
        <w:t>Demographics</w:t>
      </w:r>
      <w:r w:rsidR="00674BDB">
        <w:t>; civil war</w:t>
      </w:r>
    </w:p>
    <w:p w14:paraId="24298D2F" w14:textId="77777777" w:rsidR="008146B4" w:rsidRDefault="008146B4"/>
    <w:p w14:paraId="662A5047" w14:textId="150B9771" w:rsidR="008146B4" w:rsidRDefault="008146B4" w:rsidP="00BD0100">
      <w:pPr>
        <w:pStyle w:val="ListParagraph"/>
      </w:pPr>
      <w:r>
        <w:t>Causes of death/year chart- highlight spike between 1861 and 1870</w:t>
      </w:r>
    </w:p>
    <w:p w14:paraId="5F744F9C" w14:textId="1D980D3C" w:rsidR="00C5778C" w:rsidRDefault="00C5778C" w:rsidP="00BD0100">
      <w:pPr>
        <w:pStyle w:val="ListParagraph"/>
      </w:pPr>
      <w:r>
        <w:rPr>
          <w:noProof/>
        </w:rPr>
        <w:drawing>
          <wp:inline distT="0" distB="0" distL="0" distR="0" wp14:anchorId="6D4075F6" wp14:editId="39DD2BA6">
            <wp:extent cx="6282690" cy="3832860"/>
            <wp:effectExtent l="0" t="0" r="3810" b="15240"/>
            <wp:docPr id="816123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5FF3DB-7837-F4AB-2981-8ED9584460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9EF206" w14:textId="77777777" w:rsidR="009F3D64" w:rsidRDefault="009F3D64" w:rsidP="00BD0100">
      <w:pPr>
        <w:pStyle w:val="ListParagraph"/>
      </w:pPr>
    </w:p>
    <w:p w14:paraId="07A8E07B" w14:textId="77777777" w:rsidR="009F3D64" w:rsidRDefault="009F3D64" w:rsidP="00BD0100">
      <w:pPr>
        <w:pStyle w:val="ListParagraph"/>
      </w:pPr>
    </w:p>
    <w:p w14:paraId="78087304" w14:textId="4D138067" w:rsidR="00E33202" w:rsidRDefault="00E33202" w:rsidP="00BD0100">
      <w:pPr>
        <w:pStyle w:val="ListParagraph"/>
      </w:pPr>
      <w:r>
        <w:rPr>
          <w:noProof/>
        </w:rPr>
        <w:lastRenderedPageBreak/>
        <w:drawing>
          <wp:inline distT="0" distB="0" distL="0" distR="0" wp14:anchorId="0031CCDC" wp14:editId="3F9CDD68">
            <wp:extent cx="4899660" cy="2926080"/>
            <wp:effectExtent l="0" t="0" r="15240" b="7620"/>
            <wp:docPr id="11106075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0B269A-BA50-6C1C-78CD-FBE6452CA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876A8C" w14:textId="77777777" w:rsidR="00E33202" w:rsidRDefault="00E33202" w:rsidP="00BD0100">
      <w:pPr>
        <w:pStyle w:val="ListParagraph"/>
      </w:pPr>
    </w:p>
    <w:p w14:paraId="041933DB" w14:textId="1BE3B51A" w:rsidR="008146B4" w:rsidRDefault="00BD0100">
      <w:r>
        <w:t>1.</w:t>
      </w:r>
      <w:r w:rsidR="008146B4">
        <w:t>Further investigation shows that between 1860 and 1870 there was an outbreak of disease and infection, including cholera</w:t>
      </w:r>
      <w:r w:rsidR="005C4E67">
        <w:t xml:space="preserve">, yellow fever, </w:t>
      </w:r>
      <w:proofErr w:type="spellStart"/>
      <w:r w:rsidR="005C4E67">
        <w:t>etc</w:t>
      </w:r>
      <w:proofErr w:type="spellEnd"/>
      <w:r w:rsidR="008146B4">
        <w:t xml:space="preserve">- *which aligns with top 12 </w:t>
      </w:r>
      <w:r w:rsidR="005C4E67">
        <w:t>causes of death based in the data*(insert bar graph). Other causes of death align with improper sanitation.</w:t>
      </w:r>
    </w:p>
    <w:p w14:paraId="0D096262" w14:textId="68ED33DE" w:rsidR="00E33202" w:rsidRDefault="002F4142">
      <w:r>
        <w:rPr>
          <w:noProof/>
        </w:rPr>
        <w:drawing>
          <wp:inline distT="0" distB="0" distL="0" distR="0" wp14:anchorId="6EEBBED0" wp14:editId="570E72A7">
            <wp:extent cx="5722620" cy="3375660"/>
            <wp:effectExtent l="0" t="0" r="0" b="0"/>
            <wp:docPr id="17458412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CC34F0-2F7B-C98C-84A9-29DB21CDD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BE1D2A" w14:textId="7143C7AD" w:rsidR="00BD0100" w:rsidRDefault="00BD0100" w:rsidP="00EB270C">
      <w:pPr>
        <w:pStyle w:val="ListParagraph"/>
        <w:numPr>
          <w:ilvl w:val="0"/>
          <w:numId w:val="2"/>
        </w:numPr>
      </w:pPr>
      <w:r>
        <w:t>I beca</w:t>
      </w:r>
      <w:r w:rsidR="00A56429">
        <w:t xml:space="preserve">me curious to see if the data </w:t>
      </w:r>
      <w:r w:rsidR="00921AF9">
        <w:t>gave insight into quality of care</w:t>
      </w:r>
      <w:r w:rsidR="00A56429">
        <w:t xml:space="preserve"> based on rac</w:t>
      </w:r>
      <w:r w:rsidR="00921AF9">
        <w:t xml:space="preserve">ial demographics. </w:t>
      </w:r>
    </w:p>
    <w:tbl>
      <w:tblPr>
        <w:tblStyle w:val="ListTable3-Accent2"/>
        <w:tblW w:w="6610" w:type="dxa"/>
        <w:tblLook w:val="04A0" w:firstRow="1" w:lastRow="0" w:firstColumn="1" w:lastColumn="0" w:noHBand="0" w:noVBand="1"/>
      </w:tblPr>
      <w:tblGrid>
        <w:gridCol w:w="1597"/>
        <w:gridCol w:w="2672"/>
        <w:gridCol w:w="2341"/>
      </w:tblGrid>
      <w:tr w:rsidR="00EB270C" w:rsidRPr="00EB270C" w14:paraId="2EAE232D" w14:textId="77777777" w:rsidTr="00EB2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  <w:noWrap/>
            <w:hideMark/>
          </w:tcPr>
          <w:p w14:paraId="4E94EAC6" w14:textId="5860E344" w:rsidR="00EB270C" w:rsidRPr="00EB270C" w:rsidRDefault="00EB270C" w:rsidP="00EB270C">
            <w:pPr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72" w:type="dxa"/>
            <w:noWrap/>
            <w:hideMark/>
          </w:tcPr>
          <w:p w14:paraId="41FF8AC4" w14:textId="0B83FC2E" w:rsidR="00EB270C" w:rsidRPr="00EB270C" w:rsidRDefault="00EB270C" w:rsidP="00EB270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  <w:t>Count Buried</w:t>
            </w:r>
          </w:p>
        </w:tc>
        <w:tc>
          <w:tcPr>
            <w:tcW w:w="2341" w:type="dxa"/>
            <w:noWrap/>
            <w:hideMark/>
          </w:tcPr>
          <w:p w14:paraId="037B5D12" w14:textId="46CF03F2" w:rsidR="00EB270C" w:rsidRPr="00EB270C" w:rsidRDefault="00EB270C" w:rsidP="00EB270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  <w:t>%</w:t>
            </w:r>
            <w:r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14:ligatures w14:val="none"/>
              </w:rPr>
              <w:t xml:space="preserve"> of Total</w:t>
            </w:r>
          </w:p>
        </w:tc>
      </w:tr>
      <w:tr w:rsidR="00EB270C" w:rsidRPr="00EB270C" w14:paraId="7CAE60A9" w14:textId="77777777" w:rsidTr="00EB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14:paraId="6988528E" w14:textId="77777777" w:rsidR="00EB270C" w:rsidRPr="00EB270C" w:rsidRDefault="00EB270C" w:rsidP="00EB270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Black</w:t>
            </w:r>
          </w:p>
        </w:tc>
        <w:tc>
          <w:tcPr>
            <w:tcW w:w="2672" w:type="dxa"/>
            <w:noWrap/>
            <w:hideMark/>
          </w:tcPr>
          <w:p w14:paraId="2DD4104B" w14:textId="77777777" w:rsidR="00EB270C" w:rsidRPr="00EB270C" w:rsidRDefault="00EB270C" w:rsidP="00EB27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6688</w:t>
            </w:r>
          </w:p>
        </w:tc>
        <w:tc>
          <w:tcPr>
            <w:tcW w:w="2341" w:type="dxa"/>
            <w:noWrap/>
            <w:hideMark/>
          </w:tcPr>
          <w:p w14:paraId="3B81C6A4" w14:textId="77777777" w:rsidR="00EB270C" w:rsidRPr="00EB270C" w:rsidRDefault="00EB270C" w:rsidP="00EB27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35%</w:t>
            </w:r>
          </w:p>
        </w:tc>
      </w:tr>
      <w:tr w:rsidR="00EB270C" w:rsidRPr="00EB270C" w14:paraId="0C4FE1E3" w14:textId="77777777" w:rsidTr="00EB270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14:paraId="48BF207D" w14:textId="77777777" w:rsidR="00EB270C" w:rsidRPr="00EB270C" w:rsidRDefault="00EB270C" w:rsidP="00EB270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White</w:t>
            </w:r>
          </w:p>
        </w:tc>
        <w:tc>
          <w:tcPr>
            <w:tcW w:w="2672" w:type="dxa"/>
            <w:noWrap/>
            <w:hideMark/>
          </w:tcPr>
          <w:p w14:paraId="674E473B" w14:textId="77777777" w:rsidR="00EB270C" w:rsidRPr="00EB270C" w:rsidRDefault="00EB270C" w:rsidP="00EB27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12467</w:t>
            </w:r>
          </w:p>
        </w:tc>
        <w:tc>
          <w:tcPr>
            <w:tcW w:w="2341" w:type="dxa"/>
            <w:noWrap/>
            <w:hideMark/>
          </w:tcPr>
          <w:p w14:paraId="410F8AE2" w14:textId="77777777" w:rsidR="00EB270C" w:rsidRPr="00EB270C" w:rsidRDefault="00EB270C" w:rsidP="00EB270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65%</w:t>
            </w:r>
          </w:p>
        </w:tc>
      </w:tr>
      <w:tr w:rsidR="00EB270C" w:rsidRPr="00EB270C" w14:paraId="5B714082" w14:textId="77777777" w:rsidTr="00EB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14:paraId="6F997683" w14:textId="77777777" w:rsidR="00EB270C" w:rsidRPr="00EB270C" w:rsidRDefault="00EB270C" w:rsidP="00EB270C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2672" w:type="dxa"/>
            <w:noWrap/>
            <w:hideMark/>
          </w:tcPr>
          <w:p w14:paraId="6D647081" w14:textId="77777777" w:rsidR="00EB270C" w:rsidRPr="00EB270C" w:rsidRDefault="00EB270C" w:rsidP="00EB27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B27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19155</w:t>
            </w:r>
          </w:p>
        </w:tc>
        <w:tc>
          <w:tcPr>
            <w:tcW w:w="2341" w:type="dxa"/>
            <w:noWrap/>
            <w:hideMark/>
          </w:tcPr>
          <w:p w14:paraId="413CFAE0" w14:textId="77777777" w:rsidR="00EB270C" w:rsidRPr="00EB270C" w:rsidRDefault="00EB270C" w:rsidP="00EB270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637A88" w14:textId="77777777" w:rsidR="00EB270C" w:rsidRDefault="00EB270C" w:rsidP="00EB270C"/>
    <w:p w14:paraId="14989879" w14:textId="03BFEBDF" w:rsidR="00EB270C" w:rsidRDefault="00EB270C" w:rsidP="00BD0100">
      <w:r>
        <w:rPr>
          <w:noProof/>
        </w:rPr>
        <w:drawing>
          <wp:inline distT="0" distB="0" distL="0" distR="0" wp14:anchorId="74C87ADD" wp14:editId="1D874767">
            <wp:extent cx="6225540" cy="3352800"/>
            <wp:effectExtent l="0" t="0" r="3810" b="0"/>
            <wp:docPr id="13282303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218F0F-42F5-909E-8751-AE9B7A69E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1132C0" w14:textId="1CDAE53A" w:rsidR="00E1522D" w:rsidRDefault="00921AF9" w:rsidP="00BD0100">
      <w:r>
        <w:t>Found it unusual that although the black demographic was lower, there was a significant spike in deaths for B</w:t>
      </w:r>
      <w:r w:rsidR="00410F1F">
        <w:t>lack people</w:t>
      </w:r>
      <w:r>
        <w:t xml:space="preserve"> between 1862 and 1867 and then a major drop nearing 1870.</w:t>
      </w:r>
    </w:p>
    <w:p w14:paraId="31B36D5D" w14:textId="4EC527D0" w:rsidR="00E6245B" w:rsidRDefault="00E6245B" w:rsidP="00BD0100">
      <w:r>
        <w:rPr>
          <w:noProof/>
        </w:rPr>
        <w:lastRenderedPageBreak/>
        <w:drawing>
          <wp:inline distT="0" distB="0" distL="0" distR="0" wp14:anchorId="7C954468" wp14:editId="4D1C3D25">
            <wp:extent cx="5943600" cy="3977640"/>
            <wp:effectExtent l="0" t="0" r="0" b="3810"/>
            <wp:docPr id="9609810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391418-1AEE-104D-DA5F-F50198C30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174926" w14:textId="5300F98C" w:rsidR="00921AF9" w:rsidRDefault="00921AF9" w:rsidP="00BD0100">
      <w:r>
        <w:t xml:space="preserve">This aligns </w:t>
      </w:r>
      <w:r w:rsidR="00410F1F">
        <w:t>with the timing of</w:t>
      </w:r>
      <w:r>
        <w:t xml:space="preserve"> the civil war. During the early 1860s thousands of black refugees sought </w:t>
      </w:r>
      <w:r w:rsidR="00410F1F">
        <w:t>“</w:t>
      </w:r>
      <w:r>
        <w:t>safety</w:t>
      </w:r>
      <w:r w:rsidR="00410F1F">
        <w:t>”</w:t>
      </w:r>
      <w:r>
        <w:t xml:space="preserve"> in the city</w:t>
      </w:r>
      <w:r w:rsidR="00410F1F">
        <w:t xml:space="preserve">. But unfortunately coupled with being victims of wartime violence, they were victims of systemic neglect. </w:t>
      </w:r>
      <w:r w:rsidR="005924C2">
        <w:t>They lacked</w:t>
      </w:r>
      <w:r w:rsidR="00410F1F">
        <w:t xml:space="preserve"> </w:t>
      </w:r>
      <w:r w:rsidR="005924C2">
        <w:t>proper</w:t>
      </w:r>
      <w:r w:rsidR="00410F1F">
        <w:t xml:space="preserve"> medical care, and liv</w:t>
      </w:r>
      <w:r w:rsidR="005924C2">
        <w:t>ed</w:t>
      </w:r>
      <w:r w:rsidR="00410F1F">
        <w:t xml:space="preserve"> in</w:t>
      </w:r>
      <w:r w:rsidR="00410F1F">
        <w:t xml:space="preserve"> overcrowded, </w:t>
      </w:r>
      <w:r w:rsidR="00410F1F">
        <w:t>u</w:t>
      </w:r>
      <w:r w:rsidR="00410F1F">
        <w:t>nsanitary refugee camps</w:t>
      </w:r>
      <w:r w:rsidR="00410F1F">
        <w:t>…the perfect recipe(s) for the</w:t>
      </w:r>
      <w:r w:rsidR="005924C2">
        <w:t xml:space="preserve"> mismanagement and</w:t>
      </w:r>
      <w:r w:rsidR="00410F1F">
        <w:t xml:space="preserve"> sprea</w:t>
      </w:r>
      <w:r w:rsidR="005924C2">
        <w:t>d</w:t>
      </w:r>
      <w:r w:rsidR="00410F1F">
        <w:t xml:space="preserve"> of disease.</w:t>
      </w:r>
    </w:p>
    <w:p w14:paraId="035409C0" w14:textId="77777777" w:rsidR="00BD0100" w:rsidRDefault="00BD0100" w:rsidP="00BD0100"/>
    <w:p w14:paraId="2E1B02B7" w14:textId="77777777" w:rsidR="00C5778C" w:rsidRDefault="00C5778C" w:rsidP="00BD0100"/>
    <w:p w14:paraId="13182F1F" w14:textId="09D99291" w:rsidR="00C5778C" w:rsidRDefault="00C5778C" w:rsidP="00BD0100"/>
    <w:sectPr w:rsidR="00C57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0DC1"/>
    <w:multiLevelType w:val="hybridMultilevel"/>
    <w:tmpl w:val="D4E4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64D1"/>
    <w:multiLevelType w:val="hybridMultilevel"/>
    <w:tmpl w:val="36C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0B31"/>
    <w:multiLevelType w:val="hybridMultilevel"/>
    <w:tmpl w:val="2B06D9AC"/>
    <w:lvl w:ilvl="0" w:tplc="7624A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125BB"/>
    <w:multiLevelType w:val="hybridMultilevel"/>
    <w:tmpl w:val="AFDC31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6456">
    <w:abstractNumId w:val="0"/>
  </w:num>
  <w:num w:numId="2" w16cid:durableId="684013876">
    <w:abstractNumId w:val="2"/>
  </w:num>
  <w:num w:numId="3" w16cid:durableId="334068280">
    <w:abstractNumId w:val="1"/>
  </w:num>
  <w:num w:numId="4" w16cid:durableId="1471635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B4"/>
    <w:rsid w:val="000430E2"/>
    <w:rsid w:val="0011337A"/>
    <w:rsid w:val="0013030C"/>
    <w:rsid w:val="00275096"/>
    <w:rsid w:val="002F4142"/>
    <w:rsid w:val="00410F1F"/>
    <w:rsid w:val="004D6514"/>
    <w:rsid w:val="005924C2"/>
    <w:rsid w:val="005C4E67"/>
    <w:rsid w:val="00674BDB"/>
    <w:rsid w:val="008146B4"/>
    <w:rsid w:val="008A3304"/>
    <w:rsid w:val="00921AF9"/>
    <w:rsid w:val="009D4C55"/>
    <w:rsid w:val="009F3D64"/>
    <w:rsid w:val="00A56429"/>
    <w:rsid w:val="00BD0100"/>
    <w:rsid w:val="00C13AEE"/>
    <w:rsid w:val="00C5778C"/>
    <w:rsid w:val="00E1522D"/>
    <w:rsid w:val="00E33202"/>
    <w:rsid w:val="00E6245B"/>
    <w:rsid w:val="00EB270C"/>
    <w:rsid w:val="00F3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13D"/>
  <w15:chartTrackingRefBased/>
  <w15:docId w15:val="{7B28EED8-573B-4774-9C88-583CECA4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B4"/>
    <w:rPr>
      <w:b/>
      <w:bCs/>
      <w:smallCaps/>
      <w:color w:val="0F4761" w:themeColor="accent1" w:themeShade="BF"/>
      <w:spacing w:val="5"/>
    </w:rPr>
  </w:style>
  <w:style w:type="table" w:styleId="GridTable5Dark-Accent2">
    <w:name w:val="Grid Table 5 Dark Accent 2"/>
    <w:basedOn w:val="TableNormal"/>
    <w:uiPriority w:val="50"/>
    <w:rsid w:val="00EB27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1Light-Accent2">
    <w:name w:val="Grid Table 1 Light Accent 2"/>
    <w:basedOn w:val="TableNormal"/>
    <w:uiPriority w:val="46"/>
    <w:rsid w:val="00EB270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EB270C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si\Documents\NSS-DA\excel\nashville-city-cemetery-LeAnne-Velazquez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si\Documents\NSS-DA\excel\nashville-city-cemetery-LeAnne-Velazquez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si\Documents\NSS-DA\excel\nashville-city-cemetery-LeAnne-Velazquez\data\Historic_Nashville_City_Cemetery_Interments__1846-197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si\Documents\NSS-DA\excel\nashville-city-cemetery-LeAnne-Velazquez\data\Historic_Nashville_City_Cemetery_Interments__1846-197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rsi\Documents\NSS-DA\excel\nashville-city-cemetery-LeAnne-Velazquez\data\Historic_Nashville_City_Cemetery_Interments__1846-197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[Historic_Nashville_City_Cemetery_Interments__1846-1979.xlsx]count_of_death_yearly!PivotTable4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Burial Count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2"/>
            </a:solidFill>
            <a:miter lim="800000"/>
          </a:ln>
          <a:effectLst>
            <a:glow rad="63500">
              <a:schemeClr val="accent2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2"/>
            </a:solidFill>
            <a:miter lim="800000"/>
          </a:ln>
          <a:effectLst>
            <a:glow rad="63500">
              <a:schemeClr val="accent2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2"/>
            </a:solidFill>
            <a:miter lim="800000"/>
          </a:ln>
          <a:effectLst>
            <a:glow rad="63500">
              <a:schemeClr val="accent2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count_of_death_yearly!$B$3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count_of_death_yearly!$A$4:$A$133</c:f>
              <c:strCache>
                <c:ptCount val="129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1858</c:v>
                </c:pt>
                <c:pt idx="13">
                  <c:v>1859</c:v>
                </c:pt>
                <c:pt idx="14">
                  <c:v>1860</c:v>
                </c:pt>
                <c:pt idx="15">
                  <c:v>1861</c:v>
                </c:pt>
                <c:pt idx="16">
                  <c:v>1862</c:v>
                </c:pt>
                <c:pt idx="17">
                  <c:v>1863</c:v>
                </c:pt>
                <c:pt idx="18">
                  <c:v>1864</c:v>
                </c:pt>
                <c:pt idx="19">
                  <c:v>1865</c:v>
                </c:pt>
                <c:pt idx="20">
                  <c:v>1866</c:v>
                </c:pt>
                <c:pt idx="21">
                  <c:v>1867</c:v>
                </c:pt>
                <c:pt idx="22">
                  <c:v>1868</c:v>
                </c:pt>
                <c:pt idx="23">
                  <c:v>1869</c:v>
                </c:pt>
                <c:pt idx="24">
                  <c:v>1870</c:v>
                </c:pt>
                <c:pt idx="25">
                  <c:v>1871</c:v>
                </c:pt>
                <c:pt idx="26">
                  <c:v>1872</c:v>
                </c:pt>
                <c:pt idx="27">
                  <c:v>1873</c:v>
                </c:pt>
                <c:pt idx="28">
                  <c:v>1874</c:v>
                </c:pt>
                <c:pt idx="29">
                  <c:v>1875</c:v>
                </c:pt>
                <c:pt idx="30">
                  <c:v>1876</c:v>
                </c:pt>
                <c:pt idx="31">
                  <c:v>1877</c:v>
                </c:pt>
                <c:pt idx="32">
                  <c:v>1878</c:v>
                </c:pt>
                <c:pt idx="33">
                  <c:v>1879</c:v>
                </c:pt>
                <c:pt idx="34">
                  <c:v>1880</c:v>
                </c:pt>
                <c:pt idx="35">
                  <c:v>1881</c:v>
                </c:pt>
                <c:pt idx="36">
                  <c:v>1882</c:v>
                </c:pt>
                <c:pt idx="37">
                  <c:v>1883</c:v>
                </c:pt>
                <c:pt idx="38">
                  <c:v>1884</c:v>
                </c:pt>
                <c:pt idx="39">
                  <c:v>1885</c:v>
                </c:pt>
                <c:pt idx="40">
                  <c:v>1886</c:v>
                </c:pt>
                <c:pt idx="41">
                  <c:v>1887</c:v>
                </c:pt>
                <c:pt idx="42">
                  <c:v>1888</c:v>
                </c:pt>
                <c:pt idx="43">
                  <c:v>1889</c:v>
                </c:pt>
                <c:pt idx="44">
                  <c:v>1890</c:v>
                </c:pt>
                <c:pt idx="45">
                  <c:v>1891</c:v>
                </c:pt>
                <c:pt idx="46">
                  <c:v>1892</c:v>
                </c:pt>
                <c:pt idx="47">
                  <c:v>1893</c:v>
                </c:pt>
                <c:pt idx="48">
                  <c:v>1894</c:v>
                </c:pt>
                <c:pt idx="49">
                  <c:v>1895</c:v>
                </c:pt>
                <c:pt idx="50">
                  <c:v>1896</c:v>
                </c:pt>
                <c:pt idx="51">
                  <c:v>1897</c:v>
                </c:pt>
                <c:pt idx="52">
                  <c:v>1898</c:v>
                </c:pt>
                <c:pt idx="53">
                  <c:v>1899</c:v>
                </c:pt>
                <c:pt idx="54">
                  <c:v>1900</c:v>
                </c:pt>
                <c:pt idx="55">
                  <c:v>1901</c:v>
                </c:pt>
                <c:pt idx="56">
                  <c:v>1902</c:v>
                </c:pt>
                <c:pt idx="57">
                  <c:v>1903</c:v>
                </c:pt>
                <c:pt idx="58">
                  <c:v>1904</c:v>
                </c:pt>
                <c:pt idx="59">
                  <c:v>1905</c:v>
                </c:pt>
                <c:pt idx="60">
                  <c:v>1906</c:v>
                </c:pt>
                <c:pt idx="61">
                  <c:v>1907</c:v>
                </c:pt>
                <c:pt idx="62">
                  <c:v>1908</c:v>
                </c:pt>
                <c:pt idx="63">
                  <c:v>1909</c:v>
                </c:pt>
                <c:pt idx="64">
                  <c:v>1910</c:v>
                </c:pt>
                <c:pt idx="65">
                  <c:v>1911</c:v>
                </c:pt>
                <c:pt idx="66">
                  <c:v>1912</c:v>
                </c:pt>
                <c:pt idx="67">
                  <c:v>1913</c:v>
                </c:pt>
                <c:pt idx="68">
                  <c:v>1914</c:v>
                </c:pt>
                <c:pt idx="69">
                  <c:v>1915</c:v>
                </c:pt>
                <c:pt idx="70">
                  <c:v>1916</c:v>
                </c:pt>
                <c:pt idx="71">
                  <c:v>1917</c:v>
                </c:pt>
                <c:pt idx="72">
                  <c:v>1918</c:v>
                </c:pt>
                <c:pt idx="73">
                  <c:v>1919</c:v>
                </c:pt>
                <c:pt idx="74">
                  <c:v>1920</c:v>
                </c:pt>
                <c:pt idx="75">
                  <c:v>1921</c:v>
                </c:pt>
                <c:pt idx="76">
                  <c:v>1922</c:v>
                </c:pt>
                <c:pt idx="77">
                  <c:v>1923</c:v>
                </c:pt>
                <c:pt idx="78">
                  <c:v>1924</c:v>
                </c:pt>
                <c:pt idx="79">
                  <c:v>1925</c:v>
                </c:pt>
                <c:pt idx="80">
                  <c:v>1926</c:v>
                </c:pt>
                <c:pt idx="81">
                  <c:v>1927</c:v>
                </c:pt>
                <c:pt idx="82">
                  <c:v>1928</c:v>
                </c:pt>
                <c:pt idx="83">
                  <c:v>1929</c:v>
                </c:pt>
                <c:pt idx="84">
                  <c:v>1930</c:v>
                </c:pt>
                <c:pt idx="85">
                  <c:v>1931</c:v>
                </c:pt>
                <c:pt idx="86">
                  <c:v>1932</c:v>
                </c:pt>
                <c:pt idx="87">
                  <c:v>1933</c:v>
                </c:pt>
                <c:pt idx="88">
                  <c:v>1934</c:v>
                </c:pt>
                <c:pt idx="89">
                  <c:v>1935</c:v>
                </c:pt>
                <c:pt idx="90">
                  <c:v>1936</c:v>
                </c:pt>
                <c:pt idx="91">
                  <c:v>1937</c:v>
                </c:pt>
                <c:pt idx="92">
                  <c:v>1938</c:v>
                </c:pt>
                <c:pt idx="93">
                  <c:v>1939</c:v>
                </c:pt>
                <c:pt idx="94">
                  <c:v>1940</c:v>
                </c:pt>
                <c:pt idx="95">
                  <c:v>1941</c:v>
                </c:pt>
                <c:pt idx="96">
                  <c:v>1942</c:v>
                </c:pt>
                <c:pt idx="97">
                  <c:v>1943</c:v>
                </c:pt>
                <c:pt idx="98">
                  <c:v>1944</c:v>
                </c:pt>
                <c:pt idx="99">
                  <c:v>1945</c:v>
                </c:pt>
                <c:pt idx="100">
                  <c:v>1946</c:v>
                </c:pt>
                <c:pt idx="101">
                  <c:v>1947</c:v>
                </c:pt>
                <c:pt idx="102">
                  <c:v>1948</c:v>
                </c:pt>
                <c:pt idx="103">
                  <c:v>1949</c:v>
                </c:pt>
                <c:pt idx="104">
                  <c:v>1950</c:v>
                </c:pt>
                <c:pt idx="105">
                  <c:v>1951</c:v>
                </c:pt>
                <c:pt idx="106">
                  <c:v>1952</c:v>
                </c:pt>
                <c:pt idx="107">
                  <c:v>1953</c:v>
                </c:pt>
                <c:pt idx="108">
                  <c:v>1954</c:v>
                </c:pt>
                <c:pt idx="109">
                  <c:v>1955</c:v>
                </c:pt>
                <c:pt idx="110">
                  <c:v>1956</c:v>
                </c:pt>
                <c:pt idx="111">
                  <c:v>1957</c:v>
                </c:pt>
                <c:pt idx="112">
                  <c:v>1958</c:v>
                </c:pt>
                <c:pt idx="113">
                  <c:v>1959</c:v>
                </c:pt>
                <c:pt idx="114">
                  <c:v>1960</c:v>
                </c:pt>
                <c:pt idx="115">
                  <c:v>1961</c:v>
                </c:pt>
                <c:pt idx="116">
                  <c:v>1962</c:v>
                </c:pt>
                <c:pt idx="117">
                  <c:v>1964</c:v>
                </c:pt>
                <c:pt idx="118">
                  <c:v>1966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1974</c:v>
                </c:pt>
                <c:pt idx="125">
                  <c:v>1977</c:v>
                </c:pt>
                <c:pt idx="126">
                  <c:v>1978</c:v>
                </c:pt>
                <c:pt idx="127">
                  <c:v>1979</c:v>
                </c:pt>
                <c:pt idx="128">
                  <c:v>(blank)</c:v>
                </c:pt>
              </c:strCache>
            </c:strRef>
          </c:cat>
          <c:val>
            <c:numRef>
              <c:f>count_of_death_yearly!$B$4:$B$133</c:f>
              <c:numCache>
                <c:formatCode>General</c:formatCode>
                <c:ptCount val="129"/>
                <c:pt idx="0">
                  <c:v>246</c:v>
                </c:pt>
                <c:pt idx="1">
                  <c:v>476</c:v>
                </c:pt>
                <c:pt idx="2">
                  <c:v>446</c:v>
                </c:pt>
                <c:pt idx="3">
                  <c:v>744</c:v>
                </c:pt>
                <c:pt idx="4">
                  <c:v>809</c:v>
                </c:pt>
                <c:pt idx="5">
                  <c:v>385</c:v>
                </c:pt>
                <c:pt idx="6">
                  <c:v>552</c:v>
                </c:pt>
                <c:pt idx="7">
                  <c:v>429</c:v>
                </c:pt>
                <c:pt idx="8">
                  <c:v>596</c:v>
                </c:pt>
                <c:pt idx="9">
                  <c:v>476</c:v>
                </c:pt>
                <c:pt idx="10">
                  <c:v>428</c:v>
                </c:pt>
                <c:pt idx="11">
                  <c:v>402</c:v>
                </c:pt>
                <c:pt idx="12">
                  <c:v>415</c:v>
                </c:pt>
                <c:pt idx="13">
                  <c:v>482</c:v>
                </c:pt>
                <c:pt idx="14">
                  <c:v>575</c:v>
                </c:pt>
                <c:pt idx="15">
                  <c:v>455</c:v>
                </c:pt>
                <c:pt idx="16">
                  <c:v>627</c:v>
                </c:pt>
                <c:pt idx="17">
                  <c:v>836</c:v>
                </c:pt>
                <c:pt idx="18">
                  <c:v>1372</c:v>
                </c:pt>
                <c:pt idx="19">
                  <c:v>1366</c:v>
                </c:pt>
                <c:pt idx="20">
                  <c:v>1354</c:v>
                </c:pt>
                <c:pt idx="21">
                  <c:v>542</c:v>
                </c:pt>
                <c:pt idx="22">
                  <c:v>504</c:v>
                </c:pt>
                <c:pt idx="23">
                  <c:v>209</c:v>
                </c:pt>
                <c:pt idx="24">
                  <c:v>312</c:v>
                </c:pt>
                <c:pt idx="25">
                  <c:v>285</c:v>
                </c:pt>
                <c:pt idx="26">
                  <c:v>282</c:v>
                </c:pt>
                <c:pt idx="27">
                  <c:v>559</c:v>
                </c:pt>
                <c:pt idx="28">
                  <c:v>337</c:v>
                </c:pt>
                <c:pt idx="29">
                  <c:v>159</c:v>
                </c:pt>
                <c:pt idx="30">
                  <c:v>148</c:v>
                </c:pt>
                <c:pt idx="31">
                  <c:v>155</c:v>
                </c:pt>
                <c:pt idx="32">
                  <c:v>118</c:v>
                </c:pt>
                <c:pt idx="33">
                  <c:v>136</c:v>
                </c:pt>
                <c:pt idx="34">
                  <c:v>204</c:v>
                </c:pt>
                <c:pt idx="35">
                  <c:v>156</c:v>
                </c:pt>
                <c:pt idx="36">
                  <c:v>111</c:v>
                </c:pt>
                <c:pt idx="37">
                  <c:v>128</c:v>
                </c:pt>
                <c:pt idx="38">
                  <c:v>99</c:v>
                </c:pt>
                <c:pt idx="39">
                  <c:v>69</c:v>
                </c:pt>
                <c:pt idx="40">
                  <c:v>70</c:v>
                </c:pt>
                <c:pt idx="41">
                  <c:v>67</c:v>
                </c:pt>
                <c:pt idx="42">
                  <c:v>50</c:v>
                </c:pt>
                <c:pt idx="43">
                  <c:v>50</c:v>
                </c:pt>
                <c:pt idx="44">
                  <c:v>46</c:v>
                </c:pt>
                <c:pt idx="45">
                  <c:v>58</c:v>
                </c:pt>
                <c:pt idx="46">
                  <c:v>48</c:v>
                </c:pt>
                <c:pt idx="47">
                  <c:v>51</c:v>
                </c:pt>
                <c:pt idx="48">
                  <c:v>55</c:v>
                </c:pt>
                <c:pt idx="49">
                  <c:v>47</c:v>
                </c:pt>
                <c:pt idx="50">
                  <c:v>42</c:v>
                </c:pt>
                <c:pt idx="51">
                  <c:v>52</c:v>
                </c:pt>
                <c:pt idx="52">
                  <c:v>37</c:v>
                </c:pt>
                <c:pt idx="53">
                  <c:v>53</c:v>
                </c:pt>
                <c:pt idx="54">
                  <c:v>37</c:v>
                </c:pt>
                <c:pt idx="55">
                  <c:v>36</c:v>
                </c:pt>
                <c:pt idx="56">
                  <c:v>37</c:v>
                </c:pt>
                <c:pt idx="57">
                  <c:v>40</c:v>
                </c:pt>
                <c:pt idx="58">
                  <c:v>41</c:v>
                </c:pt>
                <c:pt idx="59">
                  <c:v>26</c:v>
                </c:pt>
                <c:pt idx="60">
                  <c:v>31</c:v>
                </c:pt>
                <c:pt idx="61">
                  <c:v>18</c:v>
                </c:pt>
                <c:pt idx="62">
                  <c:v>35</c:v>
                </c:pt>
                <c:pt idx="63">
                  <c:v>29</c:v>
                </c:pt>
                <c:pt idx="64">
                  <c:v>28</c:v>
                </c:pt>
                <c:pt idx="65">
                  <c:v>35</c:v>
                </c:pt>
                <c:pt idx="66">
                  <c:v>22</c:v>
                </c:pt>
                <c:pt idx="67">
                  <c:v>19</c:v>
                </c:pt>
                <c:pt idx="68">
                  <c:v>30</c:v>
                </c:pt>
                <c:pt idx="69">
                  <c:v>29</c:v>
                </c:pt>
                <c:pt idx="70">
                  <c:v>25</c:v>
                </c:pt>
                <c:pt idx="71">
                  <c:v>14</c:v>
                </c:pt>
                <c:pt idx="72">
                  <c:v>24</c:v>
                </c:pt>
                <c:pt idx="73">
                  <c:v>18</c:v>
                </c:pt>
                <c:pt idx="74">
                  <c:v>12</c:v>
                </c:pt>
                <c:pt idx="75">
                  <c:v>13</c:v>
                </c:pt>
                <c:pt idx="76">
                  <c:v>24</c:v>
                </c:pt>
                <c:pt idx="77">
                  <c:v>18</c:v>
                </c:pt>
                <c:pt idx="78">
                  <c:v>22</c:v>
                </c:pt>
                <c:pt idx="79">
                  <c:v>14</c:v>
                </c:pt>
                <c:pt idx="80">
                  <c:v>19</c:v>
                </c:pt>
                <c:pt idx="81">
                  <c:v>10</c:v>
                </c:pt>
                <c:pt idx="82">
                  <c:v>16</c:v>
                </c:pt>
                <c:pt idx="83">
                  <c:v>28</c:v>
                </c:pt>
                <c:pt idx="84">
                  <c:v>12</c:v>
                </c:pt>
                <c:pt idx="85">
                  <c:v>16</c:v>
                </c:pt>
                <c:pt idx="86">
                  <c:v>19</c:v>
                </c:pt>
                <c:pt idx="87">
                  <c:v>14</c:v>
                </c:pt>
                <c:pt idx="88">
                  <c:v>22</c:v>
                </c:pt>
                <c:pt idx="89">
                  <c:v>18</c:v>
                </c:pt>
                <c:pt idx="90">
                  <c:v>10</c:v>
                </c:pt>
                <c:pt idx="91">
                  <c:v>13</c:v>
                </c:pt>
                <c:pt idx="92">
                  <c:v>12</c:v>
                </c:pt>
                <c:pt idx="93">
                  <c:v>7</c:v>
                </c:pt>
                <c:pt idx="94">
                  <c:v>11</c:v>
                </c:pt>
                <c:pt idx="95">
                  <c:v>10</c:v>
                </c:pt>
                <c:pt idx="96">
                  <c:v>4</c:v>
                </c:pt>
                <c:pt idx="97">
                  <c:v>10</c:v>
                </c:pt>
                <c:pt idx="98">
                  <c:v>11</c:v>
                </c:pt>
                <c:pt idx="99">
                  <c:v>8</c:v>
                </c:pt>
                <c:pt idx="100">
                  <c:v>11</c:v>
                </c:pt>
                <c:pt idx="101">
                  <c:v>7</c:v>
                </c:pt>
                <c:pt idx="102">
                  <c:v>4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2</c:v>
                </c:pt>
                <c:pt idx="107">
                  <c:v>3</c:v>
                </c:pt>
                <c:pt idx="108">
                  <c:v>1</c:v>
                </c:pt>
                <c:pt idx="109">
                  <c:v>4</c:v>
                </c:pt>
                <c:pt idx="110">
                  <c:v>2</c:v>
                </c:pt>
                <c:pt idx="111">
                  <c:v>2</c:v>
                </c:pt>
                <c:pt idx="112">
                  <c:v>3</c:v>
                </c:pt>
                <c:pt idx="113">
                  <c:v>1</c:v>
                </c:pt>
                <c:pt idx="114">
                  <c:v>4</c:v>
                </c:pt>
                <c:pt idx="115">
                  <c:v>1</c:v>
                </c:pt>
                <c:pt idx="116">
                  <c:v>4</c:v>
                </c:pt>
                <c:pt idx="117">
                  <c:v>2</c:v>
                </c:pt>
                <c:pt idx="118">
                  <c:v>2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2</c:v>
                </c:pt>
                <c:pt idx="123">
                  <c:v>2</c:v>
                </c:pt>
                <c:pt idx="124">
                  <c:v>1</c:v>
                </c:pt>
                <c:pt idx="125">
                  <c:v>3</c:v>
                </c:pt>
                <c:pt idx="126">
                  <c:v>2</c:v>
                </c:pt>
                <c:pt idx="127">
                  <c:v>3</c:v>
                </c:pt>
                <c:pt idx="12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10-4881-AE62-880AA18EE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30865088"/>
        <c:axId val="30848768"/>
      </c:barChart>
      <c:catAx>
        <c:axId val="308650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48768"/>
        <c:crosses val="autoZero"/>
        <c:auto val="1"/>
        <c:lblAlgn val="ctr"/>
        <c:lblOffset val="100"/>
        <c:noMultiLvlLbl val="0"/>
      </c:catAx>
      <c:valAx>
        <c:axId val="30848768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layout>
            <c:manualLayout>
              <c:xMode val="edge"/>
              <c:yMode val="edge"/>
              <c:x val="2.1231422505307854E-2"/>
              <c:y val="0.45297821696899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6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effectLst>
            <a:outerShdw blurRad="50800" dist="38100" dir="2700000" algn="tl" rotWithShape="0">
              <a:prstClr val="black">
                <a:alpha val="40000"/>
              </a:prstClr>
            </a:outerShdw>
          </a:effectLst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[Historic_Nashville_City_Cemetery_Interments__1846-1979.xlsx]avgdeath counts_month!PivotTable10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Burial Count by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'avgdeath counts_month'!$B$3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'avgdeath counts_month'!$A$4:$A$17</c:f>
              <c:strCache>
                <c:ptCount val="13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(blank)</c:v>
                </c:pt>
              </c:strCache>
            </c:strRef>
          </c:cat>
          <c:val>
            <c:numRef>
              <c:f>'avgdeath counts_month'!$B$4:$B$17</c:f>
              <c:numCache>
                <c:formatCode>General</c:formatCode>
                <c:ptCount val="13"/>
                <c:pt idx="0">
                  <c:v>1465</c:v>
                </c:pt>
                <c:pt idx="1">
                  <c:v>1394</c:v>
                </c:pt>
                <c:pt idx="2">
                  <c:v>1711</c:v>
                </c:pt>
                <c:pt idx="3">
                  <c:v>1569</c:v>
                </c:pt>
                <c:pt idx="4">
                  <c:v>1487</c:v>
                </c:pt>
                <c:pt idx="5">
                  <c:v>2322</c:v>
                </c:pt>
                <c:pt idx="6">
                  <c:v>2352</c:v>
                </c:pt>
                <c:pt idx="7">
                  <c:v>1606</c:v>
                </c:pt>
                <c:pt idx="8">
                  <c:v>1805</c:v>
                </c:pt>
                <c:pt idx="9">
                  <c:v>1461</c:v>
                </c:pt>
                <c:pt idx="10">
                  <c:v>1165</c:v>
                </c:pt>
                <c:pt idx="11">
                  <c:v>1364</c:v>
                </c:pt>
                <c:pt idx="12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CC-4A88-B35F-43AAC160DB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87215952"/>
        <c:axId val="287218832"/>
      </c:barChart>
      <c:catAx>
        <c:axId val="287215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18832"/>
        <c:crosses val="autoZero"/>
        <c:auto val="1"/>
        <c:lblAlgn val="ctr"/>
        <c:lblOffset val="100"/>
        <c:noMultiLvlLbl val="0"/>
      </c:catAx>
      <c:valAx>
        <c:axId val="2872188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41918489355497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1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12 Causes of Death 1846-1979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cause_of_death!$A$10:$A$21</c:f>
              <c:strCache>
                <c:ptCount val="12"/>
                <c:pt idx="0">
                  <c:v>Dropsy (Edema)</c:v>
                </c:pt>
                <c:pt idx="1">
                  <c:v>Inflammation</c:v>
                </c:pt>
                <c:pt idx="2">
                  <c:v>Pneumonia</c:v>
                </c:pt>
                <c:pt idx="3">
                  <c:v>Old Age</c:v>
                </c:pt>
                <c:pt idx="4">
                  <c:v>Fever (incl. Typhoid)</c:v>
                </c:pt>
                <c:pt idx="5">
                  <c:v>Infection (incl. Diptheria)</c:v>
                </c:pt>
                <c:pt idx="6">
                  <c:v>Complication</c:v>
                </c:pt>
                <c:pt idx="7">
                  <c:v>Poop-related</c:v>
                </c:pt>
                <c:pt idx="8">
                  <c:v>Stillborn</c:v>
                </c:pt>
                <c:pt idx="9">
                  <c:v>Cholera</c:v>
                </c:pt>
                <c:pt idx="10">
                  <c:v>Consumption</c:v>
                </c:pt>
                <c:pt idx="11">
                  <c:v>Unknown</c:v>
                </c:pt>
              </c:strCache>
            </c:strRef>
          </c:cat>
          <c:val>
            <c:numRef>
              <c:f>cause_of_death!$B$10:$B$21</c:f>
              <c:numCache>
                <c:formatCode>General</c:formatCode>
                <c:ptCount val="12"/>
                <c:pt idx="0">
                  <c:v>482</c:v>
                </c:pt>
                <c:pt idx="1">
                  <c:v>503</c:v>
                </c:pt>
                <c:pt idx="2">
                  <c:v>582</c:v>
                </c:pt>
                <c:pt idx="3">
                  <c:v>619</c:v>
                </c:pt>
                <c:pt idx="4">
                  <c:v>682</c:v>
                </c:pt>
                <c:pt idx="5">
                  <c:v>703</c:v>
                </c:pt>
                <c:pt idx="6">
                  <c:v>754</c:v>
                </c:pt>
                <c:pt idx="7">
                  <c:v>892</c:v>
                </c:pt>
                <c:pt idx="8">
                  <c:v>1303</c:v>
                </c:pt>
                <c:pt idx="9">
                  <c:v>1404</c:v>
                </c:pt>
                <c:pt idx="10">
                  <c:v>1772</c:v>
                </c:pt>
                <c:pt idx="11">
                  <c:v>1913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A7-49FF-A05F-CE2DE18F0D4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287241872"/>
        <c:axId val="287234672"/>
      </c:barChart>
      <c:catAx>
        <c:axId val="287241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34672"/>
        <c:crosses val="autoZero"/>
        <c:auto val="1"/>
        <c:lblAlgn val="ctr"/>
        <c:lblOffset val="100"/>
        <c:noMultiLvlLbl val="0"/>
      </c:catAx>
      <c:valAx>
        <c:axId val="28723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layout>
            <c:manualLayout>
              <c:xMode val="edge"/>
              <c:yMode val="edge"/>
              <c:x val="0.60125612423447072"/>
              <c:y val="0.89358778069407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4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[Historic_Nashville_City_Cemetery_Interments__1846-1979.xlsx]deaths_per_demog!PivotTable7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Burial Count by Race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2"/>
            </a:solidFill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deaths_per_demog!$B$3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multiLvlStrRef>
              <c:f>deaths_per_demog!$A$4:$A$168</c:f>
              <c:multiLvlStrCache>
                <c:ptCount val="162"/>
                <c:lvl>
                  <c:pt idx="0">
                    <c:v>1846</c:v>
                  </c:pt>
                  <c:pt idx="1">
                    <c:v>1847</c:v>
                  </c:pt>
                  <c:pt idx="2">
                    <c:v>1848</c:v>
                  </c:pt>
                  <c:pt idx="3">
                    <c:v>1849</c:v>
                  </c:pt>
                  <c:pt idx="4">
                    <c:v>1850</c:v>
                  </c:pt>
                  <c:pt idx="5">
                    <c:v>1851</c:v>
                  </c:pt>
                  <c:pt idx="6">
                    <c:v>1852</c:v>
                  </c:pt>
                  <c:pt idx="7">
                    <c:v>1853</c:v>
                  </c:pt>
                  <c:pt idx="8">
                    <c:v>1854</c:v>
                  </c:pt>
                  <c:pt idx="9">
                    <c:v>1855</c:v>
                  </c:pt>
                  <c:pt idx="10">
                    <c:v>1856</c:v>
                  </c:pt>
                  <c:pt idx="11">
                    <c:v>1857</c:v>
                  </c:pt>
                  <c:pt idx="12">
                    <c:v>1858</c:v>
                  </c:pt>
                  <c:pt idx="13">
                    <c:v>1859</c:v>
                  </c:pt>
                  <c:pt idx="14">
                    <c:v>1860</c:v>
                  </c:pt>
                  <c:pt idx="15">
                    <c:v>1861</c:v>
                  </c:pt>
                  <c:pt idx="16">
                    <c:v>1862</c:v>
                  </c:pt>
                  <c:pt idx="17">
                    <c:v>1863</c:v>
                  </c:pt>
                  <c:pt idx="18">
                    <c:v>1864</c:v>
                  </c:pt>
                  <c:pt idx="19">
                    <c:v>1865</c:v>
                  </c:pt>
                  <c:pt idx="20">
                    <c:v>1866</c:v>
                  </c:pt>
                  <c:pt idx="21">
                    <c:v>1867</c:v>
                  </c:pt>
                  <c:pt idx="22">
                    <c:v>1868</c:v>
                  </c:pt>
                  <c:pt idx="23">
                    <c:v>1869</c:v>
                  </c:pt>
                  <c:pt idx="24">
                    <c:v>1870</c:v>
                  </c:pt>
                  <c:pt idx="25">
                    <c:v>1871</c:v>
                  </c:pt>
                  <c:pt idx="26">
                    <c:v>1872</c:v>
                  </c:pt>
                  <c:pt idx="27">
                    <c:v>1873</c:v>
                  </c:pt>
                  <c:pt idx="28">
                    <c:v>1874</c:v>
                  </c:pt>
                  <c:pt idx="29">
                    <c:v>1875</c:v>
                  </c:pt>
                  <c:pt idx="30">
                    <c:v>1876</c:v>
                  </c:pt>
                  <c:pt idx="31">
                    <c:v>1877</c:v>
                  </c:pt>
                  <c:pt idx="32">
                    <c:v>1878</c:v>
                  </c:pt>
                  <c:pt idx="33">
                    <c:v>1879</c:v>
                  </c:pt>
                  <c:pt idx="34">
                    <c:v>1880</c:v>
                  </c:pt>
                  <c:pt idx="35">
                    <c:v>1881</c:v>
                  </c:pt>
                  <c:pt idx="36">
                    <c:v>1882</c:v>
                  </c:pt>
                  <c:pt idx="37">
                    <c:v>1883</c:v>
                  </c:pt>
                  <c:pt idx="38">
                    <c:v>1884</c:v>
                  </c:pt>
                  <c:pt idx="39">
                    <c:v>1885</c:v>
                  </c:pt>
                  <c:pt idx="40">
                    <c:v>1886</c:v>
                  </c:pt>
                  <c:pt idx="41">
                    <c:v>1887</c:v>
                  </c:pt>
                  <c:pt idx="42">
                    <c:v>1888</c:v>
                  </c:pt>
                  <c:pt idx="43">
                    <c:v>1889</c:v>
                  </c:pt>
                  <c:pt idx="44">
                    <c:v>1890</c:v>
                  </c:pt>
                  <c:pt idx="45">
                    <c:v>1891</c:v>
                  </c:pt>
                  <c:pt idx="46">
                    <c:v>1892</c:v>
                  </c:pt>
                  <c:pt idx="47">
                    <c:v>1893</c:v>
                  </c:pt>
                  <c:pt idx="48">
                    <c:v>1894</c:v>
                  </c:pt>
                  <c:pt idx="49">
                    <c:v>1895</c:v>
                  </c:pt>
                  <c:pt idx="50">
                    <c:v>1896</c:v>
                  </c:pt>
                  <c:pt idx="51">
                    <c:v>1897</c:v>
                  </c:pt>
                  <c:pt idx="52">
                    <c:v>1898</c:v>
                  </c:pt>
                  <c:pt idx="53">
                    <c:v>1899</c:v>
                  </c:pt>
                  <c:pt idx="54">
                    <c:v>1901</c:v>
                  </c:pt>
                  <c:pt idx="55">
                    <c:v>1902</c:v>
                  </c:pt>
                  <c:pt idx="56">
                    <c:v>1903</c:v>
                  </c:pt>
                  <c:pt idx="57">
                    <c:v>1904</c:v>
                  </c:pt>
                  <c:pt idx="58">
                    <c:v>1905</c:v>
                  </c:pt>
                  <c:pt idx="59">
                    <c:v>1906</c:v>
                  </c:pt>
                  <c:pt idx="60">
                    <c:v>1908</c:v>
                  </c:pt>
                  <c:pt idx="61">
                    <c:v>1909</c:v>
                  </c:pt>
                  <c:pt idx="62">
                    <c:v>1911</c:v>
                  </c:pt>
                  <c:pt idx="63">
                    <c:v>1912</c:v>
                  </c:pt>
                  <c:pt idx="64">
                    <c:v>1914</c:v>
                  </c:pt>
                  <c:pt idx="65">
                    <c:v>1915</c:v>
                  </c:pt>
                  <c:pt idx="66">
                    <c:v>1917</c:v>
                  </c:pt>
                  <c:pt idx="67">
                    <c:v>1918</c:v>
                  </c:pt>
                  <c:pt idx="68">
                    <c:v>1919</c:v>
                  </c:pt>
                  <c:pt idx="69">
                    <c:v>1920</c:v>
                  </c:pt>
                  <c:pt idx="70">
                    <c:v>1922</c:v>
                  </c:pt>
                  <c:pt idx="71">
                    <c:v>1927</c:v>
                  </c:pt>
                  <c:pt idx="72">
                    <c:v>1929</c:v>
                  </c:pt>
                  <c:pt idx="73">
                    <c:v>1930</c:v>
                  </c:pt>
                  <c:pt idx="74">
                    <c:v>1932</c:v>
                  </c:pt>
                  <c:pt idx="75">
                    <c:v>1846</c:v>
                  </c:pt>
                  <c:pt idx="76">
                    <c:v>1847</c:v>
                  </c:pt>
                  <c:pt idx="77">
                    <c:v>1848</c:v>
                  </c:pt>
                  <c:pt idx="78">
                    <c:v>1849</c:v>
                  </c:pt>
                  <c:pt idx="79">
                    <c:v>1850</c:v>
                  </c:pt>
                  <c:pt idx="80">
                    <c:v>1851</c:v>
                  </c:pt>
                  <c:pt idx="81">
                    <c:v>1852</c:v>
                  </c:pt>
                  <c:pt idx="82">
                    <c:v>1853</c:v>
                  </c:pt>
                  <c:pt idx="83">
                    <c:v>1854</c:v>
                  </c:pt>
                  <c:pt idx="84">
                    <c:v>1855</c:v>
                  </c:pt>
                  <c:pt idx="85">
                    <c:v>1856</c:v>
                  </c:pt>
                  <c:pt idx="86">
                    <c:v>1857</c:v>
                  </c:pt>
                  <c:pt idx="87">
                    <c:v>1858</c:v>
                  </c:pt>
                  <c:pt idx="88">
                    <c:v>1859</c:v>
                  </c:pt>
                  <c:pt idx="89">
                    <c:v>1860</c:v>
                  </c:pt>
                  <c:pt idx="90">
                    <c:v>1861</c:v>
                  </c:pt>
                  <c:pt idx="91">
                    <c:v>1862</c:v>
                  </c:pt>
                  <c:pt idx="92">
                    <c:v>1863</c:v>
                  </c:pt>
                  <c:pt idx="93">
                    <c:v>1864</c:v>
                  </c:pt>
                  <c:pt idx="94">
                    <c:v>1865</c:v>
                  </c:pt>
                  <c:pt idx="95">
                    <c:v>1866</c:v>
                  </c:pt>
                  <c:pt idx="96">
                    <c:v>1867</c:v>
                  </c:pt>
                  <c:pt idx="97">
                    <c:v>1868</c:v>
                  </c:pt>
                  <c:pt idx="98">
                    <c:v>1869</c:v>
                  </c:pt>
                  <c:pt idx="99">
                    <c:v>1870</c:v>
                  </c:pt>
                  <c:pt idx="100">
                    <c:v>1871</c:v>
                  </c:pt>
                  <c:pt idx="101">
                    <c:v>1872</c:v>
                  </c:pt>
                  <c:pt idx="102">
                    <c:v>1873</c:v>
                  </c:pt>
                  <c:pt idx="103">
                    <c:v>1874</c:v>
                  </c:pt>
                  <c:pt idx="104">
                    <c:v>1875</c:v>
                  </c:pt>
                  <c:pt idx="105">
                    <c:v>1876</c:v>
                  </c:pt>
                  <c:pt idx="106">
                    <c:v>1877</c:v>
                  </c:pt>
                  <c:pt idx="107">
                    <c:v>1878</c:v>
                  </c:pt>
                  <c:pt idx="108">
                    <c:v>1879</c:v>
                  </c:pt>
                  <c:pt idx="109">
                    <c:v>1880</c:v>
                  </c:pt>
                  <c:pt idx="110">
                    <c:v>1881</c:v>
                  </c:pt>
                  <c:pt idx="111">
                    <c:v>1882</c:v>
                  </c:pt>
                  <c:pt idx="112">
                    <c:v>1883</c:v>
                  </c:pt>
                  <c:pt idx="113">
                    <c:v>1884</c:v>
                  </c:pt>
                  <c:pt idx="114">
                    <c:v>1885</c:v>
                  </c:pt>
                  <c:pt idx="115">
                    <c:v>1886</c:v>
                  </c:pt>
                  <c:pt idx="116">
                    <c:v>1887</c:v>
                  </c:pt>
                  <c:pt idx="117">
                    <c:v>1888</c:v>
                  </c:pt>
                  <c:pt idx="118">
                    <c:v>1889</c:v>
                  </c:pt>
                  <c:pt idx="119">
                    <c:v>1890</c:v>
                  </c:pt>
                  <c:pt idx="120">
                    <c:v>1891</c:v>
                  </c:pt>
                  <c:pt idx="121">
                    <c:v>1892</c:v>
                  </c:pt>
                  <c:pt idx="122">
                    <c:v>1893</c:v>
                  </c:pt>
                  <c:pt idx="123">
                    <c:v>1894</c:v>
                  </c:pt>
                  <c:pt idx="124">
                    <c:v>1895</c:v>
                  </c:pt>
                  <c:pt idx="125">
                    <c:v>1896</c:v>
                  </c:pt>
                  <c:pt idx="126">
                    <c:v>1897</c:v>
                  </c:pt>
                  <c:pt idx="127">
                    <c:v>1898</c:v>
                  </c:pt>
                  <c:pt idx="128">
                    <c:v>1899</c:v>
                  </c:pt>
                  <c:pt idx="129">
                    <c:v>1900</c:v>
                  </c:pt>
                  <c:pt idx="130">
                    <c:v>1901</c:v>
                  </c:pt>
                  <c:pt idx="131">
                    <c:v>1902</c:v>
                  </c:pt>
                  <c:pt idx="132">
                    <c:v>1903</c:v>
                  </c:pt>
                  <c:pt idx="133">
                    <c:v>1904</c:v>
                  </c:pt>
                  <c:pt idx="134">
                    <c:v>1905</c:v>
                  </c:pt>
                  <c:pt idx="135">
                    <c:v>1906</c:v>
                  </c:pt>
                  <c:pt idx="136">
                    <c:v>1907</c:v>
                  </c:pt>
                  <c:pt idx="137">
                    <c:v>1908</c:v>
                  </c:pt>
                  <c:pt idx="138">
                    <c:v>1909</c:v>
                  </c:pt>
                  <c:pt idx="139">
                    <c:v>1910</c:v>
                  </c:pt>
                  <c:pt idx="140">
                    <c:v>1911</c:v>
                  </c:pt>
                  <c:pt idx="141">
                    <c:v>1912</c:v>
                  </c:pt>
                  <c:pt idx="142">
                    <c:v>1913</c:v>
                  </c:pt>
                  <c:pt idx="143">
                    <c:v>1914</c:v>
                  </c:pt>
                  <c:pt idx="144">
                    <c:v>1915</c:v>
                  </c:pt>
                  <c:pt idx="145">
                    <c:v>1916</c:v>
                  </c:pt>
                  <c:pt idx="146">
                    <c:v>1917</c:v>
                  </c:pt>
                  <c:pt idx="147">
                    <c:v>1918</c:v>
                  </c:pt>
                  <c:pt idx="148">
                    <c:v>1919</c:v>
                  </c:pt>
                  <c:pt idx="149">
                    <c:v>1920</c:v>
                  </c:pt>
                  <c:pt idx="150">
                    <c:v>1921</c:v>
                  </c:pt>
                  <c:pt idx="151">
                    <c:v>1922</c:v>
                  </c:pt>
                  <c:pt idx="152">
                    <c:v>1923</c:v>
                  </c:pt>
                  <c:pt idx="153">
                    <c:v>1924</c:v>
                  </c:pt>
                  <c:pt idx="154">
                    <c:v>1925</c:v>
                  </c:pt>
                  <c:pt idx="155">
                    <c:v>1926</c:v>
                  </c:pt>
                  <c:pt idx="156">
                    <c:v>1927</c:v>
                  </c:pt>
                  <c:pt idx="157">
                    <c:v>1928</c:v>
                  </c:pt>
                  <c:pt idx="158">
                    <c:v>1929</c:v>
                  </c:pt>
                  <c:pt idx="159">
                    <c:v>1930</c:v>
                  </c:pt>
                  <c:pt idx="160">
                    <c:v>1931</c:v>
                  </c:pt>
                  <c:pt idx="161">
                    <c:v>1932</c:v>
                  </c:pt>
                </c:lvl>
                <c:lvl>
                  <c:pt idx="0">
                    <c:v>B</c:v>
                  </c:pt>
                  <c:pt idx="75">
                    <c:v>W</c:v>
                  </c:pt>
                </c:lvl>
              </c:multiLvlStrCache>
            </c:multiLvlStrRef>
          </c:cat>
          <c:val>
            <c:numRef>
              <c:f>deaths_per_demog!$B$4:$B$168</c:f>
              <c:numCache>
                <c:formatCode>General</c:formatCode>
                <c:ptCount val="162"/>
                <c:pt idx="0">
                  <c:v>79</c:v>
                </c:pt>
                <c:pt idx="1">
                  <c:v>144</c:v>
                </c:pt>
                <c:pt idx="2">
                  <c:v>122</c:v>
                </c:pt>
                <c:pt idx="3">
                  <c:v>224</c:v>
                </c:pt>
                <c:pt idx="4">
                  <c:v>236</c:v>
                </c:pt>
                <c:pt idx="5">
                  <c:v>129</c:v>
                </c:pt>
                <c:pt idx="6">
                  <c:v>182</c:v>
                </c:pt>
                <c:pt idx="7">
                  <c:v>144</c:v>
                </c:pt>
                <c:pt idx="8">
                  <c:v>198</c:v>
                </c:pt>
                <c:pt idx="9">
                  <c:v>151</c:v>
                </c:pt>
                <c:pt idx="10">
                  <c:v>143</c:v>
                </c:pt>
                <c:pt idx="11">
                  <c:v>127</c:v>
                </c:pt>
                <c:pt idx="12">
                  <c:v>128</c:v>
                </c:pt>
                <c:pt idx="13">
                  <c:v>180</c:v>
                </c:pt>
                <c:pt idx="14">
                  <c:v>161</c:v>
                </c:pt>
                <c:pt idx="15">
                  <c:v>138</c:v>
                </c:pt>
                <c:pt idx="16">
                  <c:v>194</c:v>
                </c:pt>
                <c:pt idx="17">
                  <c:v>347</c:v>
                </c:pt>
                <c:pt idx="18">
                  <c:v>724</c:v>
                </c:pt>
                <c:pt idx="19">
                  <c:v>763</c:v>
                </c:pt>
                <c:pt idx="20">
                  <c:v>803</c:v>
                </c:pt>
                <c:pt idx="21">
                  <c:v>284</c:v>
                </c:pt>
                <c:pt idx="22">
                  <c:v>305</c:v>
                </c:pt>
                <c:pt idx="23">
                  <c:v>27</c:v>
                </c:pt>
                <c:pt idx="24">
                  <c:v>87</c:v>
                </c:pt>
                <c:pt idx="25">
                  <c:v>90</c:v>
                </c:pt>
                <c:pt idx="26">
                  <c:v>64</c:v>
                </c:pt>
                <c:pt idx="27">
                  <c:v>184</c:v>
                </c:pt>
                <c:pt idx="28">
                  <c:v>137</c:v>
                </c:pt>
                <c:pt idx="29">
                  <c:v>20</c:v>
                </c:pt>
                <c:pt idx="30">
                  <c:v>10</c:v>
                </c:pt>
                <c:pt idx="31">
                  <c:v>12</c:v>
                </c:pt>
                <c:pt idx="32">
                  <c:v>10</c:v>
                </c:pt>
                <c:pt idx="33">
                  <c:v>13</c:v>
                </c:pt>
                <c:pt idx="34">
                  <c:v>17</c:v>
                </c:pt>
                <c:pt idx="35">
                  <c:v>6</c:v>
                </c:pt>
                <c:pt idx="36">
                  <c:v>10</c:v>
                </c:pt>
                <c:pt idx="37">
                  <c:v>7</c:v>
                </c:pt>
                <c:pt idx="38">
                  <c:v>8</c:v>
                </c:pt>
                <c:pt idx="39">
                  <c:v>1</c:v>
                </c:pt>
                <c:pt idx="41">
                  <c:v>5</c:v>
                </c:pt>
                <c:pt idx="42">
                  <c:v>4</c:v>
                </c:pt>
                <c:pt idx="43">
                  <c:v>5</c:v>
                </c:pt>
                <c:pt idx="44">
                  <c:v>2</c:v>
                </c:pt>
                <c:pt idx="45">
                  <c:v>1</c:v>
                </c:pt>
                <c:pt idx="46">
                  <c:v>2</c:v>
                </c:pt>
                <c:pt idx="47">
                  <c:v>4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3</c:v>
                </c:pt>
                <c:pt idx="54">
                  <c:v>4</c:v>
                </c:pt>
                <c:pt idx="55">
                  <c:v>3</c:v>
                </c:pt>
                <c:pt idx="56">
                  <c:v>1</c:v>
                </c:pt>
                <c:pt idx="57">
                  <c:v>3</c:v>
                </c:pt>
                <c:pt idx="58">
                  <c:v>2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2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167</c:v>
                </c:pt>
                <c:pt idx="76">
                  <c:v>328</c:v>
                </c:pt>
                <c:pt idx="77">
                  <c:v>322</c:v>
                </c:pt>
                <c:pt idx="78">
                  <c:v>518</c:v>
                </c:pt>
                <c:pt idx="79">
                  <c:v>560</c:v>
                </c:pt>
                <c:pt idx="80">
                  <c:v>250</c:v>
                </c:pt>
                <c:pt idx="81">
                  <c:v>361</c:v>
                </c:pt>
                <c:pt idx="82">
                  <c:v>281</c:v>
                </c:pt>
                <c:pt idx="83">
                  <c:v>395</c:v>
                </c:pt>
                <c:pt idx="84">
                  <c:v>321</c:v>
                </c:pt>
                <c:pt idx="85">
                  <c:v>285</c:v>
                </c:pt>
                <c:pt idx="86">
                  <c:v>274</c:v>
                </c:pt>
                <c:pt idx="87">
                  <c:v>287</c:v>
                </c:pt>
                <c:pt idx="88">
                  <c:v>298</c:v>
                </c:pt>
                <c:pt idx="89">
                  <c:v>413</c:v>
                </c:pt>
                <c:pt idx="90">
                  <c:v>314</c:v>
                </c:pt>
                <c:pt idx="91">
                  <c:v>425</c:v>
                </c:pt>
                <c:pt idx="92">
                  <c:v>466</c:v>
                </c:pt>
                <c:pt idx="93">
                  <c:v>645</c:v>
                </c:pt>
                <c:pt idx="94">
                  <c:v>583</c:v>
                </c:pt>
                <c:pt idx="95">
                  <c:v>544</c:v>
                </c:pt>
                <c:pt idx="96">
                  <c:v>252</c:v>
                </c:pt>
                <c:pt idx="97">
                  <c:v>191</c:v>
                </c:pt>
                <c:pt idx="98">
                  <c:v>99</c:v>
                </c:pt>
                <c:pt idx="99">
                  <c:v>222</c:v>
                </c:pt>
                <c:pt idx="100">
                  <c:v>185</c:v>
                </c:pt>
                <c:pt idx="101">
                  <c:v>213</c:v>
                </c:pt>
                <c:pt idx="102">
                  <c:v>370</c:v>
                </c:pt>
                <c:pt idx="103">
                  <c:v>199</c:v>
                </c:pt>
                <c:pt idx="104">
                  <c:v>135</c:v>
                </c:pt>
                <c:pt idx="105">
                  <c:v>137</c:v>
                </c:pt>
                <c:pt idx="106">
                  <c:v>141</c:v>
                </c:pt>
                <c:pt idx="107">
                  <c:v>107</c:v>
                </c:pt>
                <c:pt idx="108">
                  <c:v>124</c:v>
                </c:pt>
                <c:pt idx="109">
                  <c:v>184</c:v>
                </c:pt>
                <c:pt idx="110">
                  <c:v>149</c:v>
                </c:pt>
                <c:pt idx="111">
                  <c:v>98</c:v>
                </c:pt>
                <c:pt idx="112">
                  <c:v>119</c:v>
                </c:pt>
                <c:pt idx="113">
                  <c:v>87</c:v>
                </c:pt>
                <c:pt idx="114">
                  <c:v>40</c:v>
                </c:pt>
                <c:pt idx="115">
                  <c:v>50</c:v>
                </c:pt>
                <c:pt idx="116">
                  <c:v>58</c:v>
                </c:pt>
                <c:pt idx="117">
                  <c:v>43</c:v>
                </c:pt>
                <c:pt idx="118">
                  <c:v>43</c:v>
                </c:pt>
                <c:pt idx="119">
                  <c:v>41</c:v>
                </c:pt>
                <c:pt idx="120">
                  <c:v>55</c:v>
                </c:pt>
                <c:pt idx="121">
                  <c:v>46</c:v>
                </c:pt>
                <c:pt idx="122">
                  <c:v>47</c:v>
                </c:pt>
                <c:pt idx="123">
                  <c:v>51</c:v>
                </c:pt>
                <c:pt idx="124">
                  <c:v>45</c:v>
                </c:pt>
                <c:pt idx="125">
                  <c:v>39</c:v>
                </c:pt>
                <c:pt idx="126">
                  <c:v>48</c:v>
                </c:pt>
                <c:pt idx="127">
                  <c:v>33</c:v>
                </c:pt>
                <c:pt idx="128">
                  <c:v>49</c:v>
                </c:pt>
                <c:pt idx="129">
                  <c:v>37</c:v>
                </c:pt>
                <c:pt idx="130">
                  <c:v>32</c:v>
                </c:pt>
                <c:pt idx="131">
                  <c:v>33</c:v>
                </c:pt>
                <c:pt idx="132">
                  <c:v>36</c:v>
                </c:pt>
                <c:pt idx="133">
                  <c:v>38</c:v>
                </c:pt>
                <c:pt idx="134">
                  <c:v>23</c:v>
                </c:pt>
                <c:pt idx="135">
                  <c:v>28</c:v>
                </c:pt>
                <c:pt idx="136">
                  <c:v>18</c:v>
                </c:pt>
                <c:pt idx="137">
                  <c:v>31</c:v>
                </c:pt>
                <c:pt idx="138">
                  <c:v>27</c:v>
                </c:pt>
                <c:pt idx="139">
                  <c:v>27</c:v>
                </c:pt>
                <c:pt idx="140">
                  <c:v>27</c:v>
                </c:pt>
                <c:pt idx="141">
                  <c:v>19</c:v>
                </c:pt>
                <c:pt idx="142">
                  <c:v>18</c:v>
                </c:pt>
                <c:pt idx="143">
                  <c:v>28</c:v>
                </c:pt>
                <c:pt idx="144">
                  <c:v>27</c:v>
                </c:pt>
                <c:pt idx="145">
                  <c:v>23</c:v>
                </c:pt>
                <c:pt idx="146">
                  <c:v>11</c:v>
                </c:pt>
                <c:pt idx="147">
                  <c:v>23</c:v>
                </c:pt>
                <c:pt idx="148">
                  <c:v>17</c:v>
                </c:pt>
                <c:pt idx="149">
                  <c:v>11</c:v>
                </c:pt>
                <c:pt idx="150">
                  <c:v>13</c:v>
                </c:pt>
                <c:pt idx="151">
                  <c:v>22</c:v>
                </c:pt>
                <c:pt idx="152">
                  <c:v>18</c:v>
                </c:pt>
                <c:pt idx="153">
                  <c:v>22</c:v>
                </c:pt>
                <c:pt idx="154">
                  <c:v>14</c:v>
                </c:pt>
                <c:pt idx="155">
                  <c:v>18</c:v>
                </c:pt>
                <c:pt idx="156">
                  <c:v>7</c:v>
                </c:pt>
                <c:pt idx="157">
                  <c:v>15</c:v>
                </c:pt>
                <c:pt idx="158">
                  <c:v>24</c:v>
                </c:pt>
                <c:pt idx="159">
                  <c:v>10</c:v>
                </c:pt>
                <c:pt idx="160">
                  <c:v>14</c:v>
                </c:pt>
                <c:pt idx="161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43-47D1-B960-3980BE20B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30870848"/>
        <c:axId val="30871328"/>
      </c:barChart>
      <c:catAx>
        <c:axId val="3087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71328"/>
        <c:crosses val="autoZero"/>
        <c:auto val="1"/>
        <c:lblAlgn val="ctr"/>
        <c:lblOffset val="100"/>
        <c:noMultiLvlLbl val="0"/>
      </c:catAx>
      <c:valAx>
        <c:axId val="308713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Burial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4957264957264958E-2"/>
              <c:y val="0.388470974489236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7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[Historic_Nashville_City_Cemetery_Interments__1846-1979.xlsx]Sheet12!PivotTable13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Disease</a:t>
            </a:r>
            <a:r>
              <a:rPr lang="en-US" baseline="0"/>
              <a:t> Affliction by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Sheet12!$A$4:$A$46</c:f>
              <c:multiLvlStrCache>
                <c:ptCount val="28"/>
                <c:lvl>
                  <c:pt idx="0">
                    <c:v>B</c:v>
                  </c:pt>
                  <c:pt idx="1">
                    <c:v>W</c:v>
                  </c:pt>
                  <c:pt idx="2">
                    <c:v>B</c:v>
                  </c:pt>
                  <c:pt idx="3">
                    <c:v>W</c:v>
                  </c:pt>
                  <c:pt idx="4">
                    <c:v>B</c:v>
                  </c:pt>
                  <c:pt idx="5">
                    <c:v>W</c:v>
                  </c:pt>
                  <c:pt idx="6">
                    <c:v>B</c:v>
                  </c:pt>
                  <c:pt idx="7">
                    <c:v>W</c:v>
                  </c:pt>
                  <c:pt idx="8">
                    <c:v>B</c:v>
                  </c:pt>
                  <c:pt idx="9">
                    <c:v>W</c:v>
                  </c:pt>
                  <c:pt idx="10">
                    <c:v>B</c:v>
                  </c:pt>
                  <c:pt idx="11">
                    <c:v>W</c:v>
                  </c:pt>
                  <c:pt idx="12">
                    <c:v>B</c:v>
                  </c:pt>
                  <c:pt idx="13">
                    <c:v>W</c:v>
                  </c:pt>
                  <c:pt idx="14">
                    <c:v>B</c:v>
                  </c:pt>
                  <c:pt idx="15">
                    <c:v>W</c:v>
                  </c:pt>
                  <c:pt idx="16">
                    <c:v>B</c:v>
                  </c:pt>
                  <c:pt idx="17">
                    <c:v>W</c:v>
                  </c:pt>
                  <c:pt idx="18">
                    <c:v>B</c:v>
                  </c:pt>
                  <c:pt idx="19">
                    <c:v>W</c:v>
                  </c:pt>
                  <c:pt idx="20">
                    <c:v>B</c:v>
                  </c:pt>
                  <c:pt idx="21">
                    <c:v>W</c:v>
                  </c:pt>
                  <c:pt idx="22">
                    <c:v>B</c:v>
                  </c:pt>
                  <c:pt idx="23">
                    <c:v>W</c:v>
                  </c:pt>
                  <c:pt idx="24">
                    <c:v>B</c:v>
                  </c:pt>
                  <c:pt idx="25">
                    <c:v>W</c:v>
                  </c:pt>
                  <c:pt idx="26">
                    <c:v>B</c:v>
                  </c:pt>
                  <c:pt idx="27">
                    <c:v>W</c:v>
                  </c:pt>
                </c:lvl>
                <c:lvl>
                  <c:pt idx="0">
                    <c:v>1859</c:v>
                  </c:pt>
                  <c:pt idx="2">
                    <c:v>1860</c:v>
                  </c:pt>
                  <c:pt idx="4">
                    <c:v>1861</c:v>
                  </c:pt>
                  <c:pt idx="6">
                    <c:v>1862</c:v>
                  </c:pt>
                  <c:pt idx="8">
                    <c:v>1863</c:v>
                  </c:pt>
                  <c:pt idx="10">
                    <c:v>1864</c:v>
                  </c:pt>
                  <c:pt idx="12">
                    <c:v>1865</c:v>
                  </c:pt>
                  <c:pt idx="14">
                    <c:v>1866</c:v>
                  </c:pt>
                  <c:pt idx="16">
                    <c:v>1867</c:v>
                  </c:pt>
                  <c:pt idx="18">
                    <c:v>1868</c:v>
                  </c:pt>
                  <c:pt idx="20">
                    <c:v>1869</c:v>
                  </c:pt>
                  <c:pt idx="22">
                    <c:v>1870</c:v>
                  </c:pt>
                  <c:pt idx="24">
                    <c:v>1871</c:v>
                  </c:pt>
                  <c:pt idx="26">
                    <c:v>1872</c:v>
                  </c:pt>
                </c:lvl>
              </c:multiLvlStrCache>
            </c:multiLvlStrRef>
          </c:cat>
          <c:val>
            <c:numRef>
              <c:f>Sheet12!$B$4:$B$46</c:f>
              <c:numCache>
                <c:formatCode>General</c:formatCode>
                <c:ptCount val="28"/>
                <c:pt idx="0">
                  <c:v>180</c:v>
                </c:pt>
                <c:pt idx="1">
                  <c:v>298</c:v>
                </c:pt>
                <c:pt idx="2">
                  <c:v>161</c:v>
                </c:pt>
                <c:pt idx="3">
                  <c:v>413</c:v>
                </c:pt>
                <c:pt idx="4">
                  <c:v>138</c:v>
                </c:pt>
                <c:pt idx="5">
                  <c:v>314</c:v>
                </c:pt>
                <c:pt idx="6">
                  <c:v>194</c:v>
                </c:pt>
                <c:pt idx="7">
                  <c:v>425</c:v>
                </c:pt>
                <c:pt idx="8">
                  <c:v>347</c:v>
                </c:pt>
                <c:pt idx="9">
                  <c:v>466</c:v>
                </c:pt>
                <c:pt idx="10">
                  <c:v>724</c:v>
                </c:pt>
                <c:pt idx="11">
                  <c:v>645</c:v>
                </c:pt>
                <c:pt idx="12">
                  <c:v>763</c:v>
                </c:pt>
                <c:pt idx="13">
                  <c:v>583</c:v>
                </c:pt>
                <c:pt idx="14">
                  <c:v>803</c:v>
                </c:pt>
                <c:pt idx="15">
                  <c:v>544</c:v>
                </c:pt>
                <c:pt idx="16">
                  <c:v>284</c:v>
                </c:pt>
                <c:pt idx="17">
                  <c:v>252</c:v>
                </c:pt>
                <c:pt idx="18">
                  <c:v>305</c:v>
                </c:pt>
                <c:pt idx="19">
                  <c:v>191</c:v>
                </c:pt>
                <c:pt idx="20">
                  <c:v>27</c:v>
                </c:pt>
                <c:pt idx="21">
                  <c:v>99</c:v>
                </c:pt>
                <c:pt idx="22">
                  <c:v>87</c:v>
                </c:pt>
                <c:pt idx="23">
                  <c:v>222</c:v>
                </c:pt>
                <c:pt idx="24">
                  <c:v>90</c:v>
                </c:pt>
                <c:pt idx="25">
                  <c:v>185</c:v>
                </c:pt>
                <c:pt idx="26">
                  <c:v>64</c:v>
                </c:pt>
                <c:pt idx="27">
                  <c:v>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AA-4839-9E59-1213530E68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87209712"/>
        <c:axId val="287210192"/>
      </c:barChart>
      <c:catAx>
        <c:axId val="28720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10192"/>
        <c:crosses val="autoZero"/>
        <c:auto val="1"/>
        <c:lblAlgn val="ctr"/>
        <c:lblOffset val="100"/>
        <c:noMultiLvlLbl val="0"/>
      </c:catAx>
      <c:valAx>
        <c:axId val="2872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Countof</a:t>
                </a:r>
                <a:r>
                  <a:rPr lang="en-US" baseline="0"/>
                  <a:t> Major diseases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061234214915415E-2"/>
              <c:y val="0.19262249141934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0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Velazquez</dc:creator>
  <cp:keywords/>
  <dc:description/>
  <cp:lastModifiedBy>LeAnne Velazquez</cp:lastModifiedBy>
  <cp:revision>5</cp:revision>
  <dcterms:created xsi:type="dcterms:W3CDTF">2025-05-22T18:53:00Z</dcterms:created>
  <dcterms:modified xsi:type="dcterms:W3CDTF">2025-05-23T15:14:00Z</dcterms:modified>
</cp:coreProperties>
</file>