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5B3" w:rsidRDefault="00C945B3"/>
    <w:p w:rsidR="00750B34" w:rsidRDefault="00750B34"/>
    <w:p w:rsidR="00750B34" w:rsidRDefault="00750B34">
      <w:pPr>
        <w:rPr>
          <w:b w:val="0"/>
          <w:i w:val="0"/>
        </w:rPr>
      </w:pPr>
    </w:p>
    <w:p w:rsidR="00750B34" w:rsidRDefault="00750B34">
      <w:pPr>
        <w:rPr>
          <w:b w:val="0"/>
          <w:i w:val="0"/>
        </w:rPr>
      </w:pPr>
      <w:r>
        <w:rPr>
          <w:b w:val="0"/>
          <w:i w:val="0"/>
        </w:rPr>
        <w:t>In order to predict the seasonal product rates of tomato</w:t>
      </w:r>
      <w:r w:rsidR="007B2473">
        <w:rPr>
          <w:b w:val="0"/>
          <w:i w:val="0"/>
        </w:rPr>
        <w:t>es</w:t>
      </w:r>
      <w:r>
        <w:rPr>
          <w:b w:val="0"/>
          <w:i w:val="0"/>
        </w:rPr>
        <w:t xml:space="preserve"> by precipitation for each region specified in the PCA report in </w:t>
      </w:r>
      <w:r w:rsidR="007B2473">
        <w:rPr>
          <w:b w:val="0"/>
          <w:i w:val="0"/>
        </w:rPr>
        <w:t xml:space="preserve">the </w:t>
      </w:r>
      <w:r>
        <w:rPr>
          <w:b w:val="0"/>
          <w:i w:val="0"/>
        </w:rPr>
        <w:t>Philippines, w</w:t>
      </w:r>
      <w:r w:rsidR="00EC5E81">
        <w:rPr>
          <w:b w:val="0"/>
          <w:i w:val="0"/>
        </w:rPr>
        <w:t xml:space="preserve">e combined </w:t>
      </w:r>
      <w:r w:rsidR="0004543E">
        <w:rPr>
          <w:b w:val="0"/>
          <w:i w:val="0"/>
        </w:rPr>
        <w:t>multiple</w:t>
      </w:r>
      <w:r w:rsidR="003478DC">
        <w:rPr>
          <w:b w:val="0"/>
          <w:i w:val="0"/>
        </w:rPr>
        <w:t xml:space="preserve"> sources</w:t>
      </w:r>
      <w:r w:rsidR="00EC5E81">
        <w:rPr>
          <w:b w:val="0"/>
          <w:i w:val="0"/>
        </w:rPr>
        <w:t xml:space="preserve"> of data</w:t>
      </w:r>
      <w:r w:rsidR="007B2473">
        <w:rPr>
          <w:b w:val="0"/>
          <w:i w:val="0"/>
        </w:rPr>
        <w:t>. W</w:t>
      </w:r>
      <w:r w:rsidR="003478DC">
        <w:rPr>
          <w:b w:val="0"/>
          <w:i w:val="0"/>
        </w:rPr>
        <w:t>e</w:t>
      </w:r>
      <w:r w:rsidR="007B2473">
        <w:rPr>
          <w:b w:val="0"/>
          <w:i w:val="0"/>
        </w:rPr>
        <w:t xml:space="preserve"> first</w:t>
      </w:r>
      <w:r w:rsidR="003478DC">
        <w:rPr>
          <w:b w:val="0"/>
          <w:i w:val="0"/>
        </w:rPr>
        <w:t xml:space="preserve"> assigned the </w:t>
      </w:r>
      <w:r w:rsidR="00B07CF3">
        <w:rPr>
          <w:b w:val="0"/>
          <w:i w:val="0"/>
        </w:rPr>
        <w:t xml:space="preserve">monthly </w:t>
      </w:r>
      <w:r w:rsidR="007B2473">
        <w:rPr>
          <w:b w:val="0"/>
          <w:i w:val="0"/>
        </w:rPr>
        <w:t>precipitation data</w:t>
      </w:r>
      <w:r w:rsidR="003478DC">
        <w:rPr>
          <w:b w:val="0"/>
          <w:i w:val="0"/>
        </w:rPr>
        <w:t xml:space="preserve"> to the MAPSPAM cells b</w:t>
      </w:r>
      <w:r w:rsidR="00AE1961">
        <w:rPr>
          <w:b w:val="0"/>
          <w:i w:val="0"/>
        </w:rPr>
        <w:t xml:space="preserve">y latitude and longitude. </w:t>
      </w:r>
      <w:r w:rsidR="007A1096">
        <w:rPr>
          <w:b w:val="0"/>
          <w:i w:val="0"/>
        </w:rPr>
        <w:t xml:space="preserve">Second, we assigned the elevation for each cell. </w:t>
      </w:r>
      <w:r w:rsidR="00AE1961">
        <w:rPr>
          <w:b w:val="0"/>
          <w:i w:val="0"/>
        </w:rPr>
        <w:t>Next</w:t>
      </w:r>
      <w:r w:rsidR="003478DC">
        <w:rPr>
          <w:b w:val="0"/>
          <w:i w:val="0"/>
        </w:rPr>
        <w:t>, we obtained the seasonal tomato product rates for 16 regions from the PCA data and matched the average precipitation</w:t>
      </w:r>
      <w:r w:rsidR="007A1096">
        <w:rPr>
          <w:b w:val="0"/>
          <w:i w:val="0"/>
        </w:rPr>
        <w:t xml:space="preserve"> and elevation</w:t>
      </w:r>
      <w:r w:rsidR="003478DC">
        <w:rPr>
          <w:b w:val="0"/>
          <w:i w:val="0"/>
        </w:rPr>
        <w:t xml:space="preserve"> </w:t>
      </w:r>
      <w:r w:rsidR="00B07CF3">
        <w:rPr>
          <w:b w:val="0"/>
          <w:i w:val="0"/>
        </w:rPr>
        <w:t xml:space="preserve">to each region by season. Once we obtained the </w:t>
      </w:r>
      <w:r w:rsidR="007A1096">
        <w:rPr>
          <w:b w:val="0"/>
          <w:i w:val="0"/>
        </w:rPr>
        <w:t xml:space="preserve">data </w:t>
      </w:r>
      <w:r w:rsidR="007B2473">
        <w:rPr>
          <w:b w:val="0"/>
          <w:i w:val="0"/>
        </w:rPr>
        <w:t xml:space="preserve">for </w:t>
      </w:r>
      <w:r w:rsidR="007A1096">
        <w:rPr>
          <w:b w:val="0"/>
          <w:i w:val="0"/>
        </w:rPr>
        <w:t xml:space="preserve">seasonal precipitation, </w:t>
      </w:r>
      <w:r w:rsidR="00B07CF3">
        <w:rPr>
          <w:b w:val="0"/>
          <w:i w:val="0"/>
        </w:rPr>
        <w:t>the seasonal product rate</w:t>
      </w:r>
      <w:r w:rsidR="007A1096">
        <w:rPr>
          <w:b w:val="0"/>
          <w:i w:val="0"/>
        </w:rPr>
        <w:t>, and elevation</w:t>
      </w:r>
      <w:r w:rsidR="00B07CF3">
        <w:rPr>
          <w:b w:val="0"/>
          <w:i w:val="0"/>
        </w:rPr>
        <w:t xml:space="preserve"> for each of </w:t>
      </w:r>
      <w:r w:rsidR="007B2473">
        <w:rPr>
          <w:b w:val="0"/>
          <w:i w:val="0"/>
        </w:rPr>
        <w:t xml:space="preserve">the </w:t>
      </w:r>
      <w:r w:rsidR="00B07CF3">
        <w:rPr>
          <w:b w:val="0"/>
          <w:i w:val="0"/>
        </w:rPr>
        <w:t xml:space="preserve">16 </w:t>
      </w:r>
      <w:r w:rsidR="004741E4">
        <w:rPr>
          <w:b w:val="0"/>
          <w:i w:val="0"/>
        </w:rPr>
        <w:t>regions, we conducted a</w:t>
      </w:r>
      <w:r w:rsidR="00B07CF3">
        <w:rPr>
          <w:b w:val="0"/>
          <w:i w:val="0"/>
        </w:rPr>
        <w:t xml:space="preserve"> linear regression with the product rate as a dependent variable and the precipitation as an independent variable</w:t>
      </w:r>
      <w:r w:rsidR="0018160E">
        <w:rPr>
          <w:b w:val="0"/>
          <w:i w:val="0"/>
        </w:rPr>
        <w:t xml:space="preserve"> in SPSS 24.0</w:t>
      </w:r>
      <w:r w:rsidR="00B07CF3">
        <w:rPr>
          <w:b w:val="0"/>
          <w:i w:val="0"/>
        </w:rPr>
        <w:t>.</w:t>
      </w:r>
      <w:r w:rsidR="00D7315B">
        <w:rPr>
          <w:b w:val="0"/>
          <w:i w:val="0"/>
        </w:rPr>
        <w:t xml:space="preserve"> Since the dependent variable was highly skewed, we implemented a log-transformation for it. </w:t>
      </w:r>
      <w:r w:rsidR="00481668">
        <w:rPr>
          <w:b w:val="0"/>
          <w:i w:val="0"/>
        </w:rPr>
        <w:t xml:space="preserve">To control elevation, we classified the elevations into two groups, high and low, using K means in SPSS 24.0. </w:t>
      </w:r>
      <w:r w:rsidR="006C32F6">
        <w:rPr>
          <w:b w:val="0"/>
          <w:i w:val="0"/>
        </w:rPr>
        <w:t xml:space="preserve">Due to </w:t>
      </w:r>
      <w:r w:rsidR="007B2473">
        <w:rPr>
          <w:b w:val="0"/>
          <w:i w:val="0"/>
        </w:rPr>
        <w:t xml:space="preserve">the </w:t>
      </w:r>
      <w:r w:rsidR="006C32F6">
        <w:rPr>
          <w:b w:val="0"/>
          <w:i w:val="0"/>
        </w:rPr>
        <w:t xml:space="preserve">small </w:t>
      </w:r>
      <w:r w:rsidR="007B65B5">
        <w:rPr>
          <w:b w:val="0"/>
          <w:i w:val="0"/>
        </w:rPr>
        <w:t>sample size,</w:t>
      </w:r>
      <w:r w:rsidR="007B2473">
        <w:rPr>
          <w:b w:val="0"/>
          <w:i w:val="0"/>
        </w:rPr>
        <w:t xml:space="preserve"> we excluded the samples in the high-</w:t>
      </w:r>
      <w:r w:rsidR="006C32F6">
        <w:rPr>
          <w:b w:val="0"/>
          <w:i w:val="0"/>
        </w:rPr>
        <w:t xml:space="preserve">elevation </w:t>
      </w:r>
      <w:r w:rsidR="007B2473">
        <w:rPr>
          <w:b w:val="0"/>
          <w:i w:val="0"/>
        </w:rPr>
        <w:t xml:space="preserve">group </w:t>
      </w:r>
      <w:r w:rsidR="006C32F6">
        <w:rPr>
          <w:b w:val="0"/>
          <w:i w:val="0"/>
        </w:rPr>
        <w:t xml:space="preserve">and conducted a linear </w:t>
      </w:r>
      <w:r w:rsidR="0031628B">
        <w:rPr>
          <w:b w:val="0"/>
          <w:i w:val="0"/>
        </w:rPr>
        <w:t>regression analysi</w:t>
      </w:r>
      <w:r w:rsidR="006C32F6">
        <w:rPr>
          <w:b w:val="0"/>
          <w:i w:val="0"/>
        </w:rPr>
        <w:t>s</w:t>
      </w:r>
      <w:r w:rsidR="00982013">
        <w:rPr>
          <w:b w:val="0"/>
          <w:i w:val="0"/>
        </w:rPr>
        <w:t xml:space="preserve"> for the group of</w:t>
      </w:r>
      <w:r w:rsidR="00EC5E81">
        <w:rPr>
          <w:b w:val="0"/>
          <w:i w:val="0"/>
        </w:rPr>
        <w:t xml:space="preserve"> low elevation (&lt; 235)</w:t>
      </w:r>
      <w:r w:rsidR="006C32F6">
        <w:rPr>
          <w:b w:val="0"/>
          <w:i w:val="0"/>
        </w:rPr>
        <w:t xml:space="preserve">. </w:t>
      </w:r>
      <w:r w:rsidR="00D7315B">
        <w:rPr>
          <w:b w:val="0"/>
          <w:i w:val="0"/>
        </w:rPr>
        <w:t>The</w:t>
      </w:r>
      <w:r w:rsidR="00481668">
        <w:rPr>
          <w:b w:val="0"/>
          <w:i w:val="0"/>
        </w:rPr>
        <w:t xml:space="preserve"> </w:t>
      </w:r>
      <w:r w:rsidR="00710436">
        <w:rPr>
          <w:b w:val="0"/>
          <w:i w:val="0"/>
        </w:rPr>
        <w:t xml:space="preserve">total </w:t>
      </w:r>
      <w:r w:rsidR="00481668">
        <w:rPr>
          <w:b w:val="0"/>
          <w:i w:val="0"/>
        </w:rPr>
        <w:t xml:space="preserve">56 </w:t>
      </w:r>
      <w:r w:rsidR="00D7315B">
        <w:rPr>
          <w:b w:val="0"/>
          <w:i w:val="0"/>
        </w:rPr>
        <w:t>samples</w:t>
      </w:r>
      <w:r w:rsidR="00710436">
        <w:rPr>
          <w:b w:val="0"/>
          <w:i w:val="0"/>
        </w:rPr>
        <w:t xml:space="preserve"> in the group</w:t>
      </w:r>
      <w:r w:rsidR="00D7315B">
        <w:rPr>
          <w:b w:val="0"/>
          <w:i w:val="0"/>
        </w:rPr>
        <w:t xml:space="preserve"> showed quite negatively strong correlation </w:t>
      </w:r>
      <w:r w:rsidR="00472E77">
        <w:rPr>
          <w:b w:val="0"/>
          <w:i w:val="0"/>
        </w:rPr>
        <w:t xml:space="preserve">between X and </w:t>
      </w:r>
      <w:r w:rsidR="00EC5E81">
        <w:rPr>
          <w:b w:val="0"/>
          <w:i w:val="0"/>
        </w:rPr>
        <w:t>Y (Log of product rate)</w:t>
      </w:r>
      <w:r w:rsidR="00472E77">
        <w:rPr>
          <w:b w:val="0"/>
          <w:i w:val="0"/>
        </w:rPr>
        <w:t xml:space="preserve"> (</w:t>
      </w:r>
      <w:r w:rsidR="00472E77" w:rsidRPr="00133C34">
        <w:rPr>
          <w:b w:val="0"/>
        </w:rPr>
        <w:t xml:space="preserve">r = </w:t>
      </w:r>
      <w:r w:rsidR="006C10EA" w:rsidRPr="00133C34">
        <w:rPr>
          <w:b w:val="0"/>
        </w:rPr>
        <w:t>-0.734</w:t>
      </w:r>
      <w:r w:rsidR="00472E77">
        <w:rPr>
          <w:b w:val="0"/>
          <w:i w:val="0"/>
        </w:rPr>
        <w:t>)</w:t>
      </w:r>
      <w:r w:rsidR="00AE1961">
        <w:rPr>
          <w:b w:val="0"/>
          <w:i w:val="0"/>
        </w:rPr>
        <w:t>.</w:t>
      </w:r>
      <w:r w:rsidR="00BD51AA">
        <w:rPr>
          <w:b w:val="0"/>
          <w:i w:val="0"/>
        </w:rPr>
        <w:t xml:space="preserve"> </w:t>
      </w:r>
    </w:p>
    <w:p w:rsidR="00AE1961" w:rsidRDefault="00AE1961">
      <w:pPr>
        <w:rPr>
          <w:b w:val="0"/>
          <w:i w:val="0"/>
        </w:rPr>
      </w:pPr>
    </w:p>
    <w:p w:rsidR="004741E4" w:rsidRDefault="004741E4">
      <w:pPr>
        <w:rPr>
          <w:b w:val="0"/>
          <w:i w:val="0"/>
        </w:rPr>
      </w:pPr>
      <w:r>
        <w:rPr>
          <w:b w:val="0"/>
          <w:i w:val="0"/>
        </w:rPr>
        <w:t xml:space="preserve">The regression results showed that </w:t>
      </w:r>
      <w:r w:rsidR="003E4F70">
        <w:rPr>
          <w:b w:val="0"/>
          <w:i w:val="0"/>
        </w:rPr>
        <w:t xml:space="preserve">both of </w:t>
      </w:r>
      <w:r>
        <w:rPr>
          <w:b w:val="0"/>
          <w:i w:val="0"/>
        </w:rPr>
        <w:t>the precipitation</w:t>
      </w:r>
      <w:r w:rsidR="003E4F70">
        <w:rPr>
          <w:b w:val="0"/>
          <w:i w:val="0"/>
        </w:rPr>
        <w:t xml:space="preserve"> and the temperature were</w:t>
      </w:r>
      <w:r>
        <w:rPr>
          <w:b w:val="0"/>
          <w:i w:val="0"/>
        </w:rPr>
        <w:t xml:space="preserve"> </w:t>
      </w:r>
      <w:r w:rsidR="003E4F70">
        <w:rPr>
          <w:b w:val="0"/>
          <w:i w:val="0"/>
        </w:rPr>
        <w:t xml:space="preserve">a </w:t>
      </w:r>
      <w:r>
        <w:rPr>
          <w:b w:val="0"/>
          <w:i w:val="0"/>
        </w:rPr>
        <w:t>statistically significant predictor (</w:t>
      </w:r>
      <w:r w:rsidRPr="00133C34">
        <w:rPr>
          <w:b w:val="0"/>
        </w:rPr>
        <w:t>p &lt;0.001</w:t>
      </w:r>
      <w:r w:rsidR="003E4F70">
        <w:rPr>
          <w:b w:val="0"/>
        </w:rPr>
        <w:t xml:space="preserve"> and p=0.025</w:t>
      </w:r>
      <w:bookmarkStart w:id="0" w:name="_GoBack"/>
      <w:bookmarkEnd w:id="0"/>
      <w:r w:rsidR="0069560C">
        <w:rPr>
          <w:b w:val="0"/>
          <w:i w:val="0"/>
        </w:rPr>
        <w:t xml:space="preserve">, </w:t>
      </w:r>
      <m:oMath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=0.5</m:t>
        </m:r>
        <m:r>
          <m:rPr>
            <m:sty m:val="bi"/>
          </m:rPr>
          <w:rPr>
            <w:rFonts w:ascii="Cambria Math" w:hAnsi="Cambria Math"/>
          </w:rPr>
          <m:t>8</m:t>
        </m:r>
      </m:oMath>
      <w:r>
        <w:rPr>
          <w:b w:val="0"/>
          <w:i w:val="0"/>
        </w:rPr>
        <w:t xml:space="preserve">) in Table 1. </w:t>
      </w:r>
      <w:r w:rsidR="007B2473">
        <w:rPr>
          <w:b w:val="0"/>
          <w:i w:val="0"/>
        </w:rPr>
        <w:t xml:space="preserve">For assumptions of linear regression </w:t>
      </w:r>
      <w:r w:rsidR="00831AFC">
        <w:rPr>
          <w:b w:val="0"/>
          <w:i w:val="0"/>
        </w:rPr>
        <w:t xml:space="preserve">According to </w:t>
      </w:r>
      <w:r w:rsidR="00C01C74">
        <w:rPr>
          <w:b w:val="0"/>
          <w:i w:val="0"/>
        </w:rPr>
        <w:t>Figure 1</w:t>
      </w:r>
      <w:r w:rsidR="00831AFC">
        <w:rPr>
          <w:b w:val="0"/>
          <w:i w:val="0"/>
        </w:rPr>
        <w:t>,</w:t>
      </w:r>
      <w:r w:rsidR="00C01C74">
        <w:rPr>
          <w:b w:val="0"/>
          <w:i w:val="0"/>
        </w:rPr>
        <w:t xml:space="preserve"> </w:t>
      </w:r>
      <w:r w:rsidR="000F549C">
        <w:rPr>
          <w:b w:val="0"/>
          <w:i w:val="0"/>
        </w:rPr>
        <w:t>the assumptions</w:t>
      </w:r>
      <w:r w:rsidR="007B2473">
        <w:rPr>
          <w:b w:val="0"/>
          <w:i w:val="0"/>
        </w:rPr>
        <w:t xml:space="preserve"> of linearity, normality, and homogeneity</w:t>
      </w:r>
      <w:r w:rsidR="00845932">
        <w:rPr>
          <w:b w:val="0"/>
          <w:i w:val="0"/>
        </w:rPr>
        <w:t xml:space="preserve"> </w:t>
      </w:r>
      <w:r w:rsidR="00624A8D">
        <w:rPr>
          <w:b w:val="0"/>
          <w:i w:val="0"/>
        </w:rPr>
        <w:t>tended to be</w:t>
      </w:r>
      <w:r w:rsidR="00845932">
        <w:rPr>
          <w:b w:val="0"/>
          <w:i w:val="0"/>
        </w:rPr>
        <w:t xml:space="preserve"> fairly</w:t>
      </w:r>
      <w:r w:rsidR="004D6263">
        <w:rPr>
          <w:b w:val="0"/>
          <w:i w:val="0"/>
        </w:rPr>
        <w:t xml:space="preserve"> met.</w:t>
      </w:r>
      <w:r w:rsidR="007E0006">
        <w:rPr>
          <w:b w:val="0"/>
          <w:i w:val="0"/>
        </w:rPr>
        <w:t xml:space="preserve"> For the assumption of independent observation, h</w:t>
      </w:r>
      <w:r w:rsidR="004D6263">
        <w:rPr>
          <w:b w:val="0"/>
          <w:i w:val="0"/>
        </w:rPr>
        <w:t xml:space="preserve">owever, the product rates are not independent each other within region, so caution needs when interpreting the results. </w:t>
      </w:r>
    </w:p>
    <w:p w:rsidR="009F6350" w:rsidRDefault="009F6350">
      <w:pPr>
        <w:rPr>
          <w:b w:val="0"/>
          <w:i w:val="0"/>
        </w:rPr>
      </w:pPr>
    </w:p>
    <w:p w:rsidR="004D7ADA" w:rsidRPr="00B13506" w:rsidRDefault="004D7ADA" w:rsidP="004D7ADA">
      <w:pPr>
        <w:jc w:val="center"/>
        <w:rPr>
          <w:i w:val="0"/>
        </w:rPr>
      </w:pPr>
      <w:r w:rsidRPr="00B13506">
        <w:rPr>
          <w:i w:val="0"/>
        </w:rPr>
        <w:t>Table 1. Linear Regression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6350" w:rsidTr="009F6350"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Std. Error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Beta</w:t>
            </w:r>
          </w:p>
        </w:tc>
        <w:tc>
          <w:tcPr>
            <w:tcW w:w="1559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</w:t>
            </w:r>
          </w:p>
        </w:tc>
        <w:tc>
          <w:tcPr>
            <w:tcW w:w="1559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Sig. </w:t>
            </w:r>
          </w:p>
        </w:tc>
      </w:tr>
      <w:tr w:rsidR="009F6350" w:rsidTr="009F6350"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Intercept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="00D50C83">
              <w:rPr>
                <w:b w:val="0"/>
                <w:i w:val="0"/>
              </w:rPr>
              <w:t>6.360</w:t>
            </w:r>
          </w:p>
        </w:tc>
        <w:tc>
          <w:tcPr>
            <w:tcW w:w="1558" w:type="dxa"/>
          </w:tcPr>
          <w:p w:rsidR="009F6350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2.670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</w:p>
        </w:tc>
        <w:tc>
          <w:tcPr>
            <w:tcW w:w="1559" w:type="dxa"/>
          </w:tcPr>
          <w:p w:rsidR="009F6350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-2.382</w:t>
            </w:r>
          </w:p>
        </w:tc>
        <w:tc>
          <w:tcPr>
            <w:tcW w:w="1559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0.</w:t>
            </w:r>
            <w:r w:rsidR="00D50C83">
              <w:rPr>
                <w:b w:val="0"/>
                <w:i w:val="0"/>
              </w:rPr>
              <w:t>21</w:t>
            </w:r>
          </w:p>
        </w:tc>
      </w:tr>
      <w:tr w:rsidR="009F6350" w:rsidTr="009F6350"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Precipitation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-0.008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0.001</w:t>
            </w:r>
          </w:p>
        </w:tc>
        <w:tc>
          <w:tcPr>
            <w:tcW w:w="1558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-0.7</w:t>
            </w:r>
            <w:r w:rsidR="00D50C83">
              <w:rPr>
                <w:b w:val="0"/>
                <w:i w:val="0"/>
              </w:rPr>
              <w:t>50</w:t>
            </w:r>
          </w:p>
        </w:tc>
        <w:tc>
          <w:tcPr>
            <w:tcW w:w="1559" w:type="dxa"/>
          </w:tcPr>
          <w:p w:rsidR="009F6350" w:rsidRDefault="009F6350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-</w:t>
            </w:r>
            <w:r w:rsidR="00D50C83">
              <w:rPr>
                <w:b w:val="0"/>
                <w:i w:val="0"/>
              </w:rPr>
              <w:t>8.402</w:t>
            </w:r>
          </w:p>
        </w:tc>
        <w:tc>
          <w:tcPr>
            <w:tcW w:w="1559" w:type="dxa"/>
          </w:tcPr>
          <w:p w:rsidR="009F6350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&lt;</w:t>
            </w:r>
            <w:r w:rsidR="009F6350">
              <w:rPr>
                <w:b w:val="0"/>
                <w:i w:val="0"/>
              </w:rPr>
              <w:t>0.00</w:t>
            </w:r>
            <w:r>
              <w:rPr>
                <w:b w:val="0"/>
                <w:i w:val="0"/>
              </w:rPr>
              <w:t>1</w:t>
            </w:r>
          </w:p>
        </w:tc>
      </w:tr>
      <w:tr w:rsidR="0088002D" w:rsidTr="009F6350">
        <w:tc>
          <w:tcPr>
            <w:tcW w:w="1558" w:type="dxa"/>
          </w:tcPr>
          <w:p w:rsidR="0088002D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Temperature</w:t>
            </w:r>
          </w:p>
        </w:tc>
        <w:tc>
          <w:tcPr>
            <w:tcW w:w="1558" w:type="dxa"/>
          </w:tcPr>
          <w:p w:rsidR="0088002D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0.234</w:t>
            </w:r>
          </w:p>
        </w:tc>
        <w:tc>
          <w:tcPr>
            <w:tcW w:w="1558" w:type="dxa"/>
          </w:tcPr>
          <w:p w:rsidR="0088002D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0.101</w:t>
            </w:r>
          </w:p>
        </w:tc>
        <w:tc>
          <w:tcPr>
            <w:tcW w:w="1558" w:type="dxa"/>
          </w:tcPr>
          <w:p w:rsidR="0088002D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0.206</w:t>
            </w:r>
          </w:p>
        </w:tc>
        <w:tc>
          <w:tcPr>
            <w:tcW w:w="1559" w:type="dxa"/>
          </w:tcPr>
          <w:p w:rsidR="0088002D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2.312</w:t>
            </w:r>
          </w:p>
        </w:tc>
        <w:tc>
          <w:tcPr>
            <w:tcW w:w="1559" w:type="dxa"/>
          </w:tcPr>
          <w:p w:rsidR="0088002D" w:rsidRDefault="00D50C83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0.</w:t>
            </w:r>
            <w:r w:rsidR="003E4F70">
              <w:rPr>
                <w:b w:val="0"/>
                <w:i w:val="0"/>
              </w:rPr>
              <w:t>0</w:t>
            </w:r>
            <w:r>
              <w:rPr>
                <w:b w:val="0"/>
                <w:i w:val="0"/>
              </w:rPr>
              <w:t>25</w:t>
            </w:r>
          </w:p>
        </w:tc>
      </w:tr>
    </w:tbl>
    <w:p w:rsidR="009F6350" w:rsidRDefault="009F6350">
      <w:pPr>
        <w:rPr>
          <w:b w:val="0"/>
          <w:i w:val="0"/>
        </w:rPr>
      </w:pPr>
    </w:p>
    <w:p w:rsidR="004741E4" w:rsidRDefault="004741E4">
      <w:pPr>
        <w:rPr>
          <w:b w:val="0"/>
          <w:i w:val="0"/>
        </w:rPr>
      </w:pPr>
    </w:p>
    <w:p w:rsidR="00AE1961" w:rsidRDefault="004741E4">
      <w:pPr>
        <w:rPr>
          <w:b w:val="0"/>
          <w:i w:val="0"/>
        </w:rPr>
      </w:pPr>
      <w:r>
        <w:rPr>
          <w:b w:val="0"/>
          <w:i w:val="0"/>
        </w:rPr>
        <w:t>Based on the results, the equation</w:t>
      </w:r>
      <w:r w:rsidR="009F6350">
        <w:rPr>
          <w:b w:val="0"/>
          <w:i w:val="0"/>
        </w:rPr>
        <w:t>s</w:t>
      </w:r>
      <w:r>
        <w:rPr>
          <w:b w:val="0"/>
          <w:i w:val="0"/>
        </w:rPr>
        <w:t xml:space="preserve"> </w:t>
      </w:r>
      <w:r w:rsidR="009F6350">
        <w:rPr>
          <w:b w:val="0"/>
          <w:i w:val="0"/>
        </w:rPr>
        <w:t>of</w:t>
      </w:r>
      <w:r w:rsidR="00864EE7">
        <w:rPr>
          <w:b w:val="0"/>
          <w:i w:val="0"/>
        </w:rPr>
        <w:t xml:space="preserve"> the predicted L</w:t>
      </w:r>
      <w:r w:rsidR="008B4F1F">
        <w:rPr>
          <w:b w:val="0"/>
          <w:i w:val="0"/>
        </w:rPr>
        <w:t>og</w:t>
      </w:r>
      <w:r w:rsidR="007D5F55">
        <w:rPr>
          <w:b w:val="0"/>
          <w:i w:val="0"/>
        </w:rPr>
        <w:t>[product rate]</w:t>
      </w:r>
      <w:r w:rsidR="00F14CF0">
        <w:rPr>
          <w:b w:val="0"/>
          <w:i w:val="0"/>
        </w:rPr>
        <w:t xml:space="preserve"> and the predicted product rate</w:t>
      </w:r>
      <w:r>
        <w:rPr>
          <w:b w:val="0"/>
          <w:i w:val="0"/>
        </w:rPr>
        <w:t xml:space="preserve"> </w:t>
      </w:r>
      <w:r w:rsidR="009F6350">
        <w:rPr>
          <w:b w:val="0"/>
          <w:i w:val="0"/>
        </w:rPr>
        <w:t>are shown below.</w:t>
      </w:r>
    </w:p>
    <w:p w:rsidR="00A10D20" w:rsidRPr="00567C4D" w:rsidRDefault="003E4F70" w:rsidP="00787129">
      <w:pPr>
        <w:jc w:val="center"/>
        <w:rPr>
          <w:i w:val="0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Ln(product rate)</m:t>
            </m:r>
          </m:e>
        </m:acc>
        <m:r>
          <m:rPr>
            <m:sty m:val="bi"/>
          </m:rPr>
          <w:rPr>
            <w:rFonts w:ascii="Cambria Math" w:hAnsi="Cambria Math"/>
          </w:rPr>
          <m:t>=-0.</m:t>
        </m:r>
        <m:r>
          <m:rPr>
            <m:sty m:val="bi"/>
          </m:rPr>
          <w:rPr>
            <w:rFonts w:ascii="Cambria Math" w:hAnsi="Cambria Math"/>
          </w:rPr>
          <m:t>6.360</m:t>
        </m:r>
        <m:r>
          <m:rPr>
            <m:sty m:val="bi"/>
          </m:rPr>
          <w:rPr>
            <w:rFonts w:ascii="Cambria Math" w:hAnsi="Cambria Math"/>
          </w:rPr>
          <m:t>-0.008*precipitation</m:t>
        </m:r>
        <m:r>
          <m:rPr>
            <m:sty m:val="bi"/>
          </m:rPr>
          <w:rPr>
            <w:rFonts w:ascii="Cambria Math" w:hAnsi="Cambria Math"/>
          </w:rPr>
          <m:t>+0.234*temperature</m:t>
        </m:r>
      </m:oMath>
      <w:r w:rsidR="00787129">
        <w:rPr>
          <w:i w:val="0"/>
        </w:rPr>
        <w:t xml:space="preserve">                               </w:t>
      </w:r>
    </w:p>
    <w:p w:rsidR="00567C4D" w:rsidRDefault="00567C4D">
      <w:pPr>
        <w:rPr>
          <w:i w:val="0"/>
        </w:rPr>
      </w:pPr>
    </w:p>
    <w:p w:rsidR="00567C4D" w:rsidRPr="00B17998" w:rsidRDefault="003E4F70">
      <w:pPr>
        <w:rPr>
          <w:i w:val="0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product rate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-0.208-0.008*precipitation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+0.234*temperature</m:t>
              </m:r>
            </m:sup>
          </m:sSup>
        </m:oMath>
      </m:oMathPara>
    </w:p>
    <w:p w:rsidR="007E6AAB" w:rsidRDefault="007E6AAB">
      <w:pPr>
        <w:rPr>
          <w:b w:val="0"/>
          <w:i w:val="0"/>
        </w:rPr>
      </w:pPr>
    </w:p>
    <w:p w:rsidR="00F01977" w:rsidRPr="00B13506" w:rsidRDefault="00F01977" w:rsidP="00F01977">
      <w:pPr>
        <w:jc w:val="center"/>
        <w:rPr>
          <w:i w:val="0"/>
        </w:rPr>
      </w:pPr>
      <w:r w:rsidRPr="00B13506">
        <w:rPr>
          <w:i w:val="0"/>
        </w:rPr>
        <w:t xml:space="preserve">Figure 1. </w:t>
      </w:r>
      <w:r w:rsidR="007B2473">
        <w:rPr>
          <w:i w:val="0"/>
        </w:rPr>
        <w:t>Validation of</w:t>
      </w:r>
      <w:r w:rsidR="00CC3C0C" w:rsidRPr="00B13506">
        <w:rPr>
          <w:i w:val="0"/>
        </w:rPr>
        <w:t xml:space="preserve"> Linearity, Normality, and Homogeneity</w:t>
      </w:r>
    </w:p>
    <w:p w:rsidR="007E6AAB" w:rsidRPr="00750B34" w:rsidRDefault="00CE58B7">
      <w:pPr>
        <w:rPr>
          <w:b w:val="0"/>
          <w:i w:val="0"/>
        </w:rPr>
      </w:pPr>
      <w:r w:rsidRPr="00CE58B7">
        <w:rPr>
          <w:b w:val="0"/>
          <w:i w:val="0"/>
        </w:rPr>
        <w:drawing>
          <wp:inline distT="0" distB="0" distL="0" distR="0" wp14:anchorId="6BC10F38" wp14:editId="6DFA5A8F">
            <wp:extent cx="53848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AB" w:rsidRPr="00750B34" w:rsidSect="00D0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34"/>
    <w:rsid w:val="00025274"/>
    <w:rsid w:val="0004543E"/>
    <w:rsid w:val="000B2A57"/>
    <w:rsid w:val="000E6491"/>
    <w:rsid w:val="000F549C"/>
    <w:rsid w:val="00133C34"/>
    <w:rsid w:val="0018160E"/>
    <w:rsid w:val="002E2D35"/>
    <w:rsid w:val="0031628B"/>
    <w:rsid w:val="003478DC"/>
    <w:rsid w:val="003E1051"/>
    <w:rsid w:val="003E4F70"/>
    <w:rsid w:val="00472E77"/>
    <w:rsid w:val="004741E4"/>
    <w:rsid w:val="00476011"/>
    <w:rsid w:val="00481668"/>
    <w:rsid w:val="004D6263"/>
    <w:rsid w:val="004D7ADA"/>
    <w:rsid w:val="00565E75"/>
    <w:rsid w:val="00567C4D"/>
    <w:rsid w:val="00624A8D"/>
    <w:rsid w:val="0069560C"/>
    <w:rsid w:val="006C10EA"/>
    <w:rsid w:val="006C32F6"/>
    <w:rsid w:val="00706402"/>
    <w:rsid w:val="00710436"/>
    <w:rsid w:val="00750B34"/>
    <w:rsid w:val="00787129"/>
    <w:rsid w:val="007A1096"/>
    <w:rsid w:val="007B2473"/>
    <w:rsid w:val="007B65B5"/>
    <w:rsid w:val="007D5F55"/>
    <w:rsid w:val="007E0006"/>
    <w:rsid w:val="007E6AAB"/>
    <w:rsid w:val="00831AFC"/>
    <w:rsid w:val="00835878"/>
    <w:rsid w:val="00845932"/>
    <w:rsid w:val="00864EE7"/>
    <w:rsid w:val="0087428D"/>
    <w:rsid w:val="0088002D"/>
    <w:rsid w:val="008B4F1F"/>
    <w:rsid w:val="0093248B"/>
    <w:rsid w:val="00982013"/>
    <w:rsid w:val="009F6350"/>
    <w:rsid w:val="00A10D20"/>
    <w:rsid w:val="00A238E3"/>
    <w:rsid w:val="00A34ACD"/>
    <w:rsid w:val="00AC03F5"/>
    <w:rsid w:val="00AE1961"/>
    <w:rsid w:val="00B07CF3"/>
    <w:rsid w:val="00B13506"/>
    <w:rsid w:val="00B17998"/>
    <w:rsid w:val="00B57984"/>
    <w:rsid w:val="00BD51AA"/>
    <w:rsid w:val="00C01C74"/>
    <w:rsid w:val="00C037F1"/>
    <w:rsid w:val="00C46724"/>
    <w:rsid w:val="00C945B3"/>
    <w:rsid w:val="00CC3C0C"/>
    <w:rsid w:val="00CE58B7"/>
    <w:rsid w:val="00D07501"/>
    <w:rsid w:val="00D50C83"/>
    <w:rsid w:val="00D7315B"/>
    <w:rsid w:val="00D857FF"/>
    <w:rsid w:val="00EC5E81"/>
    <w:rsid w:val="00F01977"/>
    <w:rsid w:val="00F14CF0"/>
    <w:rsid w:val="00F76A92"/>
    <w:rsid w:val="00FA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7C098"/>
  <w15:chartTrackingRefBased/>
  <w15:docId w15:val="{A8A497C3-315E-0048-A5FC-2CEA1E18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Times New Roman"/>
        <w:b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eastAsia="Batang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2018-06-08T14:25:00Z</dcterms:created>
  <dcterms:modified xsi:type="dcterms:W3CDTF">2018-06-08T16:53:00Z</dcterms:modified>
</cp:coreProperties>
</file>