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Quality control pitfalls in publicly available MRI segmentation datasets: a case study on TotalSegmentator MRI v2 for thoracic organ-at-risk segmentation</w:t>
      </w:r>
    </w:p>
    <w:p>
      <w:pPr>
        <w:spacing w:after="120"/>
        <w:jc w:val="center"/>
      </w:pPr>
      <w:r>
        <w:rPr>
          <w:rFonts w:ascii="Times New Roman" w:cs="Times New Roman" w:eastAsia="Times New Roman" w:hAnsi="Times New Roman"/>
          <w:sz w:val="22"/>
          <w:szCs w:val="22"/>
        </w:rPr>
        <w:t xml:space="preserve">Abdelhalim Nssiri¹·², [Co-author 2]², [Co-author 3]¹, [Senior author]¹·²</w:t>
      </w:r>
    </w:p>
    <w:p>
      <w:pPr>
        <w:spacing w:after="60"/>
        <w:jc w:val="center"/>
      </w:pPr>
      <w:r>
        <w:rPr>
          <w:rFonts w:ascii="Times New Roman" w:cs="Times New Roman" w:eastAsia="Times New Roman" w:hAnsi="Times New Roman"/>
          <w:i/>
          <w:iCs/>
          <w:sz w:val="20"/>
          <w:szCs w:val="20"/>
        </w:rPr>
        <w:t xml:space="preserve">¹ [Department], Mohammed Premier University, Oujda, Morocco</w:t>
      </w:r>
    </w:p>
    <w:p>
      <w:pPr>
        <w:spacing w:after="120"/>
        <w:jc w:val="center"/>
      </w:pPr>
      <w:r>
        <w:rPr>
          <w:rFonts w:ascii="Times New Roman" w:cs="Times New Roman" w:eastAsia="Times New Roman" w:hAnsi="Times New Roman"/>
          <w:i/>
          <w:iCs/>
          <w:sz w:val="20"/>
          <w:szCs w:val="20"/>
        </w:rPr>
        <w:t xml:space="preserve">² [Affiliated Hospital / Department of Radiation Oncology]</w:t>
      </w:r>
    </w:p>
    <w:p>
      <w:pPr>
        <w:spacing w:after="240"/>
        <w:jc w:val="center"/>
      </w:pPr>
      <w:r>
        <w:rPr>
          <w:rFonts w:ascii="Times New Roman" w:cs="Times New Roman" w:eastAsia="Times New Roman" w:hAnsi="Times New Roman"/>
          <w:sz w:val="20"/>
          <w:szCs w:val="20"/>
        </w:rPr>
        <w:t xml:space="preserve">Corresponding author: A. Nssiri, abdelhalim.nssiri.d24@ump.ac.ma</w:t>
      </w:r>
    </w:p>
    <w:p>
      <w:pPr>
        <w:pStyle w:val="Heading2"/>
        <w:spacing w:after="120" w:before="240"/>
      </w:pPr>
      <w:r>
        <w:rPr>
          <w:rFonts w:ascii="Times New Roman" w:cs="Times New Roman" w:eastAsia="Times New Roman" w:hAnsi="Times New Roman"/>
          <w:b/>
          <w:bCs/>
          <w:sz w:val="26"/>
          <w:szCs w:val="26"/>
        </w:rPr>
        <w:t xml:space="preserve">Abstract</w:t>
      </w:r>
    </w:p>
    <w:p>
      <w:pPr>
        <w:spacing w:after="12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To report a critical data quality issue affecting the TotalSegmentator MRI v2.0 dataset for thoracic organ-at-risk (OAR) segmentation tasks, and to provide a reproducible quality-control pipeline that flags incomplete annotations before model training. </w:t>
      </w: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The TotalSegmentator MRI v2.0 dataset (n = 616 MR examinations) was processed with our open-source two-stage filtering pipeline. Stage 1 merged organ-level segmentation files into a multi-class label and excluded patients whose organ files were physically present but contained zero non-zero voxels. Stage 2 applied clinical inclusion criteria (cranio-caudal field of view ≥ 120 mm; per-lung volume ≥ 300 mL; heart volume ≥ 50 mL; esophagus volume ≥ 5 mL; lung masks not touching image boundaries). </w:t>
      </w: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Among 616 source examinations, 342 (55.5%) had all four thoracic OAR segmentation files present but empty (lung_left, lung_right, heart, esophagus all zero), 87 (14.1%) had partial annotations (fewer than four OAR), and only 187 (30.4%) contained all four OAR with non-zero volumes. After clinical filtering, the usable cohort was n = 187 patients. Without the empty-file check, a naive pipeline retains all 616 patients and produces an apparent dataset in which 85% of labels are silently empty. </w:t>
      </w: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Users of publicly available MR segmentation datasets must validate the actual content of each annotation file, not only its presence. We release the pipeline (https://github.com/NSSIRI/mrgrt-seg) so that other groups can apply the same filter to TotalSegmentator MRI before training thoracic OAR models.</w:t>
      </w:r>
    </w:p>
    <w:p>
      <w:pPr>
        <w:spacing w:after="120" w:before="60" w:line="360"/>
        <w:jc w:val="left"/>
        <w:rPr>
          <w:i/>
          <w:iCs/>
        </w:rPr>
      </w:pPr>
      <w:r>
        <w:rPr>
          <w:rFonts w:ascii="Times New Roman" w:cs="Times New Roman" w:eastAsia="Times New Roman" w:hAnsi="Times New Roman"/>
          <w:i/>
          <w:iCs/>
          <w:sz w:val="24"/>
          <w:szCs w:val="24"/>
        </w:rPr>
        <w:t xml:space="preserve">Keywords: medical imaging, MRI, segmentation, data quality, TotalSegmentator, organ-at-risk, MR-guided radiotherapy.</w:t>
      </w:r>
    </w:p>
    <w:p>
      <w:pPr>
        <w:pStyle w:val="Heading1"/>
        <w:spacing w:after="120" w:before="240"/>
      </w:pPr>
      <w:r>
        <w:rPr>
          <w:rFonts w:ascii="Times New Roman" w:cs="Times New Roman" w:eastAsia="Times New Roman" w:hAnsi="Times New Roman"/>
          <w:b/>
          <w:bCs/>
          <w:sz w:val="28"/>
          <w:szCs w:val="28"/>
        </w:rPr>
        <w:t xml:space="preserve">1. Introduction</w:t>
      </w:r>
    </w:p>
    <w:p>
      <w:pPr>
        <w:spacing w:after="120" w:line="360"/>
        <w:jc w:val="both"/>
      </w:pPr>
      <w:r>
        <w:rPr>
          <w:rFonts w:ascii="Times New Roman" w:cs="Times New Roman" w:eastAsia="Times New Roman" w:hAnsi="Times New Roman"/>
          <w:sz w:val="24"/>
          <w:szCs w:val="24"/>
        </w:rPr>
        <w:t xml:space="preserve">Magnetic resonance-guided radiotherapy (MRgRT) is increasingly used for treatment of thoracic malignancies, in particular lung tumours, due to superior soft-tissue contrast and the possibility of online adaptive replanning on hybrid MR-Linac platforms such as ViewRay MRIdian and Elekta Unity [1,2]. Online adaptive workflows require fast and reliable contouring of organs-at-risk (OAR), which has motivated the development of deep-learning auto-segmentation models tailored to MR-Linac images [3-5].</w:t>
      </w:r>
    </w:p>
    <w:p>
      <w:pPr>
        <w:spacing w:after="120" w:line="360"/>
        <w:jc w:val="both"/>
      </w:pPr>
      <w:r>
        <w:rPr>
          <w:rFonts w:ascii="Times New Roman" w:cs="Times New Roman" w:eastAsia="Times New Roman" w:hAnsi="Times New Roman"/>
          <w:sz w:val="24"/>
          <w:szCs w:val="24"/>
        </w:rPr>
        <w:t xml:space="preserve">Public datasets are essential to benchmark and reproduce such models. The TotalSegmentator MRI v2.0 dataset, released by D'Antonoli et al. in 2024 [6] (Zenodo DOI: 10.5281/zenodo.14710732), is currently the largest publicly available MR dataset with multi-organ segmentations and is rapidly becoming a reference for cross-cohort validation. The dataset provides per-organ NIfTI files within each patient directory, covering up to 80 anatomical structures across body regions.</w:t>
      </w:r>
    </w:p>
    <w:p>
      <w:pPr>
        <w:spacing w:after="120" w:line="360"/>
        <w:jc w:val="both"/>
      </w:pPr>
      <w:r>
        <w:rPr>
          <w:rFonts w:ascii="Times New Roman" w:cs="Times New Roman" w:eastAsia="Times New Roman" w:hAnsi="Times New Roman"/>
          <w:sz w:val="24"/>
          <w:szCs w:val="24"/>
        </w:rPr>
        <w:t xml:space="preserve">During the preparation of a 5-fold cross-validation benchmark of UNet 3D and SegResNet for thoracic OAR segmentation, we observed that a substantial proportion of patients exhibited empty thoracic annotations despite the corresponding NIfTI files being physically present. The naive presence-based filtering that we initially used silently retained these patients in the training set, leading to non-convergent training characterised by thousands of MONAI “Num foregrounds 0” warnings per epoch and a Dice score that did not depart from random. This Letter reports the issue, quantifies its prevalence, and provides an open-source two-stage filter that reproducibly excludes affected patients.</w:t>
      </w:r>
    </w:p>
    <w:p>
      <w:pPr>
        <w:pStyle w:val="Heading1"/>
        <w:spacing w:after="120" w:before="240"/>
      </w:pPr>
      <w:r>
        <w:rPr>
          <w:rFonts w:ascii="Times New Roman" w:cs="Times New Roman" w:eastAsia="Times New Roman" w:hAnsi="Times New Roman"/>
          <w:b/>
          <w:bCs/>
          <w:sz w:val="28"/>
          <w:szCs w:val="28"/>
        </w:rPr>
        <w:t xml:space="preserve">2. Materials and Methods</w:t>
      </w:r>
    </w:p>
    <w:p>
      <w:pPr>
        <w:pStyle w:val="Heading2"/>
        <w:spacing w:after="120" w:before="240"/>
      </w:pPr>
      <w:r>
        <w:rPr>
          <w:rFonts w:ascii="Times New Roman" w:cs="Times New Roman" w:eastAsia="Times New Roman" w:hAnsi="Times New Roman"/>
          <w:b/>
          <w:bCs/>
          <w:sz w:val="26"/>
          <w:szCs w:val="26"/>
        </w:rPr>
        <w:t xml:space="preserve">2.1 Dataset</w:t>
      </w:r>
    </w:p>
    <w:p>
      <w:pPr>
        <w:spacing w:after="120" w:line="360"/>
        <w:jc w:val="both"/>
      </w:pPr>
      <w:r>
        <w:rPr>
          <w:rFonts w:ascii="Times New Roman" w:cs="Times New Roman" w:eastAsia="Times New Roman" w:hAnsi="Times New Roman"/>
          <w:sz w:val="24"/>
          <w:szCs w:val="24"/>
        </w:rPr>
        <w:t xml:space="preserve">We used TotalSegmentator MRI v2.0.0 (Zenodo DOI 10.5281/zenodo.14710732, license CC-BY-NC-SA-4.0), containing n = 616 MR examinations, each accompanied by a 3D MR volume (mri.nii.gz) and a directory of per-organ binary segmentation masks (segmentations/&lt;organ&gt;.nii.gz). For thoracic OAR segmentation we considered four classes: left lung (lung_left), right lung (lung_right), heart, and esophagus.</w:t>
      </w:r>
    </w:p>
    <w:p>
      <w:pPr>
        <w:pStyle w:val="Heading2"/>
        <w:spacing w:after="120" w:before="240"/>
      </w:pPr>
      <w:r>
        <w:rPr>
          <w:rFonts w:ascii="Times New Roman" w:cs="Times New Roman" w:eastAsia="Times New Roman" w:hAnsi="Times New Roman"/>
          <w:b/>
          <w:bCs/>
          <w:sz w:val="26"/>
          <w:szCs w:val="26"/>
        </w:rPr>
        <w:t xml:space="preserve">2.2 Two-stage filtering pipeline</w:t>
      </w:r>
    </w:p>
    <w:p>
      <w:pPr>
        <w:spacing w:after="120" w:line="360"/>
        <w:jc w:val="both"/>
      </w:pPr>
      <w:r>
        <w:rPr>
          <w:rFonts w:ascii="Times New Roman" w:cs="Times New Roman" w:eastAsia="Times New Roman" w:hAnsi="Times New Roman"/>
          <w:sz w:val="24"/>
          <w:szCs w:val="24"/>
        </w:rPr>
        <w:t xml:space="preserve">Stage 1 (multi-class label construction and content check) reads the per-organ binary masks and merges them into a single multi-class label volume (background = 0, left lung = 1, right lung = 2, heart = 3, esophagus = 4). For each organ, the script verifies that the binary mask contains at least 10 non-zero voxels (approximately 0.5 mL at the dataset native resolution) before the corresponding class label is written. Patients for which fewer than four classes are physically present at this step are excluded.</w:t>
      </w:r>
    </w:p>
    <w:p>
      <w:pPr>
        <w:spacing w:after="120" w:line="360"/>
        <w:jc w:val="both"/>
      </w:pPr>
      <w:r>
        <w:rPr>
          <w:rFonts w:ascii="Times New Roman" w:cs="Times New Roman" w:eastAsia="Times New Roman" w:hAnsi="Times New Roman"/>
          <w:sz w:val="24"/>
          <w:szCs w:val="24"/>
        </w:rPr>
        <w:t xml:space="preserve">Stage 2 (clinical quality criteria) applies the following thresholds, motivated by the geometry of clinically usable thoracic MRgRT acquisitions: cranio-caudal field of view ≥ 120 mm; per-lung volume ≥ 300 mL; heart volume ≥ 50 mL; esophagus volume ≥ 5 mL; lung masks not touching the image boundaries (cut-off rejection). Volumes are computed from the NIfTI affine determinant.</w:t>
      </w:r>
    </w:p>
    <w:p>
      <w:pPr>
        <w:pStyle w:val="Heading2"/>
        <w:spacing w:after="120" w:before="240"/>
      </w:pPr>
      <w:r>
        <w:rPr>
          <w:rFonts w:ascii="Times New Roman" w:cs="Times New Roman" w:eastAsia="Times New Roman" w:hAnsi="Times New Roman"/>
          <w:b/>
          <w:bCs/>
          <w:sz w:val="26"/>
          <w:szCs w:val="26"/>
        </w:rPr>
        <w:t xml:space="preserve">2.3 Implementation</w:t>
      </w:r>
    </w:p>
    <w:p>
      <w:pPr>
        <w:spacing w:after="120" w:line="360"/>
        <w:jc w:val="both"/>
      </w:pPr>
      <w:r>
        <w:rPr>
          <w:rFonts w:ascii="Times New Roman" w:cs="Times New Roman" w:eastAsia="Times New Roman" w:hAnsi="Times New Roman"/>
          <w:sz w:val="24"/>
          <w:szCs w:val="24"/>
        </w:rPr>
        <w:t xml:space="preserve">Both stages are implemented in Python with NumPy and nibabel, and run on standard hardware (no GPU required). The pipeline is available at https://github.com/NSSIRI/mrgrt-seg (scripts/prepare_totalsegmentator.py and scripts/transfer/05_filter_quality.py).</w:t>
      </w:r>
    </w:p>
    <w:p>
      <w:pPr>
        <w:pStyle w:val="Heading1"/>
        <w:spacing w:after="120" w:before="240"/>
      </w:pPr>
      <w:r>
        <w:rPr>
          <w:rFonts w:ascii="Times New Roman" w:cs="Times New Roman" w:eastAsia="Times New Roman" w:hAnsi="Times New Roman"/>
          <w:b/>
          <w:bCs/>
          <w:sz w:val="28"/>
          <w:szCs w:val="28"/>
        </w:rPr>
        <w:t xml:space="preserve">3. Results</w:t>
      </w:r>
    </w:p>
    <w:p>
      <w:pPr>
        <w:spacing w:after="120" w:line="360"/>
        <w:jc w:val="both"/>
      </w:pPr>
      <w:r>
        <w:rPr>
          <w:rFonts w:ascii="Times New Roman" w:cs="Times New Roman" w:eastAsia="Times New Roman" w:hAnsi="Times New Roman"/>
          <w:sz w:val="24"/>
          <w:szCs w:val="24"/>
        </w:rPr>
        <w:t xml:space="preserve">Of the 616 source examinations in TotalSegmentator MRI v2.0, 342 (55.5%) contained the four thoracic OAR segmentation files (lung_left.nii.gz, lung_right.nii.gz, heart.nii.gz, esophagus.nii.gz) but every voxel of every file was zero. 87 examinations (14.1%) contained partial thoracic annotations (one to three OAR with non-zero content). Only 187 (30.4%) contained the four thoracic OAR with at least 10 non-zero voxels per organ. Table 1 summarises the patient counts at each filtering stage.</w:t>
      </w:r>
    </w:p>
    <w:p>
      <w:pPr>
        <w:spacing w:after="120" w:before="60" w:line="360"/>
        <w:jc w:val="left"/>
        <w:rPr>
          <w:b/>
          <w:bCs/>
          <w:i/>
          <w:iCs/>
        </w:rPr>
      </w:pPr>
      <w:r>
        <w:rPr>
          <w:rFonts w:ascii="Times New Roman" w:cs="Times New Roman" w:eastAsia="Times New Roman" w:hAnsi="Times New Roman"/>
          <w:b/>
          <w:bCs/>
          <w:i/>
          <w:iCs/>
          <w:sz w:val="24"/>
          <w:szCs w:val="24"/>
        </w:rPr>
        <w:t xml:space="preserve">Table 1. Patient counts at successive filtering stages.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6"/>
              <w:left w:val="single" w:color="999999" w:sz="6"/>
              <w:bottom w:val="single" w:color="999999" w:sz="6"/>
              <w:right w:val="single" w:color="999999" w:sz="6"/>
            </w:tcBorders>
            <w:shd w:fill="D5E8F0"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Stage</w:t>
            </w:r>
          </w:p>
        </w:tc>
        <w:tc>
          <w:tcPr>
            <w:tcW w:type="dxa" w:w="3120"/>
            <w:tcBorders>
              <w:top w:val="single" w:color="999999" w:sz="6"/>
              <w:left w:val="single" w:color="999999" w:sz="6"/>
              <w:bottom w:val="single" w:color="999999" w:sz="6"/>
              <w:right w:val="single" w:color="999999" w:sz="6"/>
            </w:tcBorders>
            <w:shd w:fill="D5E8F0"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Patients retained</w:t>
            </w:r>
          </w:p>
        </w:tc>
        <w:tc>
          <w:tcPr>
            <w:tcW w:type="dxa" w:w="3120"/>
            <w:tcBorders>
              <w:top w:val="single" w:color="999999" w:sz="6"/>
              <w:left w:val="single" w:color="999999" w:sz="6"/>
              <w:bottom w:val="single" w:color="999999" w:sz="6"/>
              <w:right w:val="single" w:color="999999" w:sz="6"/>
            </w:tcBorders>
            <w:shd w:fill="D5E8F0"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Patients excluded (this stage)</w:t>
            </w:r>
          </w:p>
        </w:tc>
      </w:tr>
      <w:tr>
        <w:tc>
          <w:tcPr>
            <w:tcW w:type="dxa" w:w="312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left"/>
            </w:pPr>
            <w:r>
              <w:rPr>
                <w:rFonts w:ascii="Times New Roman" w:cs="Times New Roman" w:eastAsia="Times New Roman" w:hAnsi="Times New Roman"/>
                <w:sz w:val="22"/>
                <w:szCs w:val="22"/>
              </w:rPr>
              <w:t xml:space="preserve">Stage 0 – source TotalSeg MRI v2.0</w:t>
            </w:r>
          </w:p>
        </w:tc>
        <w:tc>
          <w:tcPr>
            <w:tcW w:type="dxa" w:w="312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Times New Roman" w:cs="Times New Roman" w:eastAsia="Times New Roman" w:hAnsi="Times New Roman"/>
                <w:sz w:val="22"/>
                <w:szCs w:val="22"/>
              </w:rPr>
              <w:t xml:space="preserve">616</w:t>
            </w:r>
          </w:p>
        </w:tc>
        <w:tc>
          <w:tcPr>
            <w:tcW w:type="dxa" w:w="312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Times New Roman" w:cs="Times New Roman" w:eastAsia="Times New Roman" w:hAnsi="Times New Roman"/>
                <w:sz w:val="22"/>
                <w:szCs w:val="22"/>
              </w:rPr>
              <w:t xml:space="preserve">–</w:t>
            </w:r>
          </w:p>
        </w:tc>
      </w:tr>
      <w:tr>
        <w:tc>
          <w:tcPr>
            <w:tcW w:type="dxa" w:w="312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left"/>
            </w:pPr>
            <w:r>
              <w:rPr>
                <w:rFonts w:ascii="Times New Roman" w:cs="Times New Roman" w:eastAsia="Times New Roman" w:hAnsi="Times New Roman"/>
                <w:sz w:val="22"/>
                <w:szCs w:val="22"/>
              </w:rPr>
              <w:t xml:space="preserve">Stage 1a – ≥1 thoracic OAR file present</w:t>
            </w:r>
          </w:p>
        </w:tc>
        <w:tc>
          <w:tcPr>
            <w:tcW w:type="dxa" w:w="312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Times New Roman" w:cs="Times New Roman" w:eastAsia="Times New Roman" w:hAnsi="Times New Roman"/>
                <w:sz w:val="22"/>
                <w:szCs w:val="22"/>
              </w:rPr>
              <w:t xml:space="preserve">274 (44.5%)</w:t>
            </w:r>
          </w:p>
        </w:tc>
        <w:tc>
          <w:tcPr>
            <w:tcW w:type="dxa" w:w="312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Times New Roman" w:cs="Times New Roman" w:eastAsia="Times New Roman" w:hAnsi="Times New Roman"/>
                <w:sz w:val="22"/>
                <w:szCs w:val="22"/>
              </w:rPr>
              <w:t xml:space="preserve">342 (55.5%) – all thoracic files empty</w:t>
            </w:r>
          </w:p>
        </w:tc>
      </w:tr>
      <w:tr>
        <w:tc>
          <w:tcPr>
            <w:tcW w:type="dxa" w:w="312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left"/>
            </w:pPr>
            <w:r>
              <w:rPr>
                <w:rFonts w:ascii="Times New Roman" w:cs="Times New Roman" w:eastAsia="Times New Roman" w:hAnsi="Times New Roman"/>
                <w:sz w:val="22"/>
                <w:szCs w:val="22"/>
              </w:rPr>
              <w:t xml:space="preserve">Stage 1b – all 4 OAR with ≥10 vox</w:t>
            </w:r>
          </w:p>
        </w:tc>
        <w:tc>
          <w:tcPr>
            <w:tcW w:type="dxa" w:w="312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Times New Roman" w:cs="Times New Roman" w:eastAsia="Times New Roman" w:hAnsi="Times New Roman"/>
                <w:sz w:val="22"/>
                <w:szCs w:val="22"/>
              </w:rPr>
              <w:t xml:space="preserve">187 (30.4%)</w:t>
            </w:r>
          </w:p>
        </w:tc>
        <w:tc>
          <w:tcPr>
            <w:tcW w:type="dxa" w:w="312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Times New Roman" w:cs="Times New Roman" w:eastAsia="Times New Roman" w:hAnsi="Times New Roman"/>
                <w:sz w:val="22"/>
                <w:szCs w:val="22"/>
              </w:rPr>
              <w:t xml:space="preserve">87 (14.1%) – partial annotation</w:t>
            </w:r>
          </w:p>
        </w:tc>
      </w:tr>
      <w:tr>
        <w:tc>
          <w:tcPr>
            <w:tcW w:type="dxa" w:w="312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left"/>
            </w:pPr>
            <w:r>
              <w:rPr>
                <w:rFonts w:ascii="Times New Roman" w:cs="Times New Roman" w:eastAsia="Times New Roman" w:hAnsi="Times New Roman"/>
                <w:sz w:val="22"/>
                <w:szCs w:val="22"/>
              </w:rPr>
              <w:t xml:space="preserve">Stage 2 – clinical FOV / volumes</w:t>
            </w:r>
          </w:p>
        </w:tc>
        <w:tc>
          <w:tcPr>
            <w:tcW w:type="dxa" w:w="312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Times New Roman" w:cs="Times New Roman" w:eastAsia="Times New Roman" w:hAnsi="Times New Roman"/>
                <w:sz w:val="22"/>
                <w:szCs w:val="22"/>
              </w:rPr>
              <w:t xml:space="preserve">187 (30.4%) – example thresholds</w:t>
            </w:r>
          </w:p>
        </w:tc>
        <w:tc>
          <w:tcPr>
            <w:tcW w:type="dxa" w:w="312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Times New Roman" w:cs="Times New Roman" w:eastAsia="Times New Roman" w:hAnsi="Times New Roman"/>
                <w:sz w:val="22"/>
                <w:szCs w:val="22"/>
              </w:rPr>
              <w:t xml:space="preserve">0 with default thresholds</w:t>
            </w:r>
          </w:p>
        </w:tc>
      </w:tr>
    </w:tbl>
    <w:p>
      <w:pPr>
        <w:spacing w:after="120"/>
      </w:pPr>
      <w:r>
        <w:t xml:space="preserve"/>
      </w:r>
    </w:p>
    <w:p>
      <w:pPr>
        <w:spacing w:after="120" w:line="360"/>
        <w:jc w:val="both"/>
      </w:pPr>
      <w:r>
        <w:rPr>
          <w:rFonts w:ascii="Times New Roman" w:cs="Times New Roman" w:eastAsia="Times New Roman" w:hAnsi="Times New Roman"/>
          <w:sz w:val="24"/>
          <w:szCs w:val="24"/>
        </w:rPr>
        <w:t xml:space="preserve">If only file presence is used as inclusion criterion (typical default of presence-based scripts), the apparent training set retains all 616 patients but in fact contains 342 patients (55.5%) whose label is identically zero. With our previous baseline pipeline that did not verify voxel content, an apparent “clean” cohort of 303 patients passed the clinical filter but 258 of these (85.1%) had empty labels, causing the deep-learning training to issue thousands of MONAI RandCropByPosNegLabeld foreground=0 warnings per epoch and never depart from the random Dice baseline.</w:t>
      </w:r>
    </w:p>
    <w:p>
      <w:pPr>
        <w:spacing w:after="120" w:line="360"/>
        <w:jc w:val="both"/>
      </w:pPr>
      <w:r>
        <w:rPr>
          <w:rFonts w:ascii="Times New Roman" w:cs="Times New Roman" w:eastAsia="Times New Roman" w:hAnsi="Times New Roman"/>
          <w:sz w:val="24"/>
          <w:szCs w:val="24"/>
        </w:rPr>
        <w:t xml:space="preserve">The single line added to the preparation script (`if organ_data.sum() &lt; 10: continue`) is sufficient to recover a usable cohort of 187 patients with complete thoracic annotations, which is sized appropriately for a 5-fold cross-validation study (≈150 train / 37 validation per fold).</w:t>
      </w:r>
    </w:p>
    <w:p>
      <w:pPr>
        <w:pStyle w:val="Heading1"/>
        <w:spacing w:after="120" w:before="240"/>
      </w:pPr>
      <w:r>
        <w:rPr>
          <w:rFonts w:ascii="Times New Roman" w:cs="Times New Roman" w:eastAsia="Times New Roman" w:hAnsi="Times New Roman"/>
          <w:b/>
          <w:bCs/>
          <w:sz w:val="28"/>
          <w:szCs w:val="28"/>
        </w:rPr>
        <w:t xml:space="preserve">4. Discussion</w:t>
      </w:r>
    </w:p>
    <w:p>
      <w:pPr>
        <w:spacing w:after="120" w:line="360"/>
        <w:jc w:val="both"/>
      </w:pPr>
      <w:r>
        <w:rPr>
          <w:rFonts w:ascii="Times New Roman" w:cs="Times New Roman" w:eastAsia="Times New Roman" w:hAnsi="Times New Roman"/>
          <w:sz w:val="24"/>
          <w:szCs w:val="24"/>
        </w:rPr>
        <w:t xml:space="preserve">The issue we report is silent: it does not produce a Python exception, the dataset directory structure looks complete, and the file sizes are non-zero (the empty masks are stored as compressed NIfTI files whose on-disk size, around 17 kB, is consistent with sparse labels). Without an explicit voxel-content check, downstream segmentation pipelines will appear to train correctly while the network is in fact learning to predict an empty class, an outcome that is easy to miss when monitoring only loss curves.</w:t>
      </w:r>
    </w:p>
    <w:p>
      <w:pPr>
        <w:spacing w:after="120" w:line="360"/>
        <w:jc w:val="both"/>
      </w:pPr>
      <w:r>
        <w:rPr>
          <w:rFonts w:ascii="Times New Roman" w:cs="Times New Roman" w:eastAsia="Times New Roman" w:hAnsi="Times New Roman"/>
          <w:sz w:val="24"/>
          <w:szCs w:val="24"/>
        </w:rPr>
        <w:t xml:space="preserve">We hypothesise that the 342 examinations with empty thoracic OAR files correspond to patients whose acquisition field of view did not include the thorax (abdomen-only, pelvis-only or head-only series), but for which the segmentation pipeline of the original release still produced placeholder files for the entire 80-organ panel. This is consistent with the heterogeneity of body regions in the source MR collections described in the TotalSegmentator MRI publication [6].</w:t>
      </w:r>
    </w:p>
    <w:p>
      <w:pPr>
        <w:spacing w:after="120" w:line="360"/>
        <w:jc w:val="both"/>
      </w:pPr>
      <w:r>
        <w:rPr>
          <w:rFonts w:ascii="Times New Roman" w:cs="Times New Roman" w:eastAsia="Times New Roman" w:hAnsi="Times New Roman"/>
          <w:sz w:val="24"/>
          <w:szCs w:val="24"/>
        </w:rPr>
        <w:t xml:space="preserve">Our recommendation is general: users of any public multi-organ segmentation dataset should validate the actual content of each per-class file (sum &gt; 0, ideally above a small clinically motivated threshold) before training. We provide a reproducible two-stage pipeline that performs this check together with downstream clinical inclusion criteria appropriate for thoracic MRgRT applications, and we make the filter and the conversion script available under an open-source license.</w:t>
      </w:r>
    </w:p>
    <w:p>
      <w:pPr>
        <w:spacing w:after="120" w:line="360"/>
        <w:jc w:val="both"/>
      </w:pPr>
      <w:r>
        <w:rPr>
          <w:rFonts w:ascii="Times New Roman" w:cs="Times New Roman" w:eastAsia="Times New Roman" w:hAnsi="Times New Roman"/>
          <w:sz w:val="24"/>
          <w:szCs w:val="24"/>
        </w:rPr>
        <w:t xml:space="preserve">Limitations of this Letter are the focus on a single dataset release (v2.0.0) and on four thoracic OAR. Other body regions and other releases of TotalSegmentator MRI, as well as other public MR segmentation datasets, deserve a similar empirical audit.</w:t>
      </w:r>
    </w:p>
    <w:p>
      <w:pPr>
        <w:pStyle w:val="Heading1"/>
        <w:spacing w:after="120" w:before="240"/>
      </w:pPr>
      <w:r>
        <w:rPr>
          <w:rFonts w:ascii="Times New Roman" w:cs="Times New Roman" w:eastAsia="Times New Roman" w:hAnsi="Times New Roman"/>
          <w:b/>
          <w:bCs/>
          <w:sz w:val="28"/>
          <w:szCs w:val="28"/>
        </w:rPr>
        <w:t xml:space="preserve">5. Conclusion</w:t>
      </w:r>
    </w:p>
    <w:p>
      <w:pPr>
        <w:spacing w:after="120" w:line="360"/>
        <w:jc w:val="both"/>
      </w:pPr>
      <w:r>
        <w:rPr>
          <w:rFonts w:ascii="Times New Roman" w:cs="Times New Roman" w:eastAsia="Times New Roman" w:hAnsi="Times New Roman"/>
          <w:sz w:val="24"/>
          <w:szCs w:val="24"/>
        </w:rPr>
        <w:t xml:space="preserve">TotalSegmentator MRI v2.0 is a valuable resource for multi-organ MR segmentation, but a non-trivial fraction of patients carries empty per-organ files that silently pass presence-based filters. A simple voxel-content check restores the usable subset of 187 patients with complete thoracic OAR annotations, which is enough for a 5-fold cross-validation benchmark of modern segmentation architectures.</w:t>
      </w:r>
    </w:p>
    <w:p>
      <w:pPr>
        <w:pStyle w:val="Heading1"/>
        <w:spacing w:after="120" w:before="240"/>
      </w:pPr>
      <w:r>
        <w:rPr>
          <w:rFonts w:ascii="Times New Roman" w:cs="Times New Roman" w:eastAsia="Times New Roman" w:hAnsi="Times New Roman"/>
          <w:b/>
          <w:bCs/>
          <w:sz w:val="28"/>
          <w:szCs w:val="28"/>
        </w:rPr>
        <w:t xml:space="preserve">Acknowledgements</w:t>
      </w:r>
    </w:p>
    <w:p>
      <w:pPr>
        <w:spacing w:after="120" w:line="360"/>
        <w:jc w:val="both"/>
      </w:pPr>
      <w:r>
        <w:rPr>
          <w:rFonts w:ascii="Times New Roman" w:cs="Times New Roman" w:eastAsia="Times New Roman" w:hAnsi="Times New Roman"/>
          <w:sz w:val="24"/>
          <w:szCs w:val="24"/>
        </w:rPr>
        <w:t xml:space="preserve">[Funding source if any]. The authors thank the Mohammed Premier University and the MARWAN HPC team for computing resources, and the TotalSegmentator MRI team for making the dataset publicly available.</w:t>
      </w:r>
    </w:p>
    <w:p>
      <w:pPr>
        <w:pStyle w:val="Heading1"/>
        <w:spacing w:after="120" w:before="240"/>
      </w:pPr>
      <w:r>
        <w:rPr>
          <w:rFonts w:ascii="Times New Roman" w:cs="Times New Roman" w:eastAsia="Times New Roman" w:hAnsi="Times New Roman"/>
          <w:b/>
          <w:bCs/>
          <w:sz w:val="28"/>
          <w:szCs w:val="28"/>
        </w:rPr>
        <w:t xml:space="preserve">Data and code availability</w:t>
      </w:r>
    </w:p>
    <w:p>
      <w:pPr>
        <w:spacing w:after="120" w:line="360"/>
        <w:jc w:val="both"/>
      </w:pPr>
      <w:r>
        <w:rPr>
          <w:rFonts w:ascii="Times New Roman" w:cs="Times New Roman" w:eastAsia="Times New Roman" w:hAnsi="Times New Roman"/>
          <w:sz w:val="24"/>
          <w:szCs w:val="24"/>
        </w:rPr>
        <w:t xml:space="preserve">Source dataset: Zenodo DOI 10.5281/zenodo.14710732 (TotalSegmentator MRI v2.0.0). Pipeline source code: https://github.com/NSSIRI/mrgrt-seg. Filtered cohort metadata (CSV of 187 retained patients with per-organ volumes): supplementary material.</w:t>
      </w:r>
    </w:p>
    <w:p>
      <w:pPr>
        <w:pStyle w:val="Heading1"/>
        <w:spacing w:after="120" w:before="240"/>
      </w:pPr>
      <w:r>
        <w:rPr>
          <w:rFonts w:ascii="Times New Roman" w:cs="Times New Roman" w:eastAsia="Times New Roman" w:hAnsi="Times New Roman"/>
          <w:b/>
          <w:bCs/>
          <w:sz w:val="28"/>
          <w:szCs w:val="28"/>
        </w:rPr>
        <w:t xml:space="preserve">Conflict of interest statement</w:t>
      </w:r>
    </w:p>
    <w:p>
      <w:pPr>
        <w:spacing w:after="120" w:line="360"/>
        <w:jc w:val="both"/>
      </w:pPr>
      <w:r>
        <w:rPr>
          <w:rFonts w:ascii="Times New Roman" w:cs="Times New Roman" w:eastAsia="Times New Roman" w:hAnsi="Times New Roman"/>
          <w:sz w:val="24"/>
          <w:szCs w:val="24"/>
        </w:rPr>
        <w:t xml:space="preserve">The authors declare no competing interests.</w:t>
      </w:r>
    </w:p>
    <w:p>
      <w:pPr>
        <w:pStyle w:val="Heading1"/>
        <w:spacing w:after="120" w:before="240"/>
      </w:pPr>
      <w:r>
        <w:rPr>
          <w:rFonts w:ascii="Times New Roman" w:cs="Times New Roman" w:eastAsia="Times New Roman" w:hAnsi="Times New Roman"/>
          <w:b/>
          <w:bCs/>
          <w:sz w:val="28"/>
          <w:szCs w:val="28"/>
        </w:rPr>
        <w:t xml:space="preserve">References</w:t>
      </w:r>
    </w:p>
    <w:p>
      <w:pPr>
        <w:spacing w:after="60" w:line="300"/>
        <w:ind w:left="360" w:hanging="360"/>
        <w:jc w:val="both"/>
      </w:pPr>
      <w:r>
        <w:rPr>
          <w:rFonts w:ascii="Times New Roman" w:cs="Times New Roman" w:eastAsia="Times New Roman" w:hAnsi="Times New Roman"/>
          <w:sz w:val="22"/>
          <w:szCs w:val="22"/>
        </w:rPr>
        <w:t xml:space="preserve">1. Mutic S, Dempsey JF. The ViewRay system: magnetic resonance-guided and controlled radiotherapy. Semin Radiat Oncol. 2014;24(3):196-199.</w:t>
      </w:r>
    </w:p>
    <w:p>
      <w:pPr>
        <w:spacing w:after="60" w:line="300"/>
        <w:ind w:left="360" w:hanging="360"/>
        <w:jc w:val="both"/>
      </w:pPr>
      <w:r>
        <w:rPr>
          <w:rFonts w:ascii="Times New Roman" w:cs="Times New Roman" w:eastAsia="Times New Roman" w:hAnsi="Times New Roman"/>
          <w:sz w:val="22"/>
          <w:szCs w:val="22"/>
        </w:rPr>
        <w:t xml:space="preserve">2. Klüter S. Technical design and concept of a 0.35 T MR-Linac. Clin Transl Radiat Oncol. 2019;18:98-101.</w:t>
      </w:r>
    </w:p>
    <w:p>
      <w:pPr>
        <w:spacing w:after="60" w:line="300"/>
        <w:ind w:left="360" w:hanging="360"/>
        <w:jc w:val="both"/>
      </w:pPr>
      <w:r>
        <w:rPr>
          <w:rFonts w:ascii="Times New Roman" w:cs="Times New Roman" w:eastAsia="Times New Roman" w:hAnsi="Times New Roman"/>
          <w:sz w:val="22"/>
          <w:szCs w:val="22"/>
        </w:rPr>
        <w:t xml:space="preserve">3. Cusumano D, Boldrini L, Yadav P, et al. Artificial intelligence in magnetic resonance guided radiotherapy: medical and physical considerations on state of the art and future perspectives. Phys Med. 2021;85:175-191.</w:t>
      </w:r>
    </w:p>
    <w:p>
      <w:pPr>
        <w:spacing w:after="60" w:line="300"/>
        <w:ind w:left="360" w:hanging="360"/>
        <w:jc w:val="both"/>
      </w:pPr>
      <w:r>
        <w:rPr>
          <w:rFonts w:ascii="Times New Roman" w:cs="Times New Roman" w:eastAsia="Times New Roman" w:hAnsi="Times New Roman"/>
          <w:sz w:val="22"/>
          <w:szCs w:val="22"/>
        </w:rPr>
        <w:t xml:space="preserve">4. Kawula M, Vagni M, Cusumano D, et al. Patient-specific daily updated deep learning auto-segmentation for MRI-guided adaptive radiotherapy. Radiother Oncol. 2023;179:109437.</w:t>
      </w:r>
    </w:p>
    <w:p>
      <w:pPr>
        <w:spacing w:after="60" w:line="300"/>
        <w:ind w:left="360" w:hanging="360"/>
        <w:jc w:val="both"/>
      </w:pPr>
      <w:r>
        <w:rPr>
          <w:rFonts w:ascii="Times New Roman" w:cs="Times New Roman" w:eastAsia="Times New Roman" w:hAnsi="Times New Roman"/>
          <w:sz w:val="22"/>
          <w:szCs w:val="22"/>
        </w:rPr>
        <w:t xml:space="preserve">5. Friedrich F, Gunz S, Hofstetter M, et al. Deep learning based automatic segmentation of organs-at-risk for 0.35 T MRgRT of lung tumors. Radiat Oncol. 2023;18:127.</w:t>
      </w:r>
    </w:p>
    <w:p>
      <w:pPr>
        <w:spacing w:after="60" w:line="300"/>
        <w:ind w:left="360" w:hanging="360"/>
        <w:jc w:val="both"/>
      </w:pPr>
      <w:r>
        <w:rPr>
          <w:rFonts w:ascii="Times New Roman" w:cs="Times New Roman" w:eastAsia="Times New Roman" w:hAnsi="Times New Roman"/>
          <w:sz w:val="22"/>
          <w:szCs w:val="22"/>
        </w:rPr>
        <w:t xml:space="preserve">6. D'Antonoli TA, Berger LK, Indrakanti AK, et al. TotalSegmentator MRI: robust sequence-independent segmentation of multiple anatomic structures in MRI. Radiology. 2025;314(1):e241613. arXiv:2405.19492. Dataset: Zenodo DOI 10.5281/zenodo.14710732.</w:t>
      </w:r>
    </w:p>
    <w:p>
      <w:pPr>
        <w:spacing w:after="60" w:line="300"/>
        <w:ind w:left="360" w:hanging="360"/>
        <w:jc w:val="both"/>
      </w:pPr>
      <w:r>
        <w:rPr>
          <w:rFonts w:ascii="Times New Roman" w:cs="Times New Roman" w:eastAsia="Times New Roman" w:hAnsi="Times New Roman"/>
          <w:sz w:val="22"/>
          <w:szCs w:val="22"/>
        </w:rPr>
        <w:t xml:space="preserve">7. Wasserthal J, Breit H-C, Meyer MT, et al. TotalSegmentator: robust segmentation of 104 anatomic structures in CT images. Radiol Artif Intell. 2023;5(5):e230024.</w:t>
      </w:r>
    </w:p>
    <w:p>
      <w:pPr>
        <w:spacing w:after="60" w:line="300"/>
        <w:ind w:left="360" w:hanging="360"/>
        <w:jc w:val="both"/>
      </w:pPr>
      <w:r>
        <w:rPr>
          <w:rFonts w:ascii="Times New Roman" w:cs="Times New Roman" w:eastAsia="Times New Roman" w:hAnsi="Times New Roman"/>
          <w:sz w:val="22"/>
          <w:szCs w:val="22"/>
        </w:rPr>
        <w:t xml:space="preserve">8. Maier-Hein L, Reinke A, Godau P, et al. Metrics reloaded: recommendations for image analysis validation. Nat Methods. 2024;21:195-212.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Nssiri et al. – TotalSeg MRI v2 quality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TotalSegmentator MRI v2 quality control Letter</dc:title>
  <dc:creator>Abdelhalim Nssiri</dc:creator>
  <cp:lastModifiedBy>Un-named</cp:lastModifiedBy>
  <cp:revision>1</cp:revision>
  <dcterms:created xsi:type="dcterms:W3CDTF">2026-05-23T19:57:29.679Z</dcterms:created>
  <dcterms:modified xsi:type="dcterms:W3CDTF">2026-05-23T19:57:29.680Z</dcterms:modified>
</cp:coreProperties>
</file>

<file path=docProps/custom.xml><?xml version="1.0" encoding="utf-8"?>
<Properties xmlns="http://schemas.openxmlformats.org/officeDocument/2006/custom-properties" xmlns:vt="http://schemas.openxmlformats.org/officeDocument/2006/docPropsVTypes"/>
</file>