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p>
    <w:p>
      <w:pPr>
        <w:spacing w:line="360" w:lineRule="auto"/>
        <w:ind w:firstLine="480"/>
      </w:pPr>
    </w:p>
    <w:p>
      <w:pPr>
        <w:spacing w:line="360" w:lineRule="auto"/>
        <w:ind w:firstLine="0" w:firstLineChars="0"/>
      </w:pPr>
    </w:p>
    <w:p>
      <w:pPr>
        <w:spacing w:line="360" w:lineRule="auto"/>
        <w:ind w:firstLine="480"/>
      </w:pPr>
    </w:p>
    <w:p>
      <w:pPr>
        <w:pStyle w:val="45"/>
        <w:adjustRightInd w:val="0"/>
        <w:snapToGrid w:val="0"/>
        <w:spacing w:line="360" w:lineRule="auto"/>
      </w:pPr>
    </w:p>
    <w:p>
      <w:pPr>
        <w:pStyle w:val="45"/>
        <w:adjustRightInd w:val="0"/>
        <w:snapToGrid w:val="0"/>
        <w:spacing w:line="360" w:lineRule="auto"/>
      </w:pPr>
      <w:r>
        <w:rPr>
          <w:rFonts w:hint="eastAsia"/>
        </w:rPr>
        <w:t>线损智能分析</w:t>
      </w:r>
    </w:p>
    <w:p>
      <w:pPr>
        <w:pStyle w:val="45"/>
        <w:adjustRightInd w:val="0"/>
        <w:snapToGrid w:val="0"/>
        <w:spacing w:line="360" w:lineRule="auto"/>
      </w:pPr>
      <w:r>
        <w:rPr>
          <w:rFonts w:hint="eastAsia"/>
        </w:rPr>
        <w:t>建设方案</w:t>
      </w:r>
    </w:p>
    <w:p>
      <w:pPr>
        <w:pStyle w:val="45"/>
        <w:adjustRightInd w:val="0"/>
        <w:snapToGrid w:val="0"/>
        <w:spacing w:line="360" w:lineRule="auto"/>
      </w:pPr>
    </w:p>
    <w:p>
      <w:pPr>
        <w:spacing w:line="360" w:lineRule="auto"/>
        <w:ind w:firstLine="480"/>
      </w:pPr>
    </w:p>
    <w:p>
      <w:pPr>
        <w:pStyle w:val="46"/>
        <w:adjustRightInd w:val="0"/>
        <w:snapToGrid w:val="0"/>
        <w:spacing w:line="360" w:lineRule="auto"/>
      </w:pPr>
    </w:p>
    <w:p>
      <w:pPr>
        <w:spacing w:line="360" w:lineRule="auto"/>
        <w:ind w:firstLine="480"/>
      </w:pPr>
    </w:p>
    <w:p>
      <w:pPr>
        <w:spacing w:line="360" w:lineRule="auto"/>
        <w:ind w:firstLine="0" w:firstLineChars="0"/>
      </w:pPr>
    </w:p>
    <w:p>
      <w:pPr>
        <w:spacing w:line="360" w:lineRule="auto"/>
        <w:ind w:firstLine="0" w:firstLineChars="0"/>
      </w:pPr>
    </w:p>
    <w:p>
      <w:pPr>
        <w:spacing w:line="360" w:lineRule="auto"/>
        <w:ind w:firstLine="0" w:firstLineChars="0"/>
      </w:pPr>
    </w:p>
    <w:p>
      <w:pPr>
        <w:spacing w:line="360" w:lineRule="auto"/>
        <w:ind w:firstLine="0" w:firstLineChars="0"/>
      </w:pPr>
    </w:p>
    <w:p>
      <w:pPr>
        <w:spacing w:line="360" w:lineRule="auto"/>
        <w:ind w:firstLine="0" w:firstLineChars="0"/>
      </w:pPr>
    </w:p>
    <w:p>
      <w:pPr>
        <w:spacing w:line="360" w:lineRule="auto"/>
        <w:ind w:firstLine="0" w:firstLineChars="0"/>
      </w:pPr>
    </w:p>
    <w:p>
      <w:pPr>
        <w:pStyle w:val="48"/>
        <w:adjustRightInd w:val="0"/>
        <w:snapToGrid w:val="0"/>
        <w:spacing w:line="360" w:lineRule="auto"/>
        <w:rPr>
          <w:rFonts w:ascii="黑体" w:hAnsi="黑体" w:eastAsia="黑体"/>
          <w:spacing w:val="60"/>
          <w:sz w:val="30"/>
          <w:szCs w:val="30"/>
        </w:rPr>
      </w:pPr>
      <w:r>
        <w:rPr>
          <w:rFonts w:hint="eastAsia" w:ascii="黑体" w:hAnsi="黑体" w:eastAsia="黑体"/>
          <w:spacing w:val="60"/>
          <w:sz w:val="30"/>
          <w:szCs w:val="30"/>
        </w:rPr>
        <w:t>青岛鼎信通讯股份有限公司</w:t>
      </w:r>
    </w:p>
    <w:p>
      <w:pPr>
        <w:pStyle w:val="48"/>
        <w:adjustRightInd w:val="0"/>
        <w:snapToGrid w:val="0"/>
        <w:spacing w:line="360" w:lineRule="auto"/>
        <w:rPr>
          <w:rFonts w:ascii="黑体" w:hAnsi="黑体" w:eastAsia="黑体"/>
          <w:sz w:val="30"/>
          <w:szCs w:val="30"/>
        </w:rPr>
      </w:pPr>
      <w:r>
        <w:rPr>
          <w:rFonts w:hint="eastAsia" w:ascii="黑体" w:hAnsi="黑体" w:eastAsia="黑体"/>
          <w:sz w:val="30"/>
          <w:szCs w:val="30"/>
        </w:rPr>
        <w:t>20</w:t>
      </w:r>
      <w:r>
        <w:rPr>
          <w:rFonts w:ascii="黑体" w:hAnsi="黑体" w:eastAsia="黑体"/>
          <w:sz w:val="30"/>
          <w:szCs w:val="30"/>
        </w:rPr>
        <w:t>2</w:t>
      </w:r>
      <w:r>
        <w:rPr>
          <w:rFonts w:hint="eastAsia" w:ascii="黑体" w:hAnsi="黑体" w:eastAsia="黑体"/>
          <w:sz w:val="30"/>
          <w:szCs w:val="30"/>
        </w:rPr>
        <w:t>3年9月</w:t>
      </w:r>
    </w:p>
    <w:p>
      <w:pPr>
        <w:pStyle w:val="56"/>
        <w:spacing w:line="360" w:lineRule="auto"/>
        <w:sectPr>
          <w:headerReference r:id="rId7" w:type="first"/>
          <w:footerReference r:id="rId10" w:type="first"/>
          <w:headerReference r:id="rId5" w:type="default"/>
          <w:footerReference r:id="rId8" w:type="default"/>
          <w:headerReference r:id="rId6" w:type="even"/>
          <w:footerReference r:id="rId9" w:type="even"/>
          <w:pgSz w:w="11906" w:h="16838"/>
          <w:pgMar w:top="1701" w:right="1134" w:bottom="1418" w:left="1474" w:header="851" w:footer="964" w:gutter="0"/>
          <w:pgNumType w:fmt="lowerRoman" w:start="1"/>
          <w:cols w:space="425" w:num="1"/>
          <w:docGrid w:type="lines" w:linePitch="312" w:charSpace="0"/>
        </w:sectPr>
      </w:pPr>
    </w:p>
    <w:p>
      <w:pPr>
        <w:pStyle w:val="2"/>
        <w:numPr>
          <w:ilvl w:val="0"/>
          <w:numId w:val="0"/>
        </w:numPr>
        <w:ind w:left="-1"/>
        <w:rPr>
          <w:rFonts w:hint="default" w:eastAsia="宋体"/>
          <w:lang w:val="en-US" w:eastAsia="zh-CN"/>
        </w:rPr>
      </w:pPr>
      <w:bookmarkStart w:id="0" w:name="_Toc54603354"/>
      <w:r>
        <w:rPr>
          <w:rFonts w:hint="eastAsia"/>
        </w:rPr>
        <w:t>1、建设思路</w:t>
      </w:r>
      <w:bookmarkEnd w:id="0"/>
      <w:r>
        <w:rPr>
          <w:rFonts w:hint="eastAsia"/>
          <w:lang w:eastAsia="zh-CN"/>
        </w:rPr>
        <w:t>，</w:t>
      </w:r>
      <w:r>
        <w:rPr>
          <w:rFonts w:hint="eastAsia"/>
          <w:lang w:val="en-US" w:eastAsia="zh-CN"/>
        </w:rPr>
        <w:t>目标70%</w:t>
      </w:r>
    </w:p>
    <w:p>
      <w:pPr>
        <w:pStyle w:val="3"/>
        <w:numPr>
          <w:ilvl w:val="1"/>
          <w:numId w:val="0"/>
        </w:numPr>
        <w:tabs>
          <w:tab w:val="clear" w:pos="576"/>
        </w:tabs>
        <w:spacing w:line="360" w:lineRule="auto"/>
        <w:ind w:left="-5" w:leftChars="-2" w:firstLine="3" w:firstLineChars="1"/>
      </w:pPr>
      <w:r>
        <w:rPr>
          <w:rFonts w:hint="eastAsia"/>
        </w:rPr>
        <w:t>1.1整体思路</w:t>
      </w:r>
    </w:p>
    <w:p>
      <w:pPr>
        <w:spacing w:line="360" w:lineRule="auto"/>
        <w:ind w:firstLine="482"/>
      </w:pPr>
      <w:r>
        <w:rPr>
          <w:rFonts w:hint="eastAsia"/>
          <w:b/>
          <w:bCs/>
        </w:rPr>
        <w:t>1、整体思路：</w:t>
      </w:r>
      <w:r>
        <w:rPr>
          <w:rFonts w:hint="eastAsia"/>
        </w:rPr>
        <w:t>系统以全面解决线损问题为导向，以线损率异常监测为抓手，充分应用各源系统海量数据积累，不断减少人工模型配置、强化异常监测及研判分析、推进问题闭环治理，研究基于“闭环治理”、“全面监测”、“深度研判”的线损治理三体系构建方法，构建全新的线损诊治工作模式，深化线损异常智能诊断，自动定位线损异常成因，闭环线损治理过程，全面推进线损数字化转型</w:t>
      </w:r>
      <w:r>
        <w:rPr>
          <w:rFonts w:hint="eastAsia"/>
          <w:lang w:eastAsia="zh-CN"/>
        </w:rPr>
        <w:t>（</w:t>
      </w:r>
      <w:r>
        <w:rPr>
          <w:rFonts w:hint="eastAsia"/>
          <w:highlight w:val="yellow"/>
          <w:lang w:val="en-US" w:eastAsia="zh-CN"/>
        </w:rPr>
        <w:t>台区、10kV线损</w:t>
      </w:r>
      <w:r>
        <w:rPr>
          <w:rFonts w:hint="eastAsia"/>
          <w:lang w:eastAsia="zh-CN"/>
        </w:rPr>
        <w:t>）</w:t>
      </w:r>
      <w:r>
        <w:rPr>
          <w:rFonts w:hint="eastAsia"/>
        </w:rPr>
        <w:t>。</w:t>
      </w:r>
    </w:p>
    <w:p>
      <w:pPr>
        <w:spacing w:line="360" w:lineRule="auto"/>
        <w:ind w:firstLine="0" w:firstLineChars="0"/>
      </w:pPr>
      <w:r>
        <w:drawing>
          <wp:inline distT="0" distB="0" distL="0" distR="0">
            <wp:extent cx="5904230" cy="2531110"/>
            <wp:effectExtent l="0" t="0" r="1270" b="2540"/>
            <wp:docPr id="562939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9716" name="图片 1"/>
                    <pic:cNvPicPr>
                      <a:picLocks noChangeAspect="1"/>
                    </pic:cNvPicPr>
                  </pic:nvPicPr>
                  <pic:blipFill>
                    <a:blip r:embed="rId13"/>
                    <a:stretch>
                      <a:fillRect/>
                    </a:stretch>
                  </pic:blipFill>
                  <pic:spPr>
                    <a:xfrm>
                      <a:off x="0" y="0"/>
                      <a:ext cx="5904230" cy="2531110"/>
                    </a:xfrm>
                    <a:prstGeom prst="rect">
                      <a:avLst/>
                    </a:prstGeom>
                  </pic:spPr>
                </pic:pic>
              </a:graphicData>
            </a:graphic>
          </wp:inline>
        </w:drawing>
      </w:r>
    </w:p>
    <w:p>
      <w:pPr>
        <w:spacing w:line="360" w:lineRule="auto"/>
        <w:ind w:firstLine="480"/>
      </w:pPr>
      <w:r>
        <w:rPr>
          <w:rFonts w:hint="eastAsia"/>
        </w:rPr>
        <w:t>（1）</w:t>
      </w:r>
      <w:r>
        <w:rPr>
          <w:rFonts w:hint="eastAsia"/>
          <w:b/>
          <w:bCs/>
        </w:rPr>
        <w:t>构建线损闭环治理体系</w:t>
      </w:r>
      <w:r>
        <w:rPr>
          <w:rFonts w:hint="eastAsia"/>
        </w:rPr>
        <w:t>：构建“一屏掌握-一键智判-云边融合-跟踪治理”的闭环治理体系。</w:t>
      </w:r>
    </w:p>
    <w:p>
      <w:pPr>
        <w:spacing w:line="360" w:lineRule="auto"/>
        <w:ind w:firstLine="480"/>
      </w:pPr>
      <w:r>
        <w:rPr>
          <w:rFonts w:hint="eastAsia"/>
        </w:rPr>
        <w:t>（2）</w:t>
      </w:r>
      <w:r>
        <w:rPr>
          <w:rFonts w:hint="eastAsia"/>
          <w:b/>
          <w:bCs/>
        </w:rPr>
        <w:t>构建异常全面监测体系</w:t>
      </w:r>
      <w:r>
        <w:rPr>
          <w:rFonts w:hint="eastAsia"/>
        </w:rPr>
        <w:t>：在基础线损指标监测基础上，强化设备实物-关口计量-线损模型逐一匹配，挖掘数据价值，构建各环节线损画像，不断丰富智能异常监测方法，灵敏捕捉高损、负损、异常波动情况，建立持续、间歇、突发等分级分类策略，构建“特殊线损模型识别、月/周度目标值、异动预警”等监测机制开展差异化管控、精细化挖掘。</w:t>
      </w:r>
    </w:p>
    <w:p>
      <w:pPr>
        <w:spacing w:line="360" w:lineRule="auto"/>
        <w:ind w:firstLine="480"/>
      </w:pPr>
      <w:r>
        <w:rPr>
          <w:rFonts w:hint="eastAsia"/>
        </w:rPr>
        <w:t>（3）</w:t>
      </w:r>
      <w:r>
        <w:rPr>
          <w:rFonts w:hint="eastAsia"/>
          <w:b/>
          <w:bCs/>
        </w:rPr>
        <w:t>构建成因深度研判体系</w:t>
      </w:r>
      <w:r>
        <w:rPr>
          <w:rFonts w:hint="eastAsia"/>
        </w:rPr>
        <w:t>：依据线损治理原理及实际治理经验，总结40余类线损异常影响因素的分类及识别算法，通过“异常归类-算法梳理-验证应用-优化补充”的模式，持续丰富线损异常智能诊断算法、对算法进行补充优化，完善算法库；同时利用电能表超差预警数据、实时召测数据多重验证线损成因，提升线损研判准确率。</w:t>
      </w:r>
    </w:p>
    <w:p>
      <w:pPr>
        <w:pStyle w:val="99"/>
        <w:numPr>
          <w:ilvl w:val="0"/>
          <w:numId w:val="9"/>
        </w:numPr>
        <w:spacing w:line="360" w:lineRule="auto"/>
        <w:ind w:firstLineChars="0"/>
        <w:rPr>
          <w:rFonts w:hint="eastAsia"/>
        </w:rPr>
      </w:pPr>
      <w:r>
        <w:rPr>
          <w:rFonts w:hint="eastAsia"/>
          <w:b/>
          <w:bCs/>
        </w:rPr>
        <w:t>方案亮点：</w:t>
      </w:r>
    </w:p>
    <w:p>
      <w:pPr>
        <w:spacing w:line="360" w:lineRule="auto"/>
        <w:ind w:firstLine="480"/>
      </w:pPr>
      <w:r>
        <w:rPr>
          <w:rFonts w:hint="eastAsia"/>
        </w:rPr>
        <w:t>（1）研判算法模型全：研判逻辑充分考量线损业务异常影响因素，利用大数据分析应用判定问题类型，锁定异常客户，指导现场有目标的开展排查，不用再像以前那样大海捞针，拉网式排查，使线损治理变得更快捷、更高效。</w:t>
      </w:r>
    </w:p>
    <w:p>
      <w:pPr>
        <w:spacing w:line="360" w:lineRule="auto"/>
        <w:ind w:firstLine="480"/>
      </w:pPr>
      <w:r>
        <w:rPr>
          <w:rFonts w:hint="eastAsia"/>
        </w:rPr>
        <w:t>（2）闭环治理体系完善：靶向式治疗异常台区，治理链路全环节跟踪，确保线损率治理达标；线损驾驶舱使用“一键研判，一图掌握”（交互归一化）的模式，简约化管理，大幅缩减人工层层分析、抽丝剥茧般的判断故障的时间（传统分析治理需要通过计量自动化系统、营销系统等源端系统查询、电量分析比对、人员现场核查等一系列动作逐一核查，费时费力），并提供异常治理详细步骤。</w:t>
      </w:r>
    </w:p>
    <w:p>
      <w:pPr>
        <w:spacing w:line="360" w:lineRule="auto"/>
        <w:ind w:firstLine="480"/>
      </w:pPr>
      <w:r>
        <w:rPr>
          <w:rFonts w:hint="eastAsia"/>
        </w:rPr>
        <w:t>（3）异常监测识别覆盖率及准确率高：基于精细化线损异常挖掘的异常识别机制识别手段多样、识别算法准确；同时与各系统异常预警信息联动，监测计量自动化系统报的计量、通讯等异常、能源互联网报的分段线损等异常、电能表超差系统报的电表失准异常、对异常直接定位相关问题源头，进行线损的二次分析检测，进行深度预警。</w:t>
      </w:r>
    </w:p>
    <w:p>
      <w:pPr>
        <w:spacing w:line="360" w:lineRule="auto"/>
        <w:ind w:firstLine="480"/>
      </w:pPr>
      <w:r>
        <w:rPr>
          <w:rFonts w:hint="eastAsia"/>
        </w:rPr>
        <w:t>（4）双重及联动验证：对于研判识别的告警情况调取各数据源系统相关数据（如电能表超差异常预警信息、k值相关性分析数据、拓扑数据、分段线损数据，用户开表盖事件、电流电压等数据、零度户信息、反向电量信息等），确保研判结果的置信度；同时辅助能域图、时域图、K值相关性分析等分析工具更加直观展示异常问题。</w:t>
      </w:r>
    </w:p>
    <w:p>
      <w:pPr>
        <w:spacing w:line="360" w:lineRule="auto"/>
        <w:ind w:firstLine="480"/>
      </w:pPr>
      <w:r>
        <w:rPr>
          <w:rFonts w:hint="eastAsia"/>
        </w:rPr>
        <w:t>（5）异常原因分级定位：依据研判结果进行异常类型的大小类区分（如用户侧用电问题的疑似窃电用户）并按照严重程度告警，并针对性的提供治理后带来的收益预测，方便操作人员安排治理工作顺序</w:t>
      </w:r>
    </w:p>
    <w:p>
      <w:pPr>
        <w:spacing w:line="360" w:lineRule="auto"/>
        <w:ind w:firstLine="480"/>
      </w:pPr>
      <w:r>
        <w:rPr>
          <w:rFonts w:hint="eastAsia"/>
        </w:rPr>
        <w:t>（6）线路/台区画像，依据线损模型内的基本信息，输入输出、表底电量、信息完整程度等信息（线损相关）合并展示并进行线路/台区画像的建立，便于及时了解线路/台区信息概况。</w:t>
      </w:r>
    </w:p>
    <w:p>
      <w:pPr>
        <w:spacing w:line="360" w:lineRule="auto"/>
        <w:ind w:firstLine="480"/>
        <w:rPr>
          <w:rFonts w:hint="eastAsia"/>
        </w:rPr>
      </w:pPr>
    </w:p>
    <w:p>
      <w:pPr>
        <w:pStyle w:val="3"/>
        <w:numPr>
          <w:ilvl w:val="1"/>
          <w:numId w:val="0"/>
        </w:numPr>
        <w:tabs>
          <w:tab w:val="clear" w:pos="576"/>
        </w:tabs>
        <w:spacing w:line="360" w:lineRule="auto"/>
        <w:ind w:left="-5" w:leftChars="-2" w:firstLine="3" w:firstLineChars="1"/>
      </w:pPr>
      <w:r>
        <w:rPr>
          <w:rFonts w:hint="eastAsia"/>
        </w:rPr>
        <w:t>1.2建设内容</w:t>
      </w:r>
    </w:p>
    <w:p>
      <w:pPr>
        <w:pStyle w:val="99"/>
        <w:keepNext/>
        <w:keepLines/>
        <w:numPr>
          <w:ilvl w:val="0"/>
          <w:numId w:val="3"/>
        </w:numPr>
        <w:tabs>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rPr>
      </w:pPr>
    </w:p>
    <w:p>
      <w:pPr>
        <w:pStyle w:val="99"/>
        <w:keepNext/>
        <w:keepLines/>
        <w:numPr>
          <w:ilvl w:val="1"/>
          <w:numId w:val="3"/>
        </w:numPr>
        <w:tabs>
          <w:tab w:val="left" w:pos="432"/>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rPr>
      </w:pPr>
    </w:p>
    <w:p>
      <w:pPr>
        <w:pStyle w:val="99"/>
        <w:keepNext/>
        <w:keepLines/>
        <w:numPr>
          <w:ilvl w:val="1"/>
          <w:numId w:val="3"/>
        </w:numPr>
        <w:tabs>
          <w:tab w:val="left" w:pos="432"/>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rPr>
      </w:pPr>
    </w:p>
    <w:p>
      <w:pPr>
        <w:pStyle w:val="4"/>
        <w:spacing w:line="360" w:lineRule="auto"/>
      </w:pPr>
      <w:r>
        <w:rPr>
          <w:rFonts w:hint="eastAsia"/>
          <w:lang w:val="en-US" w:eastAsia="zh-CN"/>
        </w:rPr>
        <w:t>线损</w:t>
      </w:r>
      <w:r>
        <w:rPr>
          <w:rFonts w:hint="eastAsia"/>
        </w:rPr>
        <w:t>异常识别</w:t>
      </w:r>
    </w:p>
    <w:p>
      <w:pPr>
        <w:spacing w:line="360" w:lineRule="auto"/>
        <w:ind w:firstLine="480"/>
      </w:pPr>
      <w:r>
        <w:rPr>
          <w:rFonts w:hint="eastAsia"/>
        </w:rPr>
        <w:t>系统充分考量线损异常特征，以“线损率指标+波动监测”的模式构建线损异常识别机制，可挖掘的异常类型主要有持续高损、持续负损、风险告警（线损波动异常）、月/周度监测预警等。</w:t>
      </w:r>
    </w:p>
    <w:p>
      <w:pPr>
        <w:spacing w:line="360" w:lineRule="auto"/>
        <w:ind w:firstLine="0" w:firstLineChars="0"/>
      </w:pPr>
      <w:r>
        <w:drawing>
          <wp:inline distT="0" distB="0" distL="114300" distR="114300">
            <wp:extent cx="5903595" cy="2783840"/>
            <wp:effectExtent l="0" t="0" r="9525" b="50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4"/>
                    <a:stretch>
                      <a:fillRect/>
                    </a:stretch>
                  </pic:blipFill>
                  <pic:spPr>
                    <a:xfrm>
                      <a:off x="0" y="0"/>
                      <a:ext cx="5903595" cy="2783840"/>
                    </a:xfrm>
                    <a:prstGeom prst="rect">
                      <a:avLst/>
                    </a:prstGeom>
                    <a:noFill/>
                    <a:ln>
                      <a:noFill/>
                    </a:ln>
                  </pic:spPr>
                </pic:pic>
              </a:graphicData>
            </a:graphic>
          </wp:inline>
        </w:drawing>
      </w:r>
    </w:p>
    <w:p>
      <w:pPr>
        <w:pStyle w:val="5"/>
        <w:numPr>
          <w:ilvl w:val="0"/>
          <w:numId w:val="0"/>
        </w:numPr>
        <w:ind w:left="420"/>
      </w:pPr>
      <w:r>
        <w:rPr>
          <w:rFonts w:hint="eastAsia"/>
        </w:rPr>
        <w:t>1.</w:t>
      </w:r>
      <w:r>
        <w:t>2</w:t>
      </w:r>
      <w:r>
        <w:rPr>
          <w:rFonts w:hint="eastAsia"/>
        </w:rPr>
        <w:t>.</w:t>
      </w:r>
      <w:r>
        <w:t>1</w:t>
      </w:r>
      <w:r>
        <w:rPr>
          <w:rFonts w:hint="eastAsia"/>
        </w:rPr>
        <w:t>.</w:t>
      </w:r>
      <w:r>
        <w:t>1</w:t>
      </w:r>
      <w:r>
        <w:rPr>
          <w:rFonts w:hint="eastAsia"/>
        </w:rPr>
        <w:t>常规监测：</w:t>
      </w:r>
    </w:p>
    <w:p>
      <w:pPr>
        <w:spacing w:line="360" w:lineRule="auto"/>
        <w:ind w:firstLine="480"/>
      </w:pPr>
      <w:r>
        <w:rPr>
          <w:rFonts w:hint="eastAsia"/>
        </w:rPr>
        <w:t>依据线损模型计算线损率，根据设定的线损率达标阈值（-2%-8%可定制化调整）识别异常，并持续监测累计异常超过设定天数，则判别为持续线损异常。</w:t>
      </w:r>
    </w:p>
    <w:p>
      <w:pPr>
        <w:pStyle w:val="5"/>
        <w:numPr>
          <w:ilvl w:val="0"/>
          <w:numId w:val="0"/>
        </w:numPr>
        <w:ind w:left="420"/>
      </w:pPr>
      <w:r>
        <w:rPr>
          <w:rFonts w:hint="eastAsia"/>
        </w:rPr>
        <w:t>1.</w:t>
      </w:r>
      <w:r>
        <w:t>2</w:t>
      </w:r>
      <w:r>
        <w:rPr>
          <w:rFonts w:hint="eastAsia"/>
        </w:rPr>
        <w:t>.</w:t>
      </w:r>
      <w:r>
        <w:t>1</w:t>
      </w:r>
      <w:r>
        <w:rPr>
          <w:rFonts w:hint="eastAsia"/>
        </w:rPr>
        <w:t>.</w:t>
      </w:r>
      <w:r>
        <w:t>2</w:t>
      </w:r>
      <w:r>
        <w:rPr>
          <w:rFonts w:hint="eastAsia"/>
        </w:rPr>
        <w:t>精细化异常预警监测：</w:t>
      </w:r>
    </w:p>
    <w:p>
      <w:pPr>
        <w:spacing w:line="360" w:lineRule="auto"/>
        <w:ind w:firstLine="480"/>
      </w:pPr>
      <w:r>
        <w:rPr>
          <w:rFonts w:hint="eastAsia"/>
        </w:rPr>
        <w:t>随着线损管理的精益化程度要求越来越高，原有线损率“一刀切” 的评价方式相对较为粗放，同时，现有线损率计算主要基于单一的供售电量数据，暂未充分考虑物理拓扑复杂、异常源头多样、区域环境差异等方面因素，与线损精益化管理的要求还是存在一定差距，发现常规线损异常监测情况，某线路线损不高，并且损失电量不大，精细化异常挖掘机制没有时，这种问题就会被略过，但是随着精细化降损闭环的监测，这种跑冒滴漏、计量失压等不易察觉的问题就会被挖掘出来，助力线损指标的不断提升。</w:t>
      </w:r>
    </w:p>
    <w:p>
      <w:pPr>
        <w:spacing w:line="360" w:lineRule="auto"/>
        <w:ind w:firstLine="480"/>
      </w:pPr>
      <w:r>
        <w:rPr>
          <w:rFonts w:hint="eastAsia"/>
        </w:rPr>
        <w:t>① 经济运行监测机制：考虑多因素耦合的线损场景，开展经济运行监测机制，根据台区/线路日常运行数据计算经济运行阈值，当台区/线路处于非经济运行状况时进行异常预警并持续监测。</w:t>
      </w:r>
    </w:p>
    <w:p>
      <w:pPr>
        <w:spacing w:line="360" w:lineRule="auto"/>
        <w:ind w:firstLine="480"/>
      </w:pPr>
      <w:r>
        <w:rPr>
          <w:rFonts w:hint="eastAsia"/>
        </w:rPr>
        <w:t>② 月/周度监测机制：依据线损治理要求，不同地区/类型的台区/线路（城网、农网、山区等）设置月度目标值，有计划性的提升线损指标。</w:t>
      </w:r>
    </w:p>
    <w:p>
      <w:pPr>
        <w:pStyle w:val="5"/>
        <w:numPr>
          <w:ilvl w:val="0"/>
          <w:numId w:val="0"/>
        </w:numPr>
        <w:ind w:left="420"/>
      </w:pPr>
      <w:r>
        <w:rPr>
          <w:rFonts w:hint="eastAsia"/>
        </w:rPr>
        <w:t>1.</w:t>
      </w:r>
      <w:r>
        <w:t>2</w:t>
      </w:r>
      <w:r>
        <w:rPr>
          <w:rFonts w:hint="eastAsia"/>
        </w:rPr>
        <w:t>.</w:t>
      </w:r>
      <w:r>
        <w:t>1</w:t>
      </w:r>
      <w:r>
        <w:rPr>
          <w:rFonts w:hint="eastAsia"/>
        </w:rPr>
        <w:t>.</w:t>
      </w:r>
      <w:r>
        <w:t>3</w:t>
      </w:r>
      <w:r>
        <w:rPr>
          <w:rFonts w:hint="eastAsia"/>
        </w:rPr>
        <w:t>特殊线损模型识别：</w:t>
      </w:r>
    </w:p>
    <w:p>
      <w:pPr>
        <w:spacing w:line="360" w:lineRule="auto"/>
        <w:ind w:firstLine="480"/>
      </w:pPr>
      <w:r>
        <w:rPr>
          <w:rFonts w:hint="eastAsia"/>
        </w:rPr>
        <w:t>① 黑名单：针对长期线损率高、处理效果不理想等台区/线路加入黑名单重点关注、系统持续监测各算法模型研判所需数据，挖掘可能的异常因素、同时开展专家分析，各线损业务专家针对黑名单具体场景进行分析，给出治理意见，加快黑户台区/线路线损治理达标。</w:t>
      </w:r>
    </w:p>
    <w:p>
      <w:pPr>
        <w:spacing w:line="360" w:lineRule="auto"/>
        <w:ind w:firstLine="480"/>
      </w:pPr>
      <w:r>
        <w:rPr>
          <w:rFonts w:hint="eastAsia"/>
        </w:rPr>
        <w:t>② 白名单：针对新上小区、无线变关系的配电线路等不具备计算线损条件或特殊问题导致无法计算线损的线路/台区、零售台区、专变公用、单用户台区公变专用、零供零售台区、办公用电等场景，该线路/台区可配置加入白名单（并设置时效），不做为异常预警的监测目标，避免发生无用功或治理资源浪费的情况。</w:t>
      </w:r>
    </w:p>
    <w:p>
      <w:pPr>
        <w:spacing w:line="360" w:lineRule="auto"/>
        <w:ind w:firstLine="480"/>
      </w:pPr>
      <w:r>
        <w:rPr>
          <w:rFonts w:hint="eastAsia"/>
        </w:rPr>
        <w:t>③ 特殊线损率：</w:t>
      </w:r>
    </w:p>
    <w:p>
      <w:pPr>
        <w:spacing w:line="360" w:lineRule="auto"/>
        <w:ind w:firstLine="480"/>
      </w:pPr>
      <w:r>
        <w:rPr>
          <w:rFonts w:hint="eastAsia"/>
        </w:rPr>
        <w:t>利用特殊线损率快速定位异常原因大类，从而简化可能的参与算法，提高运算速度。</w:t>
      </w:r>
    </w:p>
    <w:tbl>
      <w:tblPr>
        <w:tblStyle w:val="31"/>
        <w:tblW w:w="8788" w:type="dxa"/>
        <w:tblInd w:w="421" w:type="dxa"/>
        <w:tblLayout w:type="autofit"/>
        <w:tblCellMar>
          <w:top w:w="0" w:type="dxa"/>
          <w:left w:w="108" w:type="dxa"/>
          <w:bottom w:w="0" w:type="dxa"/>
          <w:right w:w="108" w:type="dxa"/>
        </w:tblCellMar>
      </w:tblPr>
      <w:tblGrid>
        <w:gridCol w:w="1984"/>
        <w:gridCol w:w="1418"/>
        <w:gridCol w:w="5386"/>
      </w:tblGrid>
      <w:tr>
        <w:tblPrEx>
          <w:tblCellMar>
            <w:top w:w="0" w:type="dxa"/>
            <w:left w:w="108" w:type="dxa"/>
            <w:bottom w:w="0" w:type="dxa"/>
            <w:right w:w="108" w:type="dxa"/>
          </w:tblCellMar>
        </w:tblPrEx>
        <w:trPr>
          <w:trHeight w:val="288" w:hRule="atLeast"/>
        </w:trPr>
        <w:tc>
          <w:tcPr>
            <w:tcW w:w="198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cs="宋体"/>
                <w:color w:val="000000"/>
                <w:kern w:val="0"/>
                <w:sz w:val="22"/>
                <w:szCs w:val="22"/>
              </w:rPr>
            </w:pPr>
            <w:r>
              <w:rPr>
                <w:rFonts w:hint="eastAsia" w:ascii="宋体" w:hAnsi="宋体" w:cs="宋体"/>
                <w:color w:val="000000"/>
                <w:kern w:val="0"/>
                <w:sz w:val="22"/>
                <w:szCs w:val="22"/>
              </w:rPr>
              <w:t>线损类型</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线损率</w:t>
            </w:r>
          </w:p>
        </w:tc>
        <w:tc>
          <w:tcPr>
            <w:tcW w:w="53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线损率释义</w:t>
            </w:r>
          </w:p>
        </w:tc>
      </w:tr>
      <w:tr>
        <w:tblPrEx>
          <w:tblCellMar>
            <w:top w:w="0" w:type="dxa"/>
            <w:left w:w="108" w:type="dxa"/>
            <w:bottom w:w="0" w:type="dxa"/>
            <w:right w:w="108" w:type="dxa"/>
          </w:tblCellMar>
        </w:tblPrEx>
        <w:trPr>
          <w:trHeight w:val="360" w:hRule="atLeast"/>
        </w:trPr>
        <w:tc>
          <w:tcPr>
            <w:tcW w:w="198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分区/分压</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0%</w:t>
            </w:r>
          </w:p>
        </w:tc>
        <w:tc>
          <w:tcPr>
            <w:tcW w:w="53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供电量为0，售电量为0</w:t>
            </w:r>
          </w:p>
        </w:tc>
      </w:tr>
      <w:tr>
        <w:tblPrEx>
          <w:tblCellMar>
            <w:top w:w="0" w:type="dxa"/>
            <w:left w:w="108" w:type="dxa"/>
            <w:bottom w:w="0" w:type="dxa"/>
            <w:right w:w="108" w:type="dxa"/>
          </w:tblCellMar>
        </w:tblPrEx>
        <w:trPr>
          <w:trHeight w:val="360" w:hRule="atLeast"/>
        </w:trPr>
        <w:tc>
          <w:tcPr>
            <w:tcW w:w="1984"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left"/>
              <w:rPr>
                <w:rFonts w:ascii="宋体" w:hAnsi="宋体" w:cs="宋体"/>
                <w:color w:val="000000"/>
                <w:kern w:val="0"/>
                <w:sz w:val="22"/>
                <w:szCs w:val="22"/>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-999%</w:t>
            </w:r>
          </w:p>
        </w:tc>
        <w:tc>
          <w:tcPr>
            <w:tcW w:w="53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供电量为0，售电量不为0</w:t>
            </w:r>
          </w:p>
        </w:tc>
      </w:tr>
      <w:tr>
        <w:tblPrEx>
          <w:tblCellMar>
            <w:top w:w="0" w:type="dxa"/>
            <w:left w:w="108" w:type="dxa"/>
            <w:bottom w:w="0" w:type="dxa"/>
            <w:right w:w="108" w:type="dxa"/>
          </w:tblCellMar>
        </w:tblPrEx>
        <w:trPr>
          <w:trHeight w:val="360" w:hRule="atLeast"/>
        </w:trPr>
        <w:tc>
          <w:tcPr>
            <w:tcW w:w="198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输电线路/母平</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0%</w:t>
            </w:r>
          </w:p>
        </w:tc>
        <w:tc>
          <w:tcPr>
            <w:tcW w:w="53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输入电量为0，输出电量为0</w:t>
            </w:r>
          </w:p>
        </w:tc>
      </w:tr>
      <w:tr>
        <w:tblPrEx>
          <w:tblCellMar>
            <w:top w:w="0" w:type="dxa"/>
            <w:left w:w="108" w:type="dxa"/>
            <w:bottom w:w="0" w:type="dxa"/>
            <w:right w:w="108" w:type="dxa"/>
          </w:tblCellMar>
        </w:tblPrEx>
        <w:trPr>
          <w:trHeight w:val="360" w:hRule="atLeast"/>
        </w:trPr>
        <w:tc>
          <w:tcPr>
            <w:tcW w:w="1984"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left"/>
              <w:rPr>
                <w:rFonts w:ascii="宋体" w:hAnsi="宋体" w:cs="宋体"/>
                <w:color w:val="000000"/>
                <w:kern w:val="0"/>
                <w:sz w:val="22"/>
                <w:szCs w:val="22"/>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-999%</w:t>
            </w:r>
          </w:p>
        </w:tc>
        <w:tc>
          <w:tcPr>
            <w:tcW w:w="53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输入电量为0，输出电量不为0</w:t>
            </w:r>
          </w:p>
        </w:tc>
      </w:tr>
      <w:tr>
        <w:tblPrEx>
          <w:tblCellMar>
            <w:top w:w="0" w:type="dxa"/>
            <w:left w:w="108" w:type="dxa"/>
            <w:bottom w:w="0" w:type="dxa"/>
            <w:right w:w="108" w:type="dxa"/>
          </w:tblCellMar>
        </w:tblPrEx>
        <w:trPr>
          <w:trHeight w:val="576" w:hRule="atLeast"/>
        </w:trPr>
        <w:tc>
          <w:tcPr>
            <w:tcW w:w="1984"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配电线路/台区线损率</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0%</w:t>
            </w:r>
          </w:p>
        </w:tc>
        <w:tc>
          <w:tcPr>
            <w:tcW w:w="538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输入电量、输出电量、售电量均为0，且输入电量、输出电量、售电量表底均完整</w:t>
            </w:r>
          </w:p>
        </w:tc>
      </w:tr>
      <w:tr>
        <w:tblPrEx>
          <w:tblCellMar>
            <w:top w:w="0" w:type="dxa"/>
            <w:left w:w="108" w:type="dxa"/>
            <w:bottom w:w="0" w:type="dxa"/>
            <w:right w:w="108" w:type="dxa"/>
          </w:tblCellMar>
        </w:tblPrEx>
        <w:trPr>
          <w:trHeight w:val="864" w:hRule="atLeast"/>
        </w:trPr>
        <w:tc>
          <w:tcPr>
            <w:tcW w:w="1984"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left"/>
              <w:rPr>
                <w:rFonts w:ascii="宋体" w:hAnsi="宋体" w:cs="宋体"/>
                <w:color w:val="000000"/>
                <w:kern w:val="0"/>
                <w:sz w:val="22"/>
                <w:szCs w:val="22"/>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100%</w:t>
            </w:r>
          </w:p>
        </w:tc>
        <w:tc>
          <w:tcPr>
            <w:tcW w:w="538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输入电量、输出电量、售电量均为0，输入电量表底完整，且输出电量或售电量表底不完整（展示着色处理并附有说明）</w:t>
            </w:r>
          </w:p>
        </w:tc>
      </w:tr>
      <w:tr>
        <w:tblPrEx>
          <w:tblCellMar>
            <w:top w:w="0" w:type="dxa"/>
            <w:left w:w="108" w:type="dxa"/>
            <w:bottom w:w="0" w:type="dxa"/>
            <w:right w:w="108" w:type="dxa"/>
          </w:tblCellMar>
        </w:tblPrEx>
        <w:trPr>
          <w:trHeight w:val="576" w:hRule="atLeast"/>
        </w:trPr>
        <w:tc>
          <w:tcPr>
            <w:tcW w:w="1984"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left"/>
              <w:rPr>
                <w:rFonts w:ascii="宋体" w:hAnsi="宋体" w:cs="宋体"/>
                <w:color w:val="000000"/>
                <w:kern w:val="0"/>
                <w:sz w:val="22"/>
                <w:szCs w:val="22"/>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-100%</w:t>
            </w:r>
          </w:p>
        </w:tc>
        <w:tc>
          <w:tcPr>
            <w:tcW w:w="538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输入电量、输出电量、售电量均为0，输入电量表底不完整（展示着色处理并附有说明）</w:t>
            </w:r>
          </w:p>
        </w:tc>
      </w:tr>
      <w:tr>
        <w:tblPrEx>
          <w:tblCellMar>
            <w:top w:w="0" w:type="dxa"/>
            <w:left w:w="108" w:type="dxa"/>
            <w:bottom w:w="0" w:type="dxa"/>
            <w:right w:w="108" w:type="dxa"/>
          </w:tblCellMar>
        </w:tblPrEx>
        <w:trPr>
          <w:trHeight w:val="420" w:hRule="atLeast"/>
        </w:trPr>
        <w:tc>
          <w:tcPr>
            <w:tcW w:w="1984" w:type="dxa"/>
            <w:vMerge w:val="continue"/>
            <w:tcBorders>
              <w:top w:val="single" w:color="000000" w:sz="4" w:space="0"/>
              <w:left w:val="single" w:color="000000" w:sz="4" w:space="0"/>
              <w:bottom w:val="single" w:color="000000" w:sz="4" w:space="0"/>
              <w:right w:val="single" w:color="000000" w:sz="4" w:space="0"/>
            </w:tcBorders>
            <w:vAlign w:val="center"/>
          </w:tcPr>
          <w:p>
            <w:pPr>
              <w:widowControl/>
              <w:spacing w:line="240" w:lineRule="auto"/>
              <w:ind w:firstLine="0" w:firstLineChars="0"/>
              <w:jc w:val="left"/>
              <w:rPr>
                <w:rFonts w:ascii="宋体" w:hAnsi="宋体" w:cs="宋体"/>
                <w:color w:val="000000"/>
                <w:kern w:val="0"/>
                <w:sz w:val="22"/>
                <w:szCs w:val="22"/>
              </w:rPr>
            </w:pP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cs="宋体"/>
                <w:color w:val="000000"/>
                <w:kern w:val="0"/>
                <w:sz w:val="22"/>
                <w:szCs w:val="22"/>
              </w:rPr>
            </w:pPr>
            <w:r>
              <w:rPr>
                <w:rFonts w:hint="eastAsia" w:ascii="宋体" w:hAnsi="宋体" w:cs="宋体"/>
                <w:color w:val="000000"/>
                <w:kern w:val="0"/>
                <w:sz w:val="22"/>
                <w:szCs w:val="22"/>
              </w:rPr>
              <w:t>-999%</w:t>
            </w:r>
          </w:p>
        </w:tc>
        <w:tc>
          <w:tcPr>
            <w:tcW w:w="53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left"/>
              <w:rPr>
                <w:rFonts w:hint="eastAsia" w:ascii="宋体" w:hAnsi="宋体" w:cs="宋体"/>
                <w:color w:val="000000"/>
                <w:kern w:val="0"/>
                <w:sz w:val="22"/>
                <w:szCs w:val="22"/>
              </w:rPr>
            </w:pPr>
            <w:r>
              <w:rPr>
                <w:rFonts w:hint="eastAsia" w:ascii="宋体" w:hAnsi="宋体" w:cs="宋体"/>
                <w:color w:val="000000"/>
                <w:kern w:val="0"/>
                <w:sz w:val="22"/>
                <w:szCs w:val="22"/>
              </w:rPr>
              <w:t>输入电量为0，输出电量+售电量不为0</w:t>
            </w:r>
          </w:p>
        </w:tc>
      </w:tr>
    </w:tbl>
    <w:p>
      <w:pPr>
        <w:spacing w:line="360" w:lineRule="auto"/>
        <w:ind w:firstLine="0" w:firstLineChars="0"/>
        <w:rPr>
          <w:rFonts w:hint="eastAsia"/>
        </w:rPr>
      </w:pPr>
    </w:p>
    <w:p>
      <w:pPr>
        <w:spacing w:line="360" w:lineRule="auto"/>
        <w:ind w:firstLine="480"/>
      </w:pPr>
      <w:r>
        <w:rPr>
          <w:rFonts w:hint="eastAsia"/>
        </w:rPr>
        <w:t>正常计算下线损率大于999%或小于-999%，统一默认为999%或-999%。</w:t>
      </w:r>
    </w:p>
    <w:p>
      <w:pPr>
        <w:spacing w:line="360" w:lineRule="auto"/>
        <w:ind w:firstLine="480"/>
      </w:pPr>
      <w:r>
        <w:rPr>
          <w:rFonts w:hint="eastAsia"/>
        </w:rPr>
        <w:t>除以上介绍的特殊情况，线损率计算为0%，100%，-100%等情况均属正常计算，未特别一一列出，以分区线损为例：</w:t>
      </w:r>
    </w:p>
    <w:p>
      <w:pPr>
        <w:spacing w:line="360" w:lineRule="auto"/>
        <w:ind w:firstLine="480"/>
      </w:pPr>
      <w:r>
        <w:rPr>
          <w:rFonts w:hint="eastAsia"/>
        </w:rPr>
        <w:t>线损率为0%：供电量、售电量相等且不为0；</w:t>
      </w:r>
    </w:p>
    <w:p>
      <w:pPr>
        <w:spacing w:line="360" w:lineRule="auto"/>
        <w:ind w:firstLine="480"/>
      </w:pPr>
      <w:r>
        <w:rPr>
          <w:rFonts w:hint="eastAsia"/>
        </w:rPr>
        <w:t>线损率为100%：供电量不为0，售电量为0；</w:t>
      </w:r>
    </w:p>
    <w:p>
      <w:pPr>
        <w:spacing w:line="360" w:lineRule="auto"/>
        <w:ind w:firstLine="480"/>
      </w:pPr>
      <w:r>
        <w:rPr>
          <w:rFonts w:hint="eastAsia"/>
        </w:rPr>
        <w:t>线损率为-100%：供电量不为0，售电量为供电量的2倍。</w:t>
      </w:r>
    </w:p>
    <w:p>
      <w:pPr>
        <w:spacing w:line="360" w:lineRule="auto"/>
        <w:ind w:firstLine="480"/>
      </w:pPr>
      <w:r>
        <w:rPr>
          <w:rFonts w:hint="eastAsia"/>
        </w:rPr>
        <w:t>④ 线路打包：</w:t>
      </w:r>
    </w:p>
    <w:p>
      <w:pPr>
        <w:spacing w:line="360" w:lineRule="auto"/>
        <w:ind w:firstLine="480"/>
      </w:pPr>
      <w:r>
        <w:t>打包可以在线路进行负荷转移时将两条或两条以上线路打包处理，统一计算线损，从而保证打包线路线损在达标范围内。但在系统线路负荷同步切改后，却经常会出现线路线损一高一负的情况，从而需要对打包线路档案进行再排查，找出导致线路高负损的原因。</w:t>
      </w:r>
    </w:p>
    <w:p>
      <w:pPr>
        <w:spacing w:line="360" w:lineRule="auto"/>
        <w:ind w:firstLine="480"/>
      </w:pPr>
      <w:r>
        <w:rPr>
          <w:rFonts w:hint="eastAsia"/>
        </w:rPr>
        <w:t>鼎信针对此类问题利用营配调系统拓扑关系档案及切改线路的人工录入信息核对</w:t>
      </w:r>
      <w:r>
        <w:t>打包线路的配变档案，实现线路解包，为解决打包线路切改问题提供了切实有效的方法。</w:t>
      </w:r>
    </w:p>
    <w:p>
      <w:pPr>
        <w:pStyle w:val="5"/>
        <w:numPr>
          <w:ilvl w:val="0"/>
          <w:numId w:val="0"/>
        </w:numPr>
        <w:ind w:left="420"/>
      </w:pPr>
      <w:r>
        <w:rPr>
          <w:rFonts w:hint="eastAsia"/>
        </w:rPr>
        <w:t>1.</w:t>
      </w:r>
      <w:r>
        <w:t>2</w:t>
      </w:r>
      <w:r>
        <w:rPr>
          <w:rFonts w:hint="eastAsia"/>
        </w:rPr>
        <w:t>.</w:t>
      </w:r>
      <w:r>
        <w:t>1</w:t>
      </w:r>
      <w:r>
        <w:rPr>
          <w:rFonts w:hint="eastAsia"/>
        </w:rPr>
        <w:t>.</w:t>
      </w:r>
      <w:r>
        <w:t>4</w:t>
      </w:r>
      <w:r>
        <w:rPr>
          <w:rFonts w:hint="eastAsia"/>
        </w:rPr>
        <w:t>定义预警等级：</w:t>
      </w:r>
    </w:p>
    <w:p>
      <w:pPr>
        <w:spacing w:line="360" w:lineRule="auto"/>
        <w:ind w:firstLine="0" w:firstLineChars="0"/>
        <w:jc w:val="center"/>
        <w:rPr>
          <w:rFonts w:hint="eastAsia"/>
        </w:rPr>
      </w:pPr>
      <w:r>
        <w:drawing>
          <wp:inline distT="0" distB="0" distL="114300" distR="114300">
            <wp:extent cx="1997710" cy="1967230"/>
            <wp:effectExtent l="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2001024" cy="1970284"/>
                    </a:xfrm>
                    <a:prstGeom prst="rect">
                      <a:avLst/>
                    </a:prstGeom>
                    <a:noFill/>
                    <a:ln>
                      <a:noFill/>
                    </a:ln>
                  </pic:spPr>
                </pic:pic>
              </a:graphicData>
            </a:graphic>
          </wp:inline>
        </w:drawing>
      </w:r>
    </w:p>
    <w:p>
      <w:pPr>
        <w:pStyle w:val="4"/>
        <w:spacing w:line="360" w:lineRule="auto"/>
      </w:pPr>
      <w:r>
        <w:rPr>
          <w:rFonts w:hint="eastAsia"/>
        </w:rPr>
        <w:t>故障研判</w:t>
      </w:r>
    </w:p>
    <w:p>
      <w:pPr>
        <w:spacing w:line="360" w:lineRule="auto"/>
        <w:ind w:firstLine="480"/>
      </w:pPr>
      <w:r>
        <w:rPr>
          <w:rFonts w:hint="eastAsia"/>
        </w:rPr>
        <w:t>通过不同维度研判逻辑进行算法研究，对各研判结果进行联动验证，同时借助电能表超差预警信息进行双重验证，多方辅助提高算法研判结果置信度。</w:t>
      </w:r>
    </w:p>
    <w:p>
      <w:pPr>
        <w:spacing w:line="360" w:lineRule="auto"/>
        <w:ind w:firstLine="480"/>
      </w:pPr>
      <w:r>
        <w:rPr>
          <w:rFonts w:hint="eastAsia"/>
        </w:rPr>
        <w:t>（1）线损各影响因素角度：不断丰富智能诊断方法，依托大数据技术，在全量监测的基础上针对线损异常原因进行智能定位和排查分析，自动形成问题诊断结论和核实治理建议。</w:t>
      </w:r>
    </w:p>
    <w:p>
      <w:pPr>
        <w:spacing w:line="360" w:lineRule="auto"/>
        <w:ind w:firstLine="480"/>
      </w:pPr>
      <w:r>
        <w:rPr>
          <w:rFonts w:hint="eastAsia"/>
        </w:rPr>
        <w:t>（2）线损异常聚类特征表现角度：结合拓扑关系、运行量测数据、基础档案等信息，通过其档案拓扑移动特征、线损率与损失电量相关性、k值数据特征、电压电流量测数据特征、能域图等，自动将异常问题区分类型，赋能治理人员高效开展治理工作。</w:t>
      </w:r>
    </w:p>
    <w:p>
      <w:pPr>
        <w:pStyle w:val="5"/>
        <w:numPr>
          <w:ilvl w:val="0"/>
          <w:numId w:val="0"/>
        </w:numPr>
        <w:ind w:left="420"/>
      </w:pPr>
      <w:r>
        <w:rPr>
          <w:rFonts w:hint="eastAsia"/>
        </w:rPr>
        <w:t>1.</w:t>
      </w:r>
      <w:r>
        <w:t>2</w:t>
      </w:r>
      <w:r>
        <w:rPr>
          <w:rFonts w:hint="eastAsia"/>
        </w:rPr>
        <w:t>.</w:t>
      </w:r>
      <w:r>
        <w:t>2</w:t>
      </w:r>
      <w:r>
        <w:rPr>
          <w:rFonts w:hint="eastAsia"/>
        </w:rPr>
        <w:t>.</w:t>
      </w:r>
      <w:r>
        <w:t>1</w:t>
      </w:r>
      <w:r>
        <w:rPr>
          <w:rFonts w:hint="eastAsia"/>
        </w:rPr>
        <w:t>线损研判算法模型库：</w:t>
      </w:r>
    </w:p>
    <w:p>
      <w:pPr>
        <w:spacing w:line="360" w:lineRule="auto"/>
        <w:ind w:firstLine="480"/>
        <w:rPr>
          <w:rFonts w:hint="eastAsia"/>
        </w:rPr>
      </w:pPr>
      <w:r>
        <w:rPr>
          <w:rFonts w:hint="eastAsia"/>
        </w:rPr>
        <w:t>系统可以查看依据各类型算法输出的异常研判的结论、判别依据、分析基础数据（</w:t>
      </w:r>
      <w:r>
        <w:rPr>
          <w:rFonts w:hint="eastAsia"/>
          <w:lang w:val="en-US" w:eastAsia="zh-CN"/>
        </w:rPr>
        <w:t>时域图</w:t>
      </w:r>
      <w:r>
        <w:rPr>
          <w:rFonts w:hint="eastAsia"/>
        </w:rPr>
        <w:t>、电量明细、异常明细、档案明细、设备信息），系统诊断结果针对性的分为5个异常大类和40余种异常小类。</w:t>
      </w:r>
    </w:p>
    <w:p>
      <w:pPr>
        <w:spacing w:line="360" w:lineRule="auto"/>
        <w:ind w:firstLine="480"/>
      </w:pPr>
      <w:r>
        <w:rPr>
          <w:rFonts w:hint="eastAsia"/>
        </w:rPr>
        <w:t>（1）方案将线损异常可能造成的原因全部收纳，并依据消缺方式、故障特征等划分为5个大类。</w:t>
      </w:r>
    </w:p>
    <w:p>
      <w:pPr>
        <w:spacing w:line="360" w:lineRule="auto"/>
        <w:ind w:firstLine="0" w:firstLineChars="0"/>
      </w:pPr>
      <w:r>
        <w:drawing>
          <wp:inline distT="0" distB="0" distL="114300" distR="114300">
            <wp:extent cx="5902325" cy="2769235"/>
            <wp:effectExtent l="0" t="0" r="10795" b="444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6"/>
                    <a:stretch>
                      <a:fillRect/>
                    </a:stretch>
                  </pic:blipFill>
                  <pic:spPr>
                    <a:xfrm>
                      <a:off x="0" y="0"/>
                      <a:ext cx="5902325" cy="2769235"/>
                    </a:xfrm>
                    <a:prstGeom prst="rect">
                      <a:avLst/>
                    </a:prstGeom>
                    <a:noFill/>
                    <a:ln>
                      <a:noFill/>
                    </a:ln>
                  </pic:spPr>
                </pic:pic>
              </a:graphicData>
            </a:graphic>
          </wp:inline>
        </w:drawing>
      </w:r>
    </w:p>
    <w:p>
      <w:pPr>
        <w:spacing w:line="360" w:lineRule="auto"/>
        <w:ind w:firstLine="480"/>
      </w:pPr>
      <w:r>
        <w:rPr>
          <w:rFonts w:hint="eastAsia"/>
        </w:rPr>
        <w:t>线损影响因素示图：</w:t>
      </w:r>
    </w:p>
    <w:p>
      <w:pPr>
        <w:spacing w:line="360" w:lineRule="auto"/>
        <w:ind w:firstLine="0" w:firstLineChars="0"/>
      </w:pPr>
      <w:r>
        <w:drawing>
          <wp:inline distT="0" distB="0" distL="114300" distR="114300">
            <wp:extent cx="5898515" cy="3063240"/>
            <wp:effectExtent l="0" t="0" r="14605" b="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17"/>
                    <a:stretch>
                      <a:fillRect/>
                    </a:stretch>
                  </pic:blipFill>
                  <pic:spPr>
                    <a:xfrm>
                      <a:off x="0" y="0"/>
                      <a:ext cx="5898515" cy="3063240"/>
                    </a:xfrm>
                    <a:prstGeom prst="rect">
                      <a:avLst/>
                    </a:prstGeom>
                    <a:noFill/>
                    <a:ln>
                      <a:noFill/>
                    </a:ln>
                  </pic:spPr>
                </pic:pic>
              </a:graphicData>
            </a:graphic>
          </wp:inline>
        </w:drawing>
      </w:r>
    </w:p>
    <w:p>
      <w:pPr>
        <w:numPr>
          <w:ilvl w:val="0"/>
          <w:numId w:val="10"/>
        </w:numPr>
        <w:spacing w:line="360" w:lineRule="auto"/>
        <w:ind w:firstLine="480"/>
        <w:rPr>
          <w:rFonts w:hint="eastAsia"/>
        </w:rPr>
      </w:pPr>
      <w:r>
        <w:rPr>
          <w:rFonts w:hint="eastAsia"/>
        </w:rPr>
        <w:t>依据划分的异常类型，针对性开展各异常源的诊断算法模型研发及构建，现已针对性提出近40类异常研判算法模型，助力高效开展治理工作。</w:t>
      </w:r>
    </w:p>
    <w:p>
      <w:pPr>
        <w:widowControl w:val="0"/>
        <w:numPr>
          <w:numId w:val="0"/>
        </w:numPr>
        <w:spacing w:line="360" w:lineRule="auto"/>
        <w:jc w:val="both"/>
        <w:rPr>
          <w:rFonts w:hint="eastAsia"/>
        </w:rPr>
      </w:pPr>
    </w:p>
    <w:p>
      <w:pPr>
        <w:widowControl w:val="0"/>
        <w:numPr>
          <w:numId w:val="0"/>
        </w:numPr>
        <w:spacing w:line="360" w:lineRule="auto"/>
        <w:jc w:val="both"/>
        <w:rPr>
          <w:rFonts w:hint="default" w:eastAsia="宋体"/>
          <w:highlight w:val="yellow"/>
          <w:lang w:val="en-US" w:eastAsia="zh-CN"/>
        </w:rPr>
      </w:pPr>
      <w:r>
        <w:rPr>
          <w:rFonts w:hint="eastAsia"/>
          <w:highlight w:val="yellow"/>
          <w:lang w:val="en-US" w:eastAsia="zh-CN"/>
        </w:rPr>
        <w:t>表码、供电侧</w:t>
      </w:r>
    </w:p>
    <w:p>
      <w:pPr>
        <w:spacing w:line="360" w:lineRule="auto"/>
        <w:ind w:firstLine="0" w:firstLineChars="0"/>
      </w:pPr>
      <w:r>
        <w:drawing>
          <wp:inline distT="0" distB="0" distL="114300" distR="114300">
            <wp:extent cx="5895340" cy="2782570"/>
            <wp:effectExtent l="0" t="0" r="254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8"/>
                    <a:stretch>
                      <a:fillRect/>
                    </a:stretch>
                  </pic:blipFill>
                  <pic:spPr>
                    <a:xfrm>
                      <a:off x="0" y="0"/>
                      <a:ext cx="5895340" cy="2782570"/>
                    </a:xfrm>
                    <a:prstGeom prst="rect">
                      <a:avLst/>
                    </a:prstGeom>
                    <a:noFill/>
                    <a:ln>
                      <a:noFill/>
                    </a:ln>
                  </pic:spPr>
                </pic:pic>
              </a:graphicData>
            </a:graphic>
          </wp:inline>
        </w:drawing>
      </w:r>
    </w:p>
    <w:p>
      <w:pPr>
        <w:spacing w:before="120" w:beforeLines="50" w:line="360" w:lineRule="auto"/>
        <w:ind w:firstLine="480"/>
      </w:pPr>
      <w:r>
        <w:rPr>
          <w:rFonts w:hint="eastAsia"/>
        </w:rPr>
        <w:t>异常研判算法逻辑简介：</w:t>
      </w:r>
    </w:p>
    <w:tbl>
      <w:tblPr>
        <w:tblStyle w:val="31"/>
        <w:tblW w:w="5560" w:type="pct"/>
        <w:tblInd w:w="-448" w:type="dxa"/>
        <w:tblLayout w:type="fixed"/>
        <w:tblCellMar>
          <w:top w:w="0" w:type="dxa"/>
          <w:left w:w="108" w:type="dxa"/>
          <w:bottom w:w="0" w:type="dxa"/>
          <w:right w:w="108" w:type="dxa"/>
        </w:tblCellMar>
      </w:tblPr>
      <w:tblGrid>
        <w:gridCol w:w="1120"/>
        <w:gridCol w:w="2850"/>
        <w:gridCol w:w="4372"/>
        <w:gridCol w:w="2238"/>
      </w:tblGrid>
      <w:tr>
        <w:tblPrEx>
          <w:tblCellMar>
            <w:top w:w="0" w:type="dxa"/>
            <w:left w:w="108" w:type="dxa"/>
            <w:bottom w:w="0" w:type="dxa"/>
            <w:right w:w="108" w:type="dxa"/>
          </w:tblCellMar>
        </w:tblPrEx>
        <w:trPr>
          <w:trHeight w:val="480" w:hRule="atLeast"/>
        </w:trPr>
        <w:tc>
          <w:tcPr>
            <w:tcW w:w="5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sz w:val="22"/>
                <w:szCs w:val="22"/>
              </w:rPr>
            </w:pPr>
            <w:r>
              <w:rPr>
                <w:rFonts w:hint="eastAsia" w:ascii="宋体" w:hAnsi="宋体" w:cs="宋体"/>
                <w:color w:val="000000"/>
                <w:kern w:val="0"/>
                <w:sz w:val="22"/>
                <w:szCs w:val="22"/>
                <w:lang w:bidi="ar"/>
              </w:rPr>
              <w:t>诊断类型</w:t>
            </w: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研判算法名称</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研判逻辑</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研判输入</w:t>
            </w:r>
          </w:p>
        </w:tc>
      </w:tr>
      <w:tr>
        <w:tblPrEx>
          <w:tblCellMar>
            <w:top w:w="0" w:type="dxa"/>
            <w:left w:w="108" w:type="dxa"/>
            <w:bottom w:w="0" w:type="dxa"/>
            <w:right w:w="108" w:type="dxa"/>
          </w:tblCellMar>
        </w:tblPrEx>
        <w:trPr>
          <w:trHeight w:val="288" w:hRule="atLeast"/>
        </w:trPr>
        <w:tc>
          <w:tcPr>
            <w:tcW w:w="529"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设备计量问题</w:t>
            </w: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终端异常诊断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分析终端是否依据采集任务配置有上行报文</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计量自动化系统：上行报文</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电网侧表底缺失异常诊断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近7日依据总表日采集电能示值是否存在数据缺失</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电网侧表底跳变异常诊断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近7日依据总表日采集电能示值是否存在数据跳变</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电网侧表底倒走异常诊断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近7日依据总表日采集电能示值是否存在数据倒走（下表底小于上表底）</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电网侧表底停走异常诊断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近7日依据总表日采集电能示值是否存在数据停走</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电网侧表计时钟异常诊断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依据总表最新总表时钟数据判断是否超差</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计量自动化系统：总表时钟数据</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采集信号异常诊断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近7日依据终端上下线情况判断是否存在采集信号异常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计量自动化系统：终端上下线情况</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二次电压电流异常诊断（失压断相、短路、越限）</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依据采集的电压、电流是否存在为0、越限情况判断二次侧异常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计量自动化系统：总表电压、电流</w:t>
            </w:r>
          </w:p>
        </w:tc>
      </w:tr>
      <w:tr>
        <w:tblPrEx>
          <w:tblCellMar>
            <w:top w:w="0" w:type="dxa"/>
            <w:left w:w="108" w:type="dxa"/>
            <w:bottom w:w="0" w:type="dxa"/>
            <w:right w:w="108" w:type="dxa"/>
          </w:tblCellMar>
        </w:tblPrEx>
        <w:trPr>
          <w:trHeight w:val="144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互感器异常（接线错误、型号不匹配）诊断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综合倍率（依据变压器容量计算的理论适配互感器倍率）&lt;&gt;CT*PT，分析台区总表所配互感器倍率是否合理，倍率宜配置为配变容量值的1.1到1.7倍之间（1.1-1.7倍为经验值，仅供日常快速判断的参考值），或正常运行负荷电流不少于额定值的30%；</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当日线路/台区线损高损或非经济运行；利用三相电压、电流和功率情况，通过这些数据能够反算出Φ的角度，画出向量图，从而判断出接线是否错误。</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计量自动化系统：变压器档案、互感器倍率、电压、电流、功率等</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营配调系统：互感器倍率</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电网侧电表失准异常诊断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依据电能表失准分析系统上报异常数据判定</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电能表失准分析系统：异常表计及原因</w:t>
            </w:r>
          </w:p>
        </w:tc>
      </w:tr>
      <w:tr>
        <w:tblPrEx>
          <w:tblCellMar>
            <w:top w:w="0" w:type="dxa"/>
            <w:left w:w="108" w:type="dxa"/>
            <w:bottom w:w="0" w:type="dxa"/>
            <w:right w:w="108" w:type="dxa"/>
          </w:tblCellMar>
        </w:tblPrEx>
        <w:trPr>
          <w:trHeight w:val="576" w:hRule="atLeast"/>
        </w:trPr>
        <w:tc>
          <w:tcPr>
            <w:tcW w:w="529"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档案关系问题</w:t>
            </w: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线损模型配置异常诊断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依据配置的线损模型是否存在供电量及输入电量为空的情况、线损率存在不可算及超高损情况及计量自动化系统台区用户档案进行比对排查是否存在配置</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计量自动化系统：线损率、线损模型、电表档案</w:t>
            </w:r>
          </w:p>
        </w:tc>
      </w:tr>
      <w:tr>
        <w:tblPrEx>
          <w:tblCellMar>
            <w:top w:w="0" w:type="dxa"/>
            <w:left w:w="108" w:type="dxa"/>
            <w:bottom w:w="0" w:type="dxa"/>
            <w:right w:w="108" w:type="dxa"/>
          </w:tblCellMar>
        </w:tblPrEx>
        <w:trPr>
          <w:trHeight w:val="864"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设备参数异常诊断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比对分析主站与终端参数设置是否一致，分析参数设置差异情况；分析电能表系统与现场序号是否一致、系统与现场规约是否一致、系统与现场通信地址是否一致、系统中通信端口是否设置正确；</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计量自动化系统：终端配置参数、主站档案参数、上行报文</w:t>
            </w:r>
          </w:p>
        </w:tc>
      </w:tr>
      <w:tr>
        <w:tblPrEx>
          <w:tblCellMar>
            <w:top w:w="0" w:type="dxa"/>
            <w:left w:w="108" w:type="dxa"/>
            <w:bottom w:w="0" w:type="dxa"/>
            <w:right w:w="108" w:type="dxa"/>
          </w:tblCellMar>
        </w:tblPrEx>
        <w:trPr>
          <w:trHeight w:val="1152"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（台户一致性）营配关系异常诊断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通过营销基础数据平台，按照营配调贯通建模原则，开展营配调贯通、营销系统、采集系统台户关系一致性比对，分析台区下采集点、电源点与台户关系一致性情况。</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依据系统“自动搜表”功能，通过集中器进行自动搜表，比较集中器搜表档案与系统档案是否一致，用技术手段查找黑户</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计量自动化系统：电表档案、自动搜表结果</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营配调系统：台户关系信息、拓扑信息</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换表流程异常诊断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1、当日线路/台区线损为高损或负损；</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2、近21日存在换表记录，判断相关性是否异常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计量自动化系统/营销系统：换表记录、线损率</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K值、相关性</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综合倍率异常诊断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通过营配调贯通、营销业务应用系统、采集系统台区总表倍率一致性分析，并分析倍率值在不同计算周期内是否有变化</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计量自动化系统：互感器倍率</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营配调系统：互感器倍率</w:t>
            </w:r>
          </w:p>
        </w:tc>
      </w:tr>
      <w:tr>
        <w:tblPrEx>
          <w:tblCellMar>
            <w:top w:w="0" w:type="dxa"/>
            <w:left w:w="108" w:type="dxa"/>
            <w:bottom w:w="0" w:type="dxa"/>
            <w:right w:w="108" w:type="dxa"/>
          </w:tblCellMar>
        </w:tblPrEx>
        <w:trPr>
          <w:trHeight w:val="3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表计档案异常诊断</w:t>
            </w:r>
          </w:p>
        </w:tc>
        <w:tc>
          <w:tcPr>
            <w:tcW w:w="2065"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核对营销系统中用户的计量及资产状态，确保在运；及时处理台区下销户、资产移交等在途流程；用户计量点暂停，但存在用户电量</w:t>
            </w:r>
          </w:p>
        </w:tc>
        <w:tc>
          <w:tcPr>
            <w:tcW w:w="1058"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计量自动化系统：电表运行状态、电气量数据</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营销系统：销户及资产移交等流程状态</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用户资产移交异常诊断</w:t>
            </w:r>
          </w:p>
        </w:tc>
        <w:tc>
          <w:tcPr>
            <w:tcW w:w="2065"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p>
        </w:tc>
        <w:tc>
          <w:tcPr>
            <w:tcW w:w="1058"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p>
        </w:tc>
      </w:tr>
      <w:tr>
        <w:tblPrEx>
          <w:tblCellMar>
            <w:top w:w="0" w:type="dxa"/>
            <w:left w:w="108" w:type="dxa"/>
            <w:bottom w:w="0" w:type="dxa"/>
            <w:right w:w="108" w:type="dxa"/>
          </w:tblCellMar>
        </w:tblPrEx>
        <w:trPr>
          <w:trHeight w:val="864"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办公用电漏配异常诊断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1、当日线路/台区线损为高损或负损；</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2、依据线损能域图模型判别是否存在表外用电设备及异常</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3、依据营销系统档案录入信息辅助排查</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计量自动化系统：线损率、供电量</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营销系统：台区、用户档案</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光伏用户错配异常诊断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1、台区下存在光伏用户</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2、依据光伏上下网电量情况及配置的线损模型供入供出判断是否存在光伏用户错配</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计量自动化系统：用户档案、电表计量数据、线损模型</w:t>
            </w:r>
          </w:p>
        </w:tc>
      </w:tr>
      <w:tr>
        <w:tblPrEx>
          <w:tblCellMar>
            <w:top w:w="0" w:type="dxa"/>
            <w:left w:w="108" w:type="dxa"/>
            <w:bottom w:w="0" w:type="dxa"/>
            <w:right w:w="108" w:type="dxa"/>
          </w:tblCellMar>
        </w:tblPrEx>
        <w:trPr>
          <w:trHeight w:val="864" w:hRule="atLeast"/>
        </w:trPr>
        <w:tc>
          <w:tcPr>
            <w:tcW w:w="529"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电网运行问题</w:t>
            </w: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电网规划异常诊断（供电半径长、线路老化）</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1、依据电网规划情况，输入供电线路长度、线径等信息算法模型进行理论线损输出</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2、依据是否存在线路末端用户明显压降情况判断供电半径是否过长</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3、判断变压器规划是否符合用电负荷、变压器位置是否位于负荷中心</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线路供电长度、线径信息、拓扑信息、变压器负载率</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电压/电流异常诊断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1、依据总表及户表电压判断是否存在线路压降情况</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2、依据总表电流及停电上报时间判断是否存在电流异常情况</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计量自动化系统：停上电事件、总表/户表电压电流</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功率因数异常诊断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依据总表侧功率因数判断是否存在功率因数异常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计量自动化系统：总表功率因数</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三相不平衡异常诊断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依据总表侧三相不平衡率判断是否存在三相不平衡异常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计量自动化系统：总表三相不平衡率</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重过载异常诊断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依据总表侧负载率判断是否存在重过载异常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计量自动化系统：负载率</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轻空载异常诊断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依据总表侧负载率判断是否存在轻空载异常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计量自动化系统：负载率</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谐波干扰异常诊断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依据用户信息中是否存在谐波干扰影响较大的企业类型（如化工、冶金等）及用电负荷占总负荷比值是否过大判别可能存在的谐波干扰情况</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计量自动化/营销系统：客户基础信息、用电量数据、总表用电量</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设备/线缆异常诊断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依据设备/分支线的线损相关性判别是否可以定位到具体的设备/线缆异常</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计量自动化系统：线损率、供电量、用电量</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大容量光伏接入异常诊断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依据光伏入网点在台区的位置和光伏发电量就近消纳的程度判断是否会造成线路损耗大幅增加</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计量自动化系统：用户信息、拓扑信息、上网性质、总表反向电量</w:t>
            </w:r>
          </w:p>
        </w:tc>
      </w:tr>
      <w:tr>
        <w:tblPrEx>
          <w:tblCellMar>
            <w:top w:w="0" w:type="dxa"/>
            <w:left w:w="108" w:type="dxa"/>
            <w:bottom w:w="0" w:type="dxa"/>
            <w:right w:w="108" w:type="dxa"/>
          </w:tblCellMar>
        </w:tblPrEx>
        <w:trPr>
          <w:trHeight w:val="864" w:hRule="atLeast"/>
        </w:trPr>
        <w:tc>
          <w:tcPr>
            <w:tcW w:w="529"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链路传输问题</w:t>
            </w: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基础档案不一致异常诊断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比对分析主站与终端参数设置是否一致，分析参数设置差异情况；分析电能表系统与现场序号是否一致、系统与现场规约是否一致、系统与现场通信地址是否一致、系统中通信端口是否设置正确；</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计量自动化系统：终端配置参数、主站档案参数、上行报文</w:t>
            </w:r>
          </w:p>
        </w:tc>
      </w:tr>
      <w:tr>
        <w:tblPrEx>
          <w:tblCellMar>
            <w:top w:w="0" w:type="dxa"/>
            <w:left w:w="108" w:type="dxa"/>
            <w:bottom w:w="0" w:type="dxa"/>
            <w:right w:w="108" w:type="dxa"/>
          </w:tblCellMar>
        </w:tblPrEx>
        <w:trPr>
          <w:trHeight w:val="576"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运行数据不一致异常诊断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1、依据终端上报数据与电表透传数据对比是否存在不一致情况判别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计量自动化系统：电气量数据、电表透传数据、负荷曲线数据</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数据完整性异常诊断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依据电量及负荷曲线数据是否完整判别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计量自动化系统：电气量数据、负荷曲线数据</w:t>
            </w:r>
          </w:p>
        </w:tc>
      </w:tr>
      <w:tr>
        <w:tblPrEx>
          <w:tblCellMar>
            <w:top w:w="0" w:type="dxa"/>
            <w:left w:w="108" w:type="dxa"/>
            <w:bottom w:w="0" w:type="dxa"/>
            <w:right w:w="108" w:type="dxa"/>
          </w:tblCellMar>
        </w:tblPrEx>
        <w:trPr>
          <w:trHeight w:val="864"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数据合理性异常诊断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1、依据电气量数据是否存在跳变、倒走等不合理数据判别</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2、依据上行报文解析情况是否存在解析不了或非正常报文情况判别</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3、依据冻结示值与分时示值存在不一致情况判别（偏差超过正负五）</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计量自动化系统：电气量数据、负荷曲线数据、上行报文</w:t>
            </w:r>
          </w:p>
        </w:tc>
      </w:tr>
      <w:tr>
        <w:tblPrEx>
          <w:tblCellMar>
            <w:top w:w="0" w:type="dxa"/>
            <w:left w:w="108" w:type="dxa"/>
            <w:bottom w:w="0" w:type="dxa"/>
            <w:right w:w="108" w:type="dxa"/>
          </w:tblCellMar>
        </w:tblPrEx>
        <w:trPr>
          <w:trHeight w:val="576" w:hRule="atLeast"/>
        </w:trPr>
        <w:tc>
          <w:tcPr>
            <w:tcW w:w="529"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客户用电问题</w:t>
            </w: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采集信号异常诊断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近7日依据终端上下线情况判断是否存在采集信号异常</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2、依据近7日表计数据是否无法采集成功情况判别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计量自动化系统：终端上下线情况、表计电气量数据</w:t>
            </w:r>
          </w:p>
        </w:tc>
      </w:tr>
      <w:tr>
        <w:tblPrEx>
          <w:tblCellMar>
            <w:top w:w="0" w:type="dxa"/>
            <w:left w:w="108" w:type="dxa"/>
            <w:bottom w:w="0" w:type="dxa"/>
            <w:right w:w="108" w:type="dxa"/>
          </w:tblCellMar>
        </w:tblPrEx>
        <w:trPr>
          <w:trHeight w:val="64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表前接线（绕越表计）异常诊断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1、依据电能表失准分析系统上报异常数据判定</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2、依据线损能域图模型判别是否存在表外用电设备及异常</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3、依据用户用电量判断是否为零度户及线损相关性判别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电能表失准分析系统：异常表计及原因</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计量自动化系统：线损率、供电量</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接线盒电流线短接异常诊断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依据电表负荷曲线数据排查电流、电压是否存在失流、断相情况（数值为0）</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计量自动化系统：负荷曲线</w:t>
            </w:r>
          </w:p>
        </w:tc>
      </w:tr>
      <w:tr>
        <w:tblPrEx>
          <w:tblCellMar>
            <w:top w:w="0" w:type="dxa"/>
            <w:left w:w="108" w:type="dxa"/>
            <w:bottom w:w="0" w:type="dxa"/>
            <w:right w:w="108" w:type="dxa"/>
          </w:tblCellMar>
        </w:tblPrEx>
        <w:trPr>
          <w:trHeight w:val="144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表计短接异常诊断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1、依据电能表失准分析系统上报异常数据判定</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2、依据线损能域图模型判别是否存在表外用电设备及异常</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3、依据用户用电量判断是否为零度户及线损相关性判别</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4、依据零火线电流是否存在明显差别判别</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5、依据开表盖时间判别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电能表失准分析系统：异常表计及原因</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计量自动化系统：线损率、供电量、零火线数据、开表盖事件、用户用电量</w:t>
            </w:r>
          </w:p>
        </w:tc>
      </w:tr>
      <w:tr>
        <w:tblPrEx>
          <w:tblCellMar>
            <w:top w:w="0" w:type="dxa"/>
            <w:left w:w="108" w:type="dxa"/>
            <w:bottom w:w="0" w:type="dxa"/>
            <w:right w:w="108" w:type="dxa"/>
          </w:tblCellMar>
        </w:tblPrEx>
        <w:trPr>
          <w:trHeight w:val="144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kern w:val="0"/>
                <w:sz w:val="22"/>
                <w:szCs w:val="22"/>
                <w:lang w:bidi="ar"/>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其它窃电/失准类异常诊断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1、依据电能表失准分析系统上报异常数据判定</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2、依据线损能域图模型判别是否存在表外用电设备及异常</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3、依据用户用电量判断是否为零度户及线损相关性判别</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4、依据零火线电流是否存在明显差别判别</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5、依据开表盖时间判别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电能表失准分析系统：异常表计及原因</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计量自动化系统：线损率、供电量、零火线数据、开表盖事件、用户用电量</w:t>
            </w:r>
          </w:p>
        </w:tc>
      </w:tr>
      <w:tr>
        <w:tblPrEx>
          <w:tblCellMar>
            <w:top w:w="0" w:type="dxa"/>
            <w:left w:w="108" w:type="dxa"/>
            <w:bottom w:w="0" w:type="dxa"/>
            <w:right w:w="108" w:type="dxa"/>
          </w:tblCellMar>
        </w:tblPrEx>
        <w:trPr>
          <w:trHeight w:val="1152"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超容用电异常诊断</w:t>
            </w:r>
          </w:p>
        </w:tc>
        <w:tc>
          <w:tcPr>
            <w:tcW w:w="2065" w:type="pct"/>
            <w:tcBorders>
              <w:top w:val="nil"/>
              <w:left w:val="nil"/>
              <w:bottom w:val="nil"/>
              <w:right w:val="nil"/>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1、计算有功功率的绝对值与运行容量的比率是否超出限制阈值k，当日超阈值运行的时间超过总运行时间的20%以上；</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2、剔除电厂用电（不含分布式电源）；</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k为130%</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计量自动化/营销系统：负荷曲线、用户运行容量等档案信息</w:t>
            </w:r>
          </w:p>
        </w:tc>
      </w:tr>
      <w:tr>
        <w:tblPrEx>
          <w:tblCellMar>
            <w:top w:w="0" w:type="dxa"/>
            <w:left w:w="108" w:type="dxa"/>
            <w:bottom w:w="0" w:type="dxa"/>
            <w:right w:w="108" w:type="dxa"/>
          </w:tblCellMar>
        </w:tblPrEx>
        <w:trPr>
          <w:trHeight w:val="1152"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无表用电异常诊断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1、依据线损能域图模型判别是否存在表外用电设备及异常</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2、依据拓扑关系及分段线损判别具体异常位置</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3、判断是否存在已供电未归档情况，接入营销业扩流程，对高损、负损等异常台区和业扩流程状态关联</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能源互联网系统：拓扑、分段线损</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计量自动化系统：线损率、供电量</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营销系统：营销业扩流程状态</w:t>
            </w:r>
          </w:p>
        </w:tc>
      </w:tr>
      <w:tr>
        <w:tblPrEx>
          <w:tblCellMar>
            <w:top w:w="0" w:type="dxa"/>
            <w:left w:w="108" w:type="dxa"/>
            <w:bottom w:w="0" w:type="dxa"/>
            <w:right w:w="108" w:type="dxa"/>
          </w:tblCellMar>
        </w:tblPrEx>
        <w:trPr>
          <w:trHeight w:val="102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运行工况（接线松动、接线端子、烧毁）异常诊断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1、判断是否存在反极性、错接线判别（0点-5点&amp;&amp;20点到0点，剔除发电户），存在任一相电流&lt;0</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2、判断是否存在失流、断相情况，依据电压电流数值判别</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计量自动化系统：用户档案信息、用户用电量、负荷曲线</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用户侧表底倒走异常诊断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近7日依据户表日采集电能示值是否存在数据倒走（下表底小于上表底）</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计量自动化系统：户表日采集电能示值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用户侧表底停走异常诊断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近7日依据户表日采集电能示值是否存在数据停走</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计量自动化系统：户表日采集电能示值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用户侧表计时钟异常诊断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依据总表最新户表时钟数据判断是否超差</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计量自动化系统：户表时钟数据</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用户侧表底缺失异常诊断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近7日依据户表日采集电能示值是否存在数据缺失</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计量自动化系统：户表日采集电能示值</w:t>
            </w:r>
          </w:p>
        </w:tc>
      </w:tr>
      <w:tr>
        <w:tblPrEx>
          <w:tblCellMar>
            <w:top w:w="0" w:type="dxa"/>
            <w:left w:w="108" w:type="dxa"/>
            <w:bottom w:w="0" w:type="dxa"/>
            <w:right w:w="108" w:type="dxa"/>
          </w:tblCellMar>
        </w:tblPrEx>
        <w:trPr>
          <w:trHeight w:val="480" w:hRule="atLeast"/>
        </w:trPr>
        <w:tc>
          <w:tcPr>
            <w:tcW w:w="529"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spacing w:line="360" w:lineRule="auto"/>
              <w:ind w:firstLine="440"/>
              <w:jc w:val="center"/>
              <w:rPr>
                <w:rFonts w:ascii="宋体" w:hAnsi="宋体" w:cs="宋体"/>
                <w:color w:val="000000"/>
                <w:sz w:val="22"/>
                <w:szCs w:val="22"/>
              </w:rPr>
            </w:pPr>
          </w:p>
        </w:tc>
        <w:tc>
          <w:tcPr>
            <w:tcW w:w="1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用户侧表底跳变异常诊断</w:t>
            </w:r>
          </w:p>
        </w:tc>
        <w:tc>
          <w:tcPr>
            <w:tcW w:w="20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近7日依据户表日采集电能示值是否存在数据跳变</w:t>
            </w:r>
          </w:p>
        </w:tc>
        <w:tc>
          <w:tcPr>
            <w:tcW w:w="10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before="120" w:beforeLines="50" w:line="360" w:lineRule="auto"/>
              <w:ind w:firstLine="0" w:firstLineChars="0"/>
              <w:jc w:val="left"/>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计量自动化系统：户表日采集电能示值</w:t>
            </w:r>
          </w:p>
        </w:tc>
      </w:tr>
    </w:tbl>
    <w:p>
      <w:pPr>
        <w:spacing w:line="360" w:lineRule="auto"/>
        <w:ind w:firstLine="0" w:firstLineChars="0"/>
      </w:pPr>
    </w:p>
    <w:p>
      <w:pPr>
        <w:pStyle w:val="5"/>
        <w:numPr>
          <w:ilvl w:val="0"/>
          <w:numId w:val="0"/>
        </w:numPr>
        <w:ind w:left="420"/>
      </w:pPr>
      <w:r>
        <w:rPr>
          <w:rFonts w:hint="eastAsia"/>
        </w:rPr>
        <w:t>1.</w:t>
      </w:r>
      <w:r>
        <w:t>2</w:t>
      </w:r>
      <w:r>
        <w:rPr>
          <w:rFonts w:hint="eastAsia"/>
        </w:rPr>
        <w:t>.</w:t>
      </w:r>
      <w:r>
        <w:t>2</w:t>
      </w:r>
      <w:r>
        <w:rPr>
          <w:rFonts w:hint="eastAsia"/>
        </w:rPr>
        <w:t>.</w:t>
      </w:r>
      <w:r>
        <w:t>2</w:t>
      </w:r>
      <w:r>
        <w:rPr>
          <w:rFonts w:hint="eastAsia"/>
        </w:rPr>
        <w:t>异常聚类特征分析（能域图）：</w:t>
      </w:r>
    </w:p>
    <w:p>
      <w:pPr>
        <w:spacing w:line="360" w:lineRule="auto"/>
        <w:ind w:firstLine="480"/>
        <w:rPr>
          <w:rFonts w:hint="eastAsia"/>
        </w:rPr>
      </w:pPr>
      <w:r>
        <w:rPr>
          <w:rFonts w:hint="eastAsia"/>
        </w:rPr>
        <w:t>系统提供线损能域图特征表现，并根据人工智能算法匹配的相关聚类特征进行异常问题的范围锁定。</w:t>
      </w:r>
    </w:p>
    <w:p>
      <w:pPr>
        <w:spacing w:line="360" w:lineRule="auto"/>
        <w:ind w:firstLine="480"/>
      </w:pPr>
      <w:r>
        <w:rPr>
          <w:rFonts w:hint="eastAsia"/>
        </w:rPr>
        <w:t>（1）影响线损计算结果的因素很多很多，各因素相互作用，很难轻易判断是什么样的原因造成的异常依据，鼎信依据在用采及线损业务多年业务累计及算法大数据分析分析线损的运行规律，并用直观的图形表达聚类特征。</w:t>
      </w:r>
    </w:p>
    <w:p>
      <w:pPr>
        <w:spacing w:line="360" w:lineRule="auto"/>
        <w:ind w:firstLine="482"/>
        <w:jc w:val="center"/>
        <w:rPr>
          <w:b/>
          <w:bCs/>
        </w:rPr>
      </w:pPr>
      <w:r>
        <w:rPr>
          <w:rFonts w:hint="eastAsia"/>
          <w:b/>
          <w:bCs/>
        </w:rPr>
        <w:t>线损率典型运行区间</w:t>
      </w:r>
    </w:p>
    <w:p>
      <w:pPr>
        <w:spacing w:line="360" w:lineRule="auto"/>
        <w:ind w:firstLine="480"/>
        <w:jc w:val="center"/>
      </w:pPr>
      <w:r>
        <w:drawing>
          <wp:inline distT="0" distB="0" distL="114300" distR="114300">
            <wp:extent cx="4093845" cy="2962910"/>
            <wp:effectExtent l="0" t="0" r="5715" b="889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19"/>
                    <a:stretch>
                      <a:fillRect/>
                    </a:stretch>
                  </pic:blipFill>
                  <pic:spPr>
                    <a:xfrm>
                      <a:off x="0" y="0"/>
                      <a:ext cx="4093845" cy="2962910"/>
                    </a:xfrm>
                    <a:prstGeom prst="rect">
                      <a:avLst/>
                    </a:prstGeom>
                    <a:noFill/>
                    <a:ln>
                      <a:noFill/>
                    </a:ln>
                  </pic:spPr>
                </pic:pic>
              </a:graphicData>
            </a:graphic>
          </wp:inline>
        </w:drawing>
      </w:r>
    </w:p>
    <w:p>
      <w:pPr>
        <w:spacing w:line="360" w:lineRule="auto"/>
        <w:ind w:firstLine="480"/>
      </w:pPr>
      <w:r>
        <w:rPr>
          <w:rFonts w:hint="eastAsia"/>
        </w:rPr>
        <w:t>特征聚类① ：线损实际运行数据在设定区间内，表示该台区运行线损正常。</w:t>
      </w:r>
    </w:p>
    <w:p>
      <w:pPr>
        <w:widowControl/>
        <w:spacing w:line="360" w:lineRule="auto"/>
        <w:ind w:firstLine="480"/>
        <w:jc w:val="left"/>
      </w:pPr>
      <w:r>
        <w:rPr>
          <w:rFonts w:ascii="宋体" w:hAnsi="宋体" w:cs="宋体"/>
          <w:kern w:val="0"/>
          <w:lang w:bidi="ar"/>
        </w:rPr>
        <w:drawing>
          <wp:inline distT="0" distB="0" distL="114300" distR="114300">
            <wp:extent cx="5177790" cy="2096770"/>
            <wp:effectExtent l="0" t="0" r="3810" b="6350"/>
            <wp:docPr id="5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56"/>
                    <pic:cNvPicPr>
                      <a:picLocks noChangeAspect="1"/>
                    </pic:cNvPicPr>
                  </pic:nvPicPr>
                  <pic:blipFill>
                    <a:blip r:embed="rId20"/>
                    <a:stretch>
                      <a:fillRect/>
                    </a:stretch>
                  </pic:blipFill>
                  <pic:spPr>
                    <a:xfrm>
                      <a:off x="0" y="0"/>
                      <a:ext cx="5177790" cy="2096770"/>
                    </a:xfrm>
                    <a:prstGeom prst="rect">
                      <a:avLst/>
                    </a:prstGeom>
                    <a:noFill/>
                    <a:ln w="9525">
                      <a:noFill/>
                    </a:ln>
                  </pic:spPr>
                </pic:pic>
              </a:graphicData>
            </a:graphic>
          </wp:inline>
        </w:drawing>
      </w:r>
    </w:p>
    <w:p>
      <w:pPr>
        <w:pStyle w:val="28"/>
        <w:spacing w:before="0" w:beforeAutospacing="0" w:after="0" w:afterAutospacing="0" w:line="360" w:lineRule="auto"/>
        <w:ind w:firstLine="480"/>
      </w:pPr>
    </w:p>
    <w:p>
      <w:pPr>
        <w:spacing w:line="360" w:lineRule="auto"/>
        <w:ind w:firstLine="480"/>
      </w:pPr>
      <w:r>
        <w:rPr>
          <w:rFonts w:hint="eastAsia"/>
        </w:rPr>
        <w:t>特征聚类② ：在小电量时，线损率偏高，且超出设定区间，说明存在额外的固定损耗未计量，如：配电房自用电、公共设施等。</w:t>
      </w:r>
    </w:p>
    <w:p>
      <w:pPr>
        <w:widowControl/>
        <w:spacing w:line="360" w:lineRule="auto"/>
        <w:ind w:firstLine="480"/>
        <w:jc w:val="left"/>
      </w:pPr>
      <w:r>
        <w:rPr>
          <w:rFonts w:ascii="宋体" w:hAnsi="宋体" w:cs="宋体"/>
          <w:kern w:val="0"/>
          <w:lang w:bidi="ar"/>
        </w:rPr>
        <w:drawing>
          <wp:inline distT="0" distB="0" distL="114300" distR="114300">
            <wp:extent cx="5181600" cy="2156460"/>
            <wp:effectExtent l="0" t="0" r="0" b="0"/>
            <wp:docPr id="51"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descr="IMG_257"/>
                    <pic:cNvPicPr>
                      <a:picLocks noChangeAspect="1"/>
                    </pic:cNvPicPr>
                  </pic:nvPicPr>
                  <pic:blipFill>
                    <a:blip r:embed="rId21"/>
                    <a:stretch>
                      <a:fillRect/>
                    </a:stretch>
                  </pic:blipFill>
                  <pic:spPr>
                    <a:xfrm>
                      <a:off x="0" y="0"/>
                      <a:ext cx="5185644" cy="2158238"/>
                    </a:xfrm>
                    <a:prstGeom prst="rect">
                      <a:avLst/>
                    </a:prstGeom>
                    <a:noFill/>
                    <a:ln w="9525">
                      <a:noFill/>
                    </a:ln>
                  </pic:spPr>
                </pic:pic>
              </a:graphicData>
            </a:graphic>
          </wp:inline>
        </w:drawing>
      </w:r>
    </w:p>
    <w:p>
      <w:pPr>
        <w:pStyle w:val="28"/>
        <w:spacing w:before="0" w:beforeAutospacing="0" w:after="0" w:afterAutospacing="0" w:line="360" w:lineRule="auto"/>
        <w:ind w:firstLine="480"/>
      </w:pPr>
    </w:p>
    <w:p>
      <w:pPr>
        <w:spacing w:line="360" w:lineRule="auto"/>
        <w:ind w:firstLine="480"/>
      </w:pPr>
      <w:r>
        <w:rPr>
          <w:rFonts w:hint="eastAsia"/>
        </w:rPr>
        <w:t>特征聚类③ ：在大电量时，线损率偏高，且超出设定区间，说明存在与负荷率正相关的额外损耗，通常表现为线路压降过大。</w:t>
      </w:r>
    </w:p>
    <w:p>
      <w:pPr>
        <w:widowControl/>
        <w:spacing w:line="360" w:lineRule="auto"/>
        <w:ind w:firstLine="480"/>
        <w:jc w:val="left"/>
      </w:pPr>
      <w:r>
        <w:rPr>
          <w:rFonts w:ascii="宋体" w:hAnsi="宋体" w:cs="宋体"/>
          <w:kern w:val="0"/>
          <w:lang w:bidi="ar"/>
        </w:rPr>
        <w:drawing>
          <wp:inline distT="0" distB="0" distL="114300" distR="114300">
            <wp:extent cx="5134610" cy="2141855"/>
            <wp:effectExtent l="0" t="0" r="0" b="0"/>
            <wp:docPr id="53"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descr="IMG_258"/>
                    <pic:cNvPicPr>
                      <a:picLocks noChangeAspect="1"/>
                    </pic:cNvPicPr>
                  </pic:nvPicPr>
                  <pic:blipFill>
                    <a:blip r:embed="rId22"/>
                    <a:stretch>
                      <a:fillRect/>
                    </a:stretch>
                  </pic:blipFill>
                  <pic:spPr>
                    <a:xfrm>
                      <a:off x="0" y="0"/>
                      <a:ext cx="5137103" cy="2143174"/>
                    </a:xfrm>
                    <a:prstGeom prst="rect">
                      <a:avLst/>
                    </a:prstGeom>
                    <a:noFill/>
                    <a:ln w="9525">
                      <a:noFill/>
                    </a:ln>
                  </pic:spPr>
                </pic:pic>
              </a:graphicData>
            </a:graphic>
          </wp:inline>
        </w:drawing>
      </w:r>
    </w:p>
    <w:p>
      <w:pPr>
        <w:pStyle w:val="28"/>
        <w:spacing w:before="0" w:beforeAutospacing="0" w:after="0" w:afterAutospacing="0" w:line="360" w:lineRule="auto"/>
        <w:ind w:firstLine="480"/>
      </w:pPr>
    </w:p>
    <w:p>
      <w:pPr>
        <w:spacing w:line="360" w:lineRule="auto"/>
        <w:ind w:firstLine="480"/>
      </w:pPr>
      <w:r>
        <w:rPr>
          <w:rFonts w:hint="eastAsia"/>
        </w:rPr>
        <w:t>特征聚类④ ：线损率分布散乱，说明某种异常原因破坏了线损规律，如计量异常、窃电或户变关系错误、时差表等情况。</w:t>
      </w:r>
    </w:p>
    <w:p>
      <w:pPr>
        <w:widowControl/>
        <w:spacing w:line="360" w:lineRule="auto"/>
        <w:ind w:firstLine="480"/>
        <w:jc w:val="left"/>
        <w:rPr>
          <w:rFonts w:ascii="宋体" w:hAnsi="宋体" w:cs="宋体"/>
          <w:kern w:val="0"/>
          <w:lang w:bidi="ar"/>
        </w:rPr>
      </w:pPr>
      <w:r>
        <w:rPr>
          <w:rFonts w:ascii="宋体" w:hAnsi="宋体" w:cs="宋体"/>
          <w:kern w:val="0"/>
          <w:lang w:bidi="ar"/>
        </w:rPr>
        <w:drawing>
          <wp:inline distT="0" distB="0" distL="114300" distR="114300">
            <wp:extent cx="5273040" cy="2226945"/>
            <wp:effectExtent l="0" t="0" r="3810" b="1905"/>
            <wp:docPr id="54"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descr="IMG_259"/>
                    <pic:cNvPicPr>
                      <a:picLocks noChangeAspect="1"/>
                    </pic:cNvPicPr>
                  </pic:nvPicPr>
                  <pic:blipFill>
                    <a:blip r:embed="rId23"/>
                    <a:stretch>
                      <a:fillRect/>
                    </a:stretch>
                  </pic:blipFill>
                  <pic:spPr>
                    <a:xfrm>
                      <a:off x="0" y="0"/>
                      <a:ext cx="5284740" cy="2232079"/>
                    </a:xfrm>
                    <a:prstGeom prst="rect">
                      <a:avLst/>
                    </a:prstGeom>
                    <a:noFill/>
                    <a:ln w="9525">
                      <a:noFill/>
                    </a:ln>
                  </pic:spPr>
                </pic:pic>
              </a:graphicData>
            </a:graphic>
          </wp:inline>
        </w:drawing>
      </w:r>
    </w:p>
    <w:p>
      <w:pPr>
        <w:pStyle w:val="5"/>
        <w:numPr>
          <w:ilvl w:val="0"/>
          <w:numId w:val="0"/>
        </w:numPr>
        <w:ind w:left="420"/>
        <w:rPr>
          <w:lang w:val="en-US"/>
        </w:rPr>
      </w:pPr>
      <w:r>
        <w:rPr>
          <w:rFonts w:hint="eastAsia"/>
        </w:rPr>
        <w:t>1.</w:t>
      </w:r>
      <w:r>
        <w:t>2</w:t>
      </w:r>
      <w:r>
        <w:rPr>
          <w:rFonts w:hint="eastAsia"/>
        </w:rPr>
        <w:t>.</w:t>
      </w:r>
      <w:r>
        <w:t>2</w:t>
      </w:r>
      <w:r>
        <w:rPr>
          <w:rFonts w:hint="eastAsia"/>
        </w:rPr>
        <w:t>.</w:t>
      </w:r>
      <w:r>
        <w:t>3</w:t>
      </w:r>
      <w:r>
        <w:rPr>
          <w:rFonts w:hint="eastAsia"/>
        </w:rPr>
        <w:t>异常场景专项分析治理</w:t>
      </w:r>
      <w:r>
        <w:rPr>
          <w:rFonts w:hint="eastAsia"/>
          <w:lang w:eastAsia="zh-CN"/>
        </w:rPr>
        <w:t>（</w:t>
      </w:r>
      <w:r>
        <w:rPr>
          <w:rFonts w:hint="eastAsia"/>
          <w:lang w:val="en-US" w:eastAsia="zh-CN"/>
        </w:rPr>
        <w:t>根据台区标签</w:t>
      </w:r>
      <w:r>
        <w:rPr>
          <w:rFonts w:hint="eastAsia"/>
          <w:lang w:eastAsia="zh-CN"/>
        </w:rPr>
        <w:t>）</w:t>
      </w:r>
      <w:r>
        <w:rPr>
          <w:rFonts w:hint="eastAsia"/>
        </w:rPr>
        <w:t>：</w:t>
      </w:r>
      <w:bookmarkStart w:id="1" w:name="_Toc76499160"/>
    </w:p>
    <w:p>
      <w:pPr>
        <w:spacing w:line="360" w:lineRule="auto"/>
        <w:ind w:firstLine="480"/>
      </w:pPr>
      <w:r>
        <w:rPr>
          <w:rFonts w:hint="eastAsia"/>
        </w:rPr>
        <w:t>（</w:t>
      </w:r>
      <w:r>
        <w:t>1</w:t>
      </w:r>
      <w:r>
        <w:rPr>
          <w:rFonts w:hint="eastAsia"/>
        </w:rPr>
        <w:t>）小负损治理特色功能</w:t>
      </w:r>
    </w:p>
    <w:p>
      <w:pPr>
        <w:spacing w:line="360" w:lineRule="auto"/>
        <w:ind w:firstLine="480"/>
      </w:pPr>
      <w:r>
        <w:rPr>
          <w:rFonts w:hint="eastAsia"/>
        </w:rPr>
        <w:t>① 利用停电监测系统核实线-变-户关系</w:t>
      </w:r>
    </w:p>
    <w:p>
      <w:pPr>
        <w:spacing w:line="360" w:lineRule="auto"/>
        <w:ind w:firstLine="480"/>
        <w:rPr>
          <w:highlight w:val="yellow"/>
        </w:rPr>
      </w:pPr>
      <w:r>
        <w:rPr>
          <w:rFonts w:hint="eastAsia"/>
          <w:highlight w:val="yellow"/>
        </w:rPr>
        <w:t>单电源变压器停电时间段内，应出现失压失流现象若线路停电，而变压器未失压失流，则可判断线变关系不对。利用营配调系统停电事件调取同一时间段内计量自动化系统变压器总表失流失压情况判断线变关系是否正确。</w:t>
      </w:r>
    </w:p>
    <w:p>
      <w:pPr>
        <w:spacing w:line="360" w:lineRule="auto"/>
        <w:ind w:firstLine="480"/>
        <w:rPr>
          <w:rFonts w:hint="eastAsia"/>
        </w:rPr>
      </w:pPr>
      <w:r>
        <w:rPr>
          <w:rFonts w:hint="eastAsia"/>
        </w:rPr>
        <w:t>对于台区侧，利用电能表的停上电事件时间和变压器的停上电时间（终端停上电事件时间）进行对比的方案，综合分析进行台区归属问题的分析处理，实现系统自动监测变压器（终端）、电能表的停上电事件，通过对比停电时间，综合分析低压户表串台区情况，输出串台区电能表明细。</w:t>
      </w:r>
    </w:p>
    <w:p>
      <w:pPr>
        <w:spacing w:line="360" w:lineRule="auto"/>
        <w:ind w:firstLine="480"/>
      </w:pPr>
      <w:r>
        <w:rPr>
          <w:rFonts w:hint="eastAsia"/>
        </w:rPr>
        <w:t>② 通过电压、电流以及功率，计算出相电压与相电流夹角，判断接线是否正确。采集系统记录了电压、电流和功率情况，结合自研的概率算法模型，通过这些数据能够反算出 Φ 的角度，画出向量图，从而判断出接线是否错误，并给出分析处理建议，大大提高了问题发现的速度和便利性。</w:t>
      </w:r>
    </w:p>
    <w:p>
      <w:pPr>
        <w:spacing w:line="360" w:lineRule="auto"/>
        <w:ind w:firstLine="480"/>
        <w:jc w:val="center"/>
      </w:pPr>
      <w:r>
        <w:drawing>
          <wp:inline distT="0" distB="0" distL="0" distR="0">
            <wp:extent cx="5058410" cy="2434590"/>
            <wp:effectExtent l="0" t="0" r="1270" b="3810"/>
            <wp:docPr id="29797" name="图片 2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 name="图片 297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61715" cy="2436172"/>
                    </a:xfrm>
                    <a:prstGeom prst="rect">
                      <a:avLst/>
                    </a:prstGeom>
                    <a:noFill/>
                    <a:ln>
                      <a:noFill/>
                    </a:ln>
                  </pic:spPr>
                </pic:pic>
              </a:graphicData>
            </a:graphic>
          </wp:inline>
        </w:drawing>
      </w:r>
    </w:p>
    <w:p>
      <w:pPr>
        <w:spacing w:line="360" w:lineRule="auto"/>
        <w:ind w:firstLine="480"/>
      </w:pPr>
      <w:r>
        <w:rPr>
          <w:rFonts w:hint="eastAsia"/>
        </w:rPr>
        <w:t>③ 监测小负损台区负值稳定程度及负载率：小负损往往出现在负载率较低的台区，且负值相对稳定</w:t>
      </w:r>
    </w:p>
    <w:p>
      <w:pPr>
        <w:spacing w:line="360" w:lineRule="auto"/>
        <w:ind w:firstLine="480"/>
      </w:pPr>
      <w:r>
        <w:rPr>
          <w:rFonts w:hint="eastAsia"/>
        </w:rPr>
        <w:t>④ 监测分布式电源等反向电量未配置布式电源等反向电量是否未配置</w:t>
      </w:r>
    </w:p>
    <w:p>
      <w:pPr>
        <w:spacing w:line="360" w:lineRule="auto"/>
        <w:ind w:firstLine="480"/>
      </w:pPr>
      <w:r>
        <w:rPr>
          <w:rFonts w:hint="eastAsia"/>
        </w:rPr>
        <w:t>⑤ 表计或者互感器故障</w:t>
      </w:r>
    </w:p>
    <w:p>
      <w:pPr>
        <w:spacing w:line="360" w:lineRule="auto"/>
        <w:ind w:firstLine="480"/>
      </w:pPr>
      <w:r>
        <w:rPr>
          <w:rFonts w:hint="eastAsia"/>
        </w:rPr>
        <w:t>利用电流电压监测是否不在电表计量额定值范围内、互感器变比与变压器容量是否匹配等方式发现表计或者互感器故障导致的计量失准。</w:t>
      </w:r>
    </w:p>
    <w:bookmarkEnd w:id="1"/>
    <w:p>
      <w:pPr>
        <w:pStyle w:val="5"/>
        <w:numPr>
          <w:ilvl w:val="0"/>
          <w:numId w:val="0"/>
        </w:numPr>
      </w:pPr>
      <w:r>
        <w:rPr>
          <w:rFonts w:hint="eastAsia"/>
        </w:rPr>
        <w:t>1.</w:t>
      </w:r>
      <w:r>
        <w:t>2</w:t>
      </w:r>
      <w:r>
        <w:rPr>
          <w:rFonts w:hint="eastAsia"/>
        </w:rPr>
        <w:t>.</w:t>
      </w:r>
      <w:r>
        <w:t>2</w:t>
      </w:r>
      <w:r>
        <w:rPr>
          <w:rFonts w:hint="eastAsia"/>
        </w:rPr>
        <w:t>.</w:t>
      </w:r>
      <w:r>
        <w:t>4</w:t>
      </w:r>
      <w:r>
        <w:rPr>
          <w:rFonts w:hint="eastAsia"/>
        </w:rPr>
        <w:t>线损</w:t>
      </w:r>
      <w:r>
        <w:rPr>
          <w:rFonts w:hint="eastAsia"/>
          <w:lang w:val="en-US" w:eastAsia="zh-CN"/>
        </w:rPr>
        <w:t>时光</w:t>
      </w:r>
      <w:r>
        <w:rPr>
          <w:rFonts w:hint="eastAsia"/>
        </w:rPr>
        <w:t>轴（时域图）</w:t>
      </w:r>
    </w:p>
    <w:p>
      <w:pPr>
        <w:spacing w:line="360" w:lineRule="auto"/>
        <w:ind w:firstLine="480"/>
      </w:pPr>
      <w:r>
        <w:rPr>
          <w:rFonts w:hint="eastAsia"/>
        </w:rPr>
        <w:t>系统提供异常台区/线路的时间维度变化情况及历史数据展示功能，通过曲线图的形式展示线路前6个月达标线损率中位数、线损率中位数+线损率波动阈值、负损线损率值-1%、高损线损率值10%及线损变化曲线，并展示系统研判结果，并线损线损类型（高损、负损、风险等）。</w:t>
      </w:r>
    </w:p>
    <w:p>
      <w:pPr>
        <w:spacing w:line="360" w:lineRule="auto"/>
        <w:ind w:firstLine="0" w:firstLineChars="0"/>
        <w:jc w:val="center"/>
      </w:pPr>
      <w:r>
        <w:drawing>
          <wp:inline distT="0" distB="0" distL="114300" distR="114300">
            <wp:extent cx="5427345" cy="1687195"/>
            <wp:effectExtent l="0" t="0" r="1905" b="825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5436326" cy="1690066"/>
                    </a:xfrm>
                    <a:prstGeom prst="rect">
                      <a:avLst/>
                    </a:prstGeom>
                    <a:noFill/>
                    <a:ln>
                      <a:noFill/>
                    </a:ln>
                  </pic:spPr>
                </pic:pic>
              </a:graphicData>
            </a:graphic>
          </wp:inline>
        </w:drawing>
      </w:r>
    </w:p>
    <w:p>
      <w:pPr>
        <w:pStyle w:val="5"/>
        <w:numPr>
          <w:ilvl w:val="0"/>
          <w:numId w:val="0"/>
        </w:numPr>
      </w:pPr>
      <w:r>
        <w:rPr>
          <w:rFonts w:hint="eastAsia"/>
        </w:rPr>
        <w:t>1.</w:t>
      </w:r>
      <w:r>
        <w:t>2</w:t>
      </w:r>
      <w:r>
        <w:rPr>
          <w:rFonts w:hint="eastAsia"/>
        </w:rPr>
        <w:t>.</w:t>
      </w:r>
      <w:r>
        <w:t>2</w:t>
      </w:r>
      <w:r>
        <w:rPr>
          <w:rFonts w:hint="eastAsia"/>
        </w:rPr>
        <w:t>.</w:t>
      </w:r>
      <w:r>
        <w:t>5</w:t>
      </w:r>
      <w:r>
        <w:rPr>
          <w:rFonts w:hint="eastAsia"/>
        </w:rPr>
        <w:t>线损K值及相关性分析</w:t>
      </w:r>
    </w:p>
    <w:p>
      <w:pPr>
        <w:spacing w:line="360" w:lineRule="auto"/>
        <w:ind w:firstLine="480"/>
      </w:pPr>
      <w:r>
        <w:rPr>
          <w:rFonts w:hint="eastAsia"/>
        </w:rPr>
        <w:t>系统提供K值分析结论、曲线变化图及依据（K值异常是指选取近15日线损率突变较高的2个拐点日，用户用电量与元件模型损失电量比值高的用户判定为K值异常），系统根据选择的线损突变时间段，进行“时间段确认”，系统查询后判定并展示结论。</w:t>
      </w:r>
    </w:p>
    <w:p>
      <w:pPr>
        <w:spacing w:line="360" w:lineRule="auto"/>
        <w:ind w:firstLine="480"/>
      </w:pPr>
      <w:r>
        <w:rPr>
          <w:rFonts w:hint="eastAsia"/>
        </w:rPr>
        <w:t>系统提供相关性分析结论、曲线变化图及依据（相关性高是指用户电量偏差与元件模型损失电量偏差情况一致），系统根据选择的线损突变时间段，进行“时间段确认”，系统查询后判定并展示结论。</w:t>
      </w:r>
    </w:p>
    <w:p>
      <w:pPr>
        <w:spacing w:line="360" w:lineRule="auto"/>
        <w:ind w:firstLine="0" w:firstLineChars="0"/>
        <w:jc w:val="center"/>
      </w:pPr>
      <w:r>
        <w:drawing>
          <wp:inline distT="0" distB="0" distL="114300" distR="114300">
            <wp:extent cx="4442460" cy="3149600"/>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6"/>
                    <a:stretch>
                      <a:fillRect/>
                    </a:stretch>
                  </pic:blipFill>
                  <pic:spPr>
                    <a:xfrm>
                      <a:off x="0" y="0"/>
                      <a:ext cx="4469382" cy="3168419"/>
                    </a:xfrm>
                    <a:prstGeom prst="rect">
                      <a:avLst/>
                    </a:prstGeom>
                    <a:noFill/>
                    <a:ln>
                      <a:noFill/>
                    </a:ln>
                  </pic:spPr>
                </pic:pic>
              </a:graphicData>
            </a:graphic>
          </wp:inline>
        </w:drawing>
      </w:r>
    </w:p>
    <w:p>
      <w:pPr>
        <w:pStyle w:val="5"/>
        <w:numPr>
          <w:ilvl w:val="0"/>
          <w:numId w:val="0"/>
        </w:numPr>
      </w:pPr>
      <w:r>
        <w:rPr>
          <w:rFonts w:hint="eastAsia"/>
        </w:rPr>
        <w:t>1.</w:t>
      </w:r>
      <w:r>
        <w:t>2</w:t>
      </w:r>
      <w:r>
        <w:rPr>
          <w:rFonts w:hint="eastAsia"/>
        </w:rPr>
        <w:t>.</w:t>
      </w:r>
      <w:r>
        <w:t>2</w:t>
      </w:r>
      <w:r>
        <w:rPr>
          <w:rFonts w:hint="eastAsia"/>
        </w:rPr>
        <w:t>.</w:t>
      </w:r>
      <w:r>
        <w:t>6</w:t>
      </w:r>
      <w:r>
        <w:rPr>
          <w:rFonts w:hint="eastAsia"/>
        </w:rPr>
        <w:t>异常成因综合研判</w:t>
      </w:r>
    </w:p>
    <w:p>
      <w:pPr>
        <w:spacing w:line="360" w:lineRule="auto"/>
        <w:ind w:firstLine="480"/>
      </w:pPr>
      <w:r>
        <w:rPr>
          <w:rFonts w:hint="eastAsia"/>
        </w:rPr>
        <w:t>系统依据算法研判结果、K值相关性分析结论及能域图、时域图锁定问题范围进行研判结论的联动研判，并结合电能表失准异常告警信息等进行双重验证，最终输出置信度高的研判结论及治理详细步骤和治理可行性预测结论。</w:t>
      </w:r>
    </w:p>
    <w:p>
      <w:pPr>
        <w:pStyle w:val="5"/>
        <w:numPr>
          <w:ilvl w:val="0"/>
          <w:numId w:val="0"/>
        </w:numPr>
        <w:rPr>
          <w:rFonts w:hint="default" w:eastAsia="宋体"/>
          <w:lang w:val="en-US" w:eastAsia="zh-CN"/>
        </w:rPr>
      </w:pPr>
      <w:r>
        <w:rPr>
          <w:rFonts w:hint="eastAsia"/>
        </w:rPr>
        <w:t>1.</w:t>
      </w:r>
      <w:r>
        <w:t>2</w:t>
      </w:r>
      <w:r>
        <w:rPr>
          <w:rFonts w:hint="eastAsia"/>
        </w:rPr>
        <w:t>.</w:t>
      </w:r>
      <w:r>
        <w:t>2</w:t>
      </w:r>
      <w:r>
        <w:rPr>
          <w:rFonts w:hint="eastAsia"/>
        </w:rPr>
        <w:t>.</w:t>
      </w:r>
      <w:r>
        <w:t>7</w:t>
      </w:r>
      <w:r>
        <w:rPr>
          <w:rFonts w:hint="eastAsia"/>
        </w:rPr>
        <w:t>线损治理指导模型及可行性分析</w:t>
      </w:r>
      <w:r>
        <w:rPr>
          <w:rFonts w:hint="eastAsia"/>
          <w:lang w:eastAsia="zh-CN"/>
        </w:rPr>
        <w:t>，</w:t>
      </w:r>
      <w:r>
        <w:rPr>
          <w:rFonts w:hint="eastAsia"/>
          <w:lang w:val="en-US" w:eastAsia="zh-CN"/>
        </w:rPr>
        <w:t>拟合验证（数据验证、现场抄读验证）</w:t>
      </w:r>
    </w:p>
    <w:p>
      <w:pPr>
        <w:spacing w:line="360" w:lineRule="auto"/>
        <w:ind w:firstLine="480"/>
      </w:pPr>
      <w:r>
        <w:rPr>
          <w:rFonts w:hint="eastAsia"/>
          <w:color w:val="FF0000"/>
        </w:rPr>
        <w:t>按照算法模型研判结果，系统出具线损治理的详细步骤及可行性预测（包含治理先后顺序，治理成效预测，治理线损率预测），</w:t>
      </w:r>
      <w:r>
        <w:rPr>
          <w:rFonts w:hint="eastAsia"/>
        </w:rPr>
        <w:t>责任人可以查看异常发布的相关明细和研判情况，并根据提供的依据、步骤及相关数据进行现场治理，系统会根据治理反馈情况自动核实治理结论，并持续监测线损是否达到预测治理值，后续可以根据现场实际核查治理，系统自动归档完成。</w:t>
      </w:r>
    </w:p>
    <w:p>
      <w:pPr>
        <w:pStyle w:val="4"/>
        <w:spacing w:line="360" w:lineRule="auto"/>
      </w:pPr>
      <w:r>
        <w:rPr>
          <w:rFonts w:hint="eastAsia"/>
        </w:rPr>
        <w:t>多重校验</w:t>
      </w:r>
    </w:p>
    <w:p>
      <w:pPr>
        <w:pStyle w:val="5"/>
        <w:numPr>
          <w:ilvl w:val="0"/>
          <w:numId w:val="0"/>
        </w:numPr>
        <w:ind w:left="419" w:hanging="419" w:hangingChars="174"/>
      </w:pPr>
      <w:r>
        <w:rPr>
          <w:rFonts w:hint="eastAsia"/>
        </w:rPr>
        <w:t>1.</w:t>
      </w:r>
      <w:r>
        <w:t>2</w:t>
      </w:r>
      <w:r>
        <w:rPr>
          <w:rFonts w:hint="eastAsia"/>
        </w:rPr>
        <w:t>.</w:t>
      </w:r>
      <w:r>
        <w:t>3</w:t>
      </w:r>
      <w:r>
        <w:rPr>
          <w:rFonts w:hint="eastAsia"/>
        </w:rPr>
        <w:t>.</w:t>
      </w:r>
      <w:r>
        <w:t>1</w:t>
      </w:r>
      <w:r>
        <w:rPr>
          <w:rFonts w:hint="eastAsia"/>
        </w:rPr>
        <w:t>基于点面结合的异常双重校验</w:t>
      </w:r>
    </w:p>
    <w:p>
      <w:pPr>
        <w:spacing w:line="360" w:lineRule="auto"/>
        <w:ind w:firstLine="480"/>
      </w:pPr>
      <w:r>
        <w:rPr>
          <w:rFonts w:hint="eastAsia"/>
        </w:rPr>
        <w:t>对于研判识别的告警情况通过打通与电能表失准分析平台通讯链路，接口的形式调取数据源系统相关数据（如电能表超差异常预警信息等），从“由点及面（基于能量守恒的原则分析台区线损与电能表电量的相关性）”和“由面及点（从线损计算模型组成的各个影响因素逐个分析异常）”两个不同的方向验证研判结论，。</w:t>
      </w:r>
    </w:p>
    <w:p>
      <w:pPr>
        <w:pStyle w:val="5"/>
        <w:numPr>
          <w:ilvl w:val="0"/>
          <w:numId w:val="0"/>
        </w:numPr>
        <w:ind w:left="419" w:hanging="419" w:hangingChars="174"/>
      </w:pPr>
      <w:r>
        <w:rPr>
          <w:rFonts w:hint="eastAsia"/>
        </w:rPr>
        <w:t>1.</w:t>
      </w:r>
      <w:r>
        <w:t>2</w:t>
      </w:r>
      <w:r>
        <w:rPr>
          <w:rFonts w:hint="eastAsia"/>
        </w:rPr>
        <w:t>.</w:t>
      </w:r>
      <w:r>
        <w:t>3</w:t>
      </w:r>
      <w:r>
        <w:rPr>
          <w:rFonts w:hint="eastAsia"/>
        </w:rPr>
        <w:t>.</w:t>
      </w:r>
      <w:r>
        <w:t>1</w:t>
      </w:r>
      <w:r>
        <w:rPr>
          <w:rFonts w:hint="eastAsia"/>
        </w:rPr>
        <w:t>基于实时通讯的异常校验</w:t>
      </w:r>
    </w:p>
    <w:p>
      <w:pPr>
        <w:spacing w:line="360" w:lineRule="auto"/>
        <w:ind w:firstLine="480"/>
        <w:rPr>
          <w:rFonts w:hint="eastAsia"/>
        </w:rPr>
      </w:pPr>
      <w:r>
        <w:rPr>
          <w:rFonts w:hint="eastAsia"/>
        </w:rPr>
        <w:t>对于研判识别的告警情况通过与现场设备通讯链路，透传形式直抄相关设备实时数据（如用户开表盖事件、表计时钟、零火线电流等），确保研判结果的置信度。</w:t>
      </w:r>
    </w:p>
    <w:p>
      <w:pPr>
        <w:pStyle w:val="5"/>
        <w:numPr>
          <w:ilvl w:val="0"/>
          <w:numId w:val="0"/>
        </w:numPr>
        <w:ind w:left="419" w:hanging="419" w:hangingChars="174"/>
      </w:pPr>
      <w:r>
        <w:rPr>
          <w:rFonts w:hint="eastAsia"/>
        </w:rPr>
        <w:t>1.</w:t>
      </w:r>
      <w:r>
        <w:t>2</w:t>
      </w:r>
      <w:r>
        <w:rPr>
          <w:rFonts w:hint="eastAsia"/>
        </w:rPr>
        <w:t>.</w:t>
      </w:r>
      <w:r>
        <w:t>3</w:t>
      </w:r>
      <w:r>
        <w:rPr>
          <w:rFonts w:hint="eastAsia"/>
        </w:rPr>
        <w:t>.</w:t>
      </w:r>
      <w:r>
        <w:t>2</w:t>
      </w:r>
      <w:r>
        <w:rPr>
          <w:rFonts w:hint="eastAsia"/>
        </w:rPr>
        <w:t>基于H</w:t>
      </w:r>
      <w:r>
        <w:t>PLC</w:t>
      </w:r>
      <w:r>
        <w:rPr>
          <w:rFonts w:hint="eastAsia"/>
        </w:rPr>
        <w:t>的线损精益化及定位识别管理</w:t>
      </w:r>
    </w:p>
    <w:p>
      <w:pPr>
        <w:spacing w:line="360" w:lineRule="auto"/>
        <w:ind w:firstLine="480"/>
      </w:pPr>
      <w:r>
        <w:rPr>
          <w:rFonts w:hint="eastAsia"/>
        </w:rPr>
        <w:t>（1）载波通信户变关系识别</w:t>
      </w:r>
    </w:p>
    <w:p>
      <w:pPr>
        <w:spacing w:line="360" w:lineRule="auto"/>
        <w:ind w:firstLine="480"/>
      </w:pPr>
      <w:r>
        <w:rPr>
          <w:rFonts w:hint="eastAsia"/>
        </w:rPr>
        <w:t>通过电能表载波模块准确判断自身的供电台区，给出准确可靠的电能表台区归属，区分台区的户变对应关系。系统每日召测读取终端抄表信息，综合分析低压户表串台区情况，输出串台区电能表明细。</w:t>
      </w:r>
    </w:p>
    <w:p>
      <w:pPr>
        <w:spacing w:line="360" w:lineRule="auto"/>
        <w:ind w:firstLine="480"/>
      </w:pPr>
      <w:r>
        <w:rPr>
          <w:rFonts w:hint="eastAsia"/>
        </w:rPr>
        <w:t>（2）分段线损精益化管理</w:t>
      </w:r>
    </w:p>
    <w:p>
      <w:pPr>
        <w:spacing w:line="360" w:lineRule="auto"/>
        <w:ind w:firstLine="480"/>
      </w:pPr>
      <w:r>
        <w:rPr>
          <w:rFonts w:hint="eastAsia"/>
        </w:rPr>
        <w:t>基于台区电气拓扑识别，结合配变、分支、表箱、户表等各节点感知数据，实现分段线损计算。线损计算依托于低压自定义线路，用户可以自由定义该线路的供用电关系，然后系统自动计算得出其线损情况。</w:t>
      </w:r>
    </w:p>
    <w:p>
      <w:pPr>
        <w:spacing w:line="360" w:lineRule="auto"/>
        <w:ind w:firstLine="480"/>
      </w:pPr>
      <w:r>
        <w:rPr>
          <w:rFonts w:hint="eastAsia"/>
        </w:rPr>
        <w:t>分段线损结合台区拓扑展示实时曲线数据，图形化模式，曲线、表格相结合。分段线损的计算依托于线路的档案信息，配合采集回来的冻结数据、曲线数据，通过后台任务，进行精准计算，支持日级、小时级、15分钟级计算能力。支持展示数据自主化、定制化，通过线损值，定位电流、电压曲线异常前后时段、结合当时异常事件信息等，全方位，多数据域研判线损结果。</w:t>
      </w:r>
    </w:p>
    <w:p>
      <w:pPr>
        <w:spacing w:line="360" w:lineRule="auto"/>
        <w:ind w:firstLine="480"/>
      </w:pPr>
      <w:r>
        <w:drawing>
          <wp:inline distT="0" distB="0" distL="0" distR="0">
            <wp:extent cx="5274310" cy="3233420"/>
            <wp:effectExtent l="0" t="0" r="139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4310" cy="3233420"/>
                    </a:xfrm>
                    <a:prstGeom prst="rect">
                      <a:avLst/>
                    </a:prstGeom>
                  </pic:spPr>
                </pic:pic>
              </a:graphicData>
            </a:graphic>
          </wp:inline>
        </w:drawing>
      </w:r>
    </w:p>
    <w:p>
      <w:pPr>
        <w:pStyle w:val="107"/>
        <w:spacing w:before="24" w:after="120" w:line="360" w:lineRule="auto"/>
        <w:jc w:val="left"/>
      </w:pPr>
    </w:p>
    <w:p>
      <w:pPr>
        <w:pStyle w:val="4"/>
        <w:spacing w:line="360" w:lineRule="auto"/>
      </w:pPr>
      <w:r>
        <w:rPr>
          <w:rFonts w:hint="eastAsia"/>
        </w:rPr>
        <w:t>治理及验证</w:t>
      </w:r>
    </w:p>
    <w:p>
      <w:pPr>
        <w:pStyle w:val="5"/>
        <w:numPr>
          <w:ilvl w:val="0"/>
          <w:numId w:val="0"/>
        </w:numPr>
        <w:ind w:left="420"/>
      </w:pPr>
      <w:r>
        <w:rPr>
          <w:rFonts w:hint="eastAsia"/>
        </w:rPr>
        <w:t>1.</w:t>
      </w:r>
      <w:r>
        <w:t>2</w:t>
      </w:r>
      <w:r>
        <w:rPr>
          <w:rFonts w:hint="eastAsia"/>
        </w:rPr>
        <w:t>.</w:t>
      </w:r>
      <w:r>
        <w:t>4</w:t>
      </w:r>
      <w:r>
        <w:rPr>
          <w:rFonts w:hint="eastAsia"/>
        </w:rPr>
        <w:t>.</w:t>
      </w:r>
      <w:r>
        <w:t>1</w:t>
      </w:r>
      <w:r>
        <w:rPr>
          <w:rFonts w:hint="eastAsia"/>
        </w:rPr>
        <w:t>线损管理驾驶舱</w:t>
      </w:r>
    </w:p>
    <w:p>
      <w:pPr>
        <w:spacing w:line="360" w:lineRule="auto"/>
        <w:ind w:firstLine="480"/>
      </w:pPr>
      <w:r>
        <w:rPr>
          <w:rFonts w:hint="eastAsia"/>
        </w:rPr>
        <w:t>方案借鉴ToC产品设计交互理念，满足用户“线损直观了解、智能研判互动、简易操作闭环”的系统使用体验，通过构建“线损大脑”，打造线损“一屏掌控”的驾驶舱操控效果：</w:t>
      </w:r>
    </w:p>
    <w:p>
      <w:pPr>
        <w:spacing w:line="360" w:lineRule="auto"/>
        <w:ind w:firstLine="480"/>
      </w:pPr>
      <w:r>
        <w:rPr>
          <w:rFonts w:hint="eastAsia"/>
        </w:rPr>
        <w:t>（1）线损管理“一屏掌控”：驾驶舱（工作台）是业务各环节核心数据展示，是相关业务所有功能的入口，系统通过对线损治理整体流程的划归，将关键信息一屏展示，使业务与业务之间、功能与功能之间衔接更加紧密、直接。系统使用人员无需多次切换、寻找菜单即可完成某项业务管控。</w:t>
      </w:r>
    </w:p>
    <w:p>
      <w:pPr>
        <w:spacing w:line="360" w:lineRule="auto"/>
        <w:ind w:firstLine="480"/>
      </w:pPr>
      <w:r>
        <w:rPr>
          <w:rFonts w:hint="eastAsia"/>
        </w:rPr>
        <w:t>驾驶舱（工作台）展示的信息主要有异常情况（详细信息）、分类、严重程度、治理进度、研判结果（供电侧、售电侧等）</w:t>
      </w:r>
    </w:p>
    <w:p>
      <w:pPr>
        <w:spacing w:line="360" w:lineRule="auto"/>
        <w:ind w:firstLine="480"/>
      </w:pPr>
      <w:r>
        <w:rPr>
          <w:rFonts w:hint="eastAsia"/>
        </w:rPr>
        <w:t>（2）闭环管控“一键智判”，通过对线损分析的详细化展示（包含分析的明细、诊断分析结论依据、治理操作步骤等）和线损治理进度的“实时推送”，根据用户业务操作倾向，系统将更多的分析、流程、监测过程都放到后台利用算法和调度任务执行，大幅简化前端操作、只在前端留下线损闭环治理关键信息，实现线损闭环管控的一键智判。</w:t>
      </w:r>
    </w:p>
    <w:p>
      <w:pPr>
        <w:pStyle w:val="5"/>
        <w:numPr>
          <w:ilvl w:val="0"/>
          <w:numId w:val="0"/>
        </w:numPr>
        <w:ind w:left="420"/>
      </w:pPr>
      <w:r>
        <w:rPr>
          <w:rFonts w:hint="eastAsia"/>
        </w:rPr>
        <w:t>1.</w:t>
      </w:r>
      <w:r>
        <w:t>2</w:t>
      </w:r>
      <w:r>
        <w:rPr>
          <w:rFonts w:hint="eastAsia"/>
        </w:rPr>
        <w:t>.</w:t>
      </w:r>
      <w:r>
        <w:t>4</w:t>
      </w:r>
      <w:r>
        <w:rPr>
          <w:rFonts w:hint="eastAsia"/>
        </w:rPr>
        <w:t>.</w:t>
      </w:r>
      <w:r>
        <w:t>2</w:t>
      </w:r>
      <w:r>
        <w:rPr>
          <w:rFonts w:hint="eastAsia"/>
        </w:rPr>
        <w:t>闭环治理体系</w:t>
      </w:r>
    </w:p>
    <w:p>
      <w:pPr>
        <w:spacing w:line="360" w:lineRule="auto"/>
        <w:ind w:firstLine="480"/>
      </w:pPr>
      <w:r>
        <w:rPr>
          <w:rFonts w:hint="eastAsia"/>
        </w:rPr>
        <w:t>系统研发一种基于“跟踪治理机制”的归档闭环流程，按照任务清单和系统研判结论开展现场核查工作，并依据现场核实结果针对性开展消缺治理，推动降损过程化管理。</w:t>
      </w:r>
    </w:p>
    <w:p>
      <w:pPr>
        <w:spacing w:line="360" w:lineRule="auto"/>
        <w:ind w:firstLine="480"/>
      </w:pPr>
      <w:r>
        <w:rPr>
          <w:rFonts w:hint="eastAsia"/>
        </w:rPr>
        <w:t>系统提供一种基于“治理期限定制化配置、自动化归档闭环”的方法（可按照异常严重程度和影响范围，协同专业部门差异化合理设定治理期限，避免一刀切造成不合理负担），系统自动跟踪时限内的治理效果，完成后自动归档闭环，同时建立预警损失电量、挽回电量等降损效益量化评价机制，敦促任务完成、治理闭环。</w:t>
      </w:r>
    </w:p>
    <w:p>
      <w:pPr>
        <w:pStyle w:val="107"/>
        <w:spacing w:before="24" w:after="120" w:line="360" w:lineRule="auto"/>
        <w:rPr>
          <w:rFonts w:asciiTheme="minorEastAsia" w:hAnsiTheme="minorEastAsia"/>
          <w:szCs w:val="24"/>
        </w:rPr>
      </w:pPr>
      <w:r>
        <w:drawing>
          <wp:inline distT="0" distB="0" distL="114300" distR="114300">
            <wp:extent cx="5902325" cy="2373630"/>
            <wp:effectExtent l="0" t="0" r="1079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8"/>
                    <a:stretch>
                      <a:fillRect/>
                    </a:stretch>
                  </pic:blipFill>
                  <pic:spPr>
                    <a:xfrm>
                      <a:off x="0" y="0"/>
                      <a:ext cx="5902325" cy="2373630"/>
                    </a:xfrm>
                    <a:prstGeom prst="rect">
                      <a:avLst/>
                    </a:prstGeom>
                    <a:noFill/>
                    <a:ln>
                      <a:noFill/>
                    </a:ln>
                  </pic:spPr>
                </pic:pic>
              </a:graphicData>
            </a:graphic>
          </wp:inline>
        </w:drawing>
      </w:r>
    </w:p>
    <w:p>
      <w:pPr>
        <w:pStyle w:val="5"/>
        <w:numPr>
          <w:ilvl w:val="0"/>
          <w:numId w:val="0"/>
        </w:numPr>
      </w:pPr>
      <w:r>
        <w:rPr>
          <w:rFonts w:hint="eastAsia"/>
        </w:rPr>
        <w:t>1.</w:t>
      </w:r>
      <w:r>
        <w:t>2</w:t>
      </w:r>
      <w:r>
        <w:rPr>
          <w:rFonts w:hint="eastAsia"/>
        </w:rPr>
        <w:t>.</w:t>
      </w:r>
      <w:r>
        <w:t>4</w:t>
      </w:r>
      <w:r>
        <w:rPr>
          <w:rFonts w:hint="eastAsia"/>
        </w:rPr>
        <w:t>.</w:t>
      </w:r>
      <w:r>
        <w:t>3</w:t>
      </w:r>
      <w:r>
        <w:rPr>
          <w:rFonts w:hint="eastAsia"/>
        </w:rPr>
        <w:t>线损画像智能看板</w:t>
      </w:r>
    </w:p>
    <w:p>
      <w:pPr>
        <w:spacing w:line="360" w:lineRule="auto"/>
        <w:ind w:firstLine="480"/>
      </w:pPr>
      <w:r>
        <w:rPr>
          <w:rFonts w:hint="eastAsia"/>
        </w:rPr>
        <w:t>将日常线损监测工作中所需电量、线损、档案、模型等信息“一站式”归集，助力高效率的做好日常线损监测分析和治理工作。</w:t>
      </w:r>
    </w:p>
    <w:p>
      <w:pPr>
        <w:spacing w:line="360" w:lineRule="auto"/>
        <w:ind w:firstLine="480"/>
      </w:pPr>
      <w:r>
        <w:rPr>
          <w:rFonts w:hint="eastAsia"/>
        </w:rPr>
        <w:t>智能看板包含电量线损信息、基础档案信息、档案模型履历、台区/线路画像4个方面。</w:t>
      </w:r>
    </w:p>
    <w:p>
      <w:pPr>
        <w:spacing w:line="360" w:lineRule="auto"/>
        <w:ind w:firstLine="480"/>
      </w:pPr>
      <w:r>
        <w:rPr>
          <w:rFonts w:hint="eastAsia"/>
        </w:rPr>
        <w:t>（1）电量线损信息-电量线损情况</w:t>
      </w:r>
    </w:p>
    <w:p>
      <w:pPr>
        <w:spacing w:line="360" w:lineRule="auto"/>
        <w:ind w:firstLine="480"/>
      </w:pPr>
      <w:r>
        <w:rPr>
          <w:rFonts w:hint="eastAsia"/>
        </w:rPr>
        <w:t> 电量线损信息展示当前设备修复前/后电量线损情况、累计电量线损情况和设备采集情况，线路/台区线损预测，同时以折线图的形式展示近30天电量及线损率波动情况，及本月的预测情况。</w:t>
      </w:r>
    </w:p>
    <w:p>
      <w:pPr>
        <w:spacing w:line="360" w:lineRule="auto"/>
        <w:ind w:firstLine="480"/>
      </w:pPr>
      <w:r>
        <w:rPr>
          <w:rFonts w:hint="eastAsia"/>
        </w:rPr>
        <w:t>②电量线损信息-电量线损构成通过切换输入/输出电量、售电量、台区线损模块，展示不同电量构成及明细，同时点击线路关口、高压用户和台区明细，页面底部曲线刷新查看所选关口/用户/台区的正/反向电量曲线和电压、电流、功率、功率因数负荷类数据曲线。</w:t>
      </w:r>
    </w:p>
    <w:p>
      <w:pPr>
        <w:spacing w:line="360" w:lineRule="auto"/>
        <w:ind w:firstLine="480"/>
      </w:pPr>
      <w:r>
        <w:rPr>
          <w:rFonts w:hint="eastAsia"/>
        </w:rPr>
        <w:t>③电量线损信息-小时线损监测小时电量线损：展示当前线路小时输入电量、小时输出电量和小时线损率曲线，同时分别展示站出线开关、高压用户和台区的96点功率数据。</w:t>
      </w:r>
    </w:p>
    <w:p>
      <w:pPr>
        <w:spacing w:line="360" w:lineRule="auto"/>
        <w:ind w:firstLine="480"/>
      </w:pPr>
      <w:r>
        <w:rPr>
          <w:rFonts w:hint="eastAsia"/>
        </w:rPr>
        <w:t>（2）基础档案信息展示当前线路/台区设备档案信息包括：基本信息（资产编号、线路/台区名称、电压等级等）和物理信息（电阻、电抗、线路总长度等）。展示当前线路/台区下挂接的高压用户和台区信息。</w:t>
      </w:r>
    </w:p>
    <w:p>
      <w:pPr>
        <w:spacing w:line="360" w:lineRule="auto"/>
        <w:ind w:firstLine="480"/>
      </w:pPr>
      <w:r>
        <w:rPr>
          <w:rFonts w:hint="eastAsia"/>
        </w:rPr>
        <w:t>（3）档案模型履历 展示当前设备档案异动信息及模型异动信息。</w:t>
      </w:r>
    </w:p>
    <w:p>
      <w:pPr>
        <w:spacing w:line="360" w:lineRule="auto"/>
        <w:ind w:firstLine="480"/>
      </w:pPr>
      <w:r>
        <w:rPr>
          <w:rFonts w:hint="eastAsia"/>
        </w:rPr>
        <w:t>（4）线路/台区画像展示线路/台区经大数据分析后的薄弱环节（档案关系问题、链路传输问题、电网运行问题、采集计量问题、客户用电问题五角图），电量与线损监测，历史数据统计，以曲线形式展示近段时间内的线损监测等信息。</w:t>
      </w:r>
    </w:p>
    <w:p>
      <w:pPr>
        <w:pStyle w:val="5"/>
        <w:numPr>
          <w:ilvl w:val="0"/>
          <w:numId w:val="0"/>
        </w:numPr>
      </w:pPr>
      <w:r>
        <w:rPr>
          <w:rFonts w:hint="eastAsia"/>
        </w:rPr>
        <w:t>1.</w:t>
      </w:r>
      <w:r>
        <w:t>2</w:t>
      </w:r>
      <w:r>
        <w:rPr>
          <w:rFonts w:hint="eastAsia"/>
        </w:rPr>
        <w:t>.</w:t>
      </w:r>
      <w:r>
        <w:t>4</w:t>
      </w:r>
      <w:r>
        <w:rPr>
          <w:rFonts w:hint="eastAsia"/>
        </w:rPr>
        <w:t>.</w:t>
      </w:r>
      <w:r>
        <w:t>4</w:t>
      </w:r>
      <w:r>
        <w:rPr>
          <w:rFonts w:hint="eastAsia"/>
        </w:rPr>
        <w:t>基于实时通讯的线损异常快速治理</w:t>
      </w:r>
    </w:p>
    <w:p>
      <w:pPr>
        <w:spacing w:line="360" w:lineRule="auto"/>
        <w:ind w:firstLine="480"/>
        <w:rPr>
          <w:rFonts w:hint="eastAsia"/>
        </w:rPr>
      </w:pPr>
      <w:r>
        <w:rPr>
          <w:rFonts w:hint="eastAsia"/>
        </w:rPr>
        <w:t>对于最终研判及治理结论为系统侧可操作的异常情况（可治理范围内的时钟超差、终端档案配置错误造成的线损异常、非通讯链路导致的采集失败等）系统自动发起治理流程，完成问题消缺及治理效果的校验。</w:t>
      </w:r>
    </w:p>
    <w:p>
      <w:pPr>
        <w:pStyle w:val="2"/>
        <w:numPr>
          <w:ilvl w:val="0"/>
          <w:numId w:val="0"/>
        </w:numPr>
        <w:ind w:left="420" w:hanging="420"/>
      </w:pPr>
      <w:bookmarkStart w:id="2" w:name="_Toc54603356"/>
      <w:r>
        <w:rPr>
          <w:rFonts w:hint="eastAsia"/>
        </w:rPr>
        <w:t>2、建设</w:t>
      </w:r>
      <w:bookmarkEnd w:id="2"/>
      <w:r>
        <w:rPr>
          <w:rFonts w:hint="eastAsia"/>
        </w:rPr>
        <w:t>方案</w:t>
      </w:r>
    </w:p>
    <w:p>
      <w:pPr>
        <w:pStyle w:val="99"/>
        <w:keepNext/>
        <w:keepLines/>
        <w:numPr>
          <w:ilvl w:val="0"/>
          <w:numId w:val="2"/>
        </w:numPr>
        <w:tabs>
          <w:tab w:val="left" w:pos="576"/>
        </w:tabs>
        <w:topLinePunct/>
        <w:adjustRightInd w:val="0"/>
        <w:snapToGrid w:val="0"/>
        <w:spacing w:line="360" w:lineRule="auto"/>
        <w:ind w:firstLineChars="0"/>
        <w:jc w:val="left"/>
        <w:textAlignment w:val="center"/>
        <w:outlineLvl w:val="1"/>
        <w:rPr>
          <w:rFonts w:hint="eastAsia" w:cs="宋体"/>
          <w:b/>
          <w:bCs/>
          <w:vanish/>
          <w:color w:val="000000"/>
          <w:kern w:val="0"/>
          <w:sz w:val="28"/>
          <w:szCs w:val="32"/>
        </w:rPr>
      </w:pPr>
    </w:p>
    <w:p>
      <w:pPr>
        <w:pStyle w:val="99"/>
        <w:keepNext/>
        <w:keepLines/>
        <w:numPr>
          <w:ilvl w:val="0"/>
          <w:numId w:val="2"/>
        </w:numPr>
        <w:tabs>
          <w:tab w:val="left" w:pos="576"/>
        </w:tabs>
        <w:topLinePunct/>
        <w:adjustRightInd w:val="0"/>
        <w:snapToGrid w:val="0"/>
        <w:spacing w:line="360" w:lineRule="auto"/>
        <w:ind w:firstLineChars="0"/>
        <w:jc w:val="left"/>
        <w:textAlignment w:val="center"/>
        <w:outlineLvl w:val="1"/>
        <w:rPr>
          <w:rFonts w:hint="eastAsia" w:cs="宋体"/>
          <w:b/>
          <w:bCs/>
          <w:vanish/>
          <w:color w:val="000000"/>
          <w:kern w:val="0"/>
          <w:sz w:val="28"/>
          <w:szCs w:val="32"/>
        </w:rPr>
      </w:pPr>
    </w:p>
    <w:p>
      <w:pPr>
        <w:pStyle w:val="3"/>
        <w:spacing w:line="360" w:lineRule="auto"/>
      </w:pPr>
      <w:r>
        <w:rPr>
          <w:rFonts w:hint="eastAsia"/>
        </w:rPr>
        <w:t>（方案1）基于计量自动化（能源互联网）等采集前端系统的微应用</w:t>
      </w:r>
    </w:p>
    <w:p>
      <w:pPr>
        <w:pStyle w:val="99"/>
        <w:keepNext/>
        <w:keepLines/>
        <w:numPr>
          <w:ilvl w:val="0"/>
          <w:numId w:val="3"/>
        </w:numPr>
        <w:tabs>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lang w:val="sv-SE"/>
        </w:rPr>
      </w:pPr>
    </w:p>
    <w:p>
      <w:pPr>
        <w:pStyle w:val="99"/>
        <w:keepNext/>
        <w:keepLines/>
        <w:numPr>
          <w:ilvl w:val="1"/>
          <w:numId w:val="3"/>
        </w:numPr>
        <w:tabs>
          <w:tab w:val="left" w:pos="432"/>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lang w:val="sv-SE"/>
        </w:rPr>
      </w:pPr>
    </w:p>
    <w:p>
      <w:pPr>
        <w:pStyle w:val="4"/>
        <w:spacing w:line="360" w:lineRule="auto"/>
      </w:pPr>
      <w:r>
        <w:rPr>
          <w:rFonts w:hint="eastAsia"/>
        </w:rPr>
        <w:t>整体架构</w:t>
      </w:r>
    </w:p>
    <w:p>
      <w:pPr>
        <w:pStyle w:val="94"/>
        <w:spacing w:line="360" w:lineRule="auto"/>
        <w:ind w:left="-1080" w:leftChars="-450" w:firstLine="0" w:firstLineChars="0"/>
      </w:pPr>
      <w:r>
        <w:rPr>
          <w:rFonts w:hint="eastAsia"/>
        </w:rPr>
        <w:object>
          <v:shape id="_x0000_i1028" o:spt="75" alt="" type="#_x0000_t75" style="height:340pt;width:590pt;" o:ole="t" filled="f" o:preferrelative="t" stroked="f" coordsize="21600,21600">
            <v:path/>
            <v:fill on="f" focussize="0,0"/>
            <v:stroke on="f"/>
            <v:imagedata r:id="rId30" o:title=""/>
            <o:lock v:ext="edit" aspectratio="f"/>
            <w10:wrap type="none"/>
            <w10:anchorlock/>
          </v:shape>
          <o:OLEObject Type="Embed" ProgID="Visio.Drawing.15" ShapeID="_x0000_i1028" DrawAspect="Content" ObjectID="_1468075725" r:id="rId29">
            <o:LockedField>false</o:LockedField>
          </o:OLEObject>
        </w:object>
      </w:r>
    </w:p>
    <w:p>
      <w:pPr>
        <w:spacing w:line="360" w:lineRule="auto"/>
        <w:ind w:firstLine="480"/>
        <w:rPr>
          <w:rFonts w:hint="eastAsia"/>
        </w:rPr>
      </w:pPr>
    </w:p>
    <w:p>
      <w:pPr>
        <w:pStyle w:val="4"/>
        <w:spacing w:line="360" w:lineRule="auto"/>
      </w:pPr>
      <w:r>
        <w:rPr>
          <w:rFonts w:hint="eastAsia"/>
        </w:rPr>
        <w:t>方案优势</w:t>
      </w:r>
    </w:p>
    <w:p>
      <w:pPr>
        <w:spacing w:line="360" w:lineRule="auto"/>
        <w:ind w:firstLine="480"/>
      </w:pPr>
      <w:r>
        <w:rPr>
          <w:rFonts w:hint="eastAsia"/>
        </w:rPr>
        <w:t>（1）微应用位于采集前端系统，具备与现场设备通讯能力，可以方便实现涉及现场实时交互及实时数据召测任务等的功能，从而实现数据的多重校验，保证研判结果的准确性。</w:t>
      </w:r>
    </w:p>
    <w:p>
      <w:pPr>
        <w:spacing w:line="360" w:lineRule="auto"/>
        <w:ind w:firstLine="480"/>
      </w:pPr>
      <w:r>
        <w:rPr>
          <w:rFonts w:hint="eastAsia"/>
        </w:rPr>
        <w:t>（2）应用集中统一，可以基于同一系统微应用基座开发全部功能（线损驾驶舱、智能研判、线损画像等），集分析与线损治理于一体，管理及功能使用方便，实现线损智能分析的最佳效果，助力提升整体线损率指标。</w:t>
      </w:r>
    </w:p>
    <w:p>
      <w:pPr>
        <w:pStyle w:val="4"/>
        <w:spacing w:line="360" w:lineRule="auto"/>
      </w:pPr>
      <w:r>
        <w:rPr>
          <w:rFonts w:hint="eastAsia"/>
        </w:rPr>
        <w:t>方案不足</w:t>
      </w:r>
    </w:p>
    <w:p>
      <w:pPr>
        <w:spacing w:line="360" w:lineRule="auto"/>
        <w:ind w:firstLine="480" w:firstLineChars="0"/>
      </w:pPr>
      <w:r>
        <w:rPr>
          <w:rFonts w:hint="eastAsia"/>
        </w:rPr>
        <w:t>（1）计量自动化/能源互联网系统微应用可行性需确认；</w:t>
      </w:r>
    </w:p>
    <w:p>
      <w:pPr>
        <w:spacing w:line="360" w:lineRule="auto"/>
        <w:ind w:firstLine="480"/>
      </w:pPr>
    </w:p>
    <w:p>
      <w:pPr>
        <w:pStyle w:val="3"/>
        <w:spacing w:line="360" w:lineRule="auto"/>
      </w:pPr>
      <w:r>
        <w:rPr>
          <w:rFonts w:hint="eastAsia"/>
        </w:rPr>
        <w:t>（方案</w:t>
      </w:r>
      <w:r>
        <w:t>2</w:t>
      </w:r>
      <w:r>
        <w:rPr>
          <w:rFonts w:hint="eastAsia"/>
        </w:rPr>
        <w:t>）基于电力大数据分析平台的系统微应用</w:t>
      </w:r>
    </w:p>
    <w:p>
      <w:pPr>
        <w:pStyle w:val="99"/>
        <w:keepNext/>
        <w:keepLines/>
        <w:numPr>
          <w:ilvl w:val="1"/>
          <w:numId w:val="3"/>
        </w:numPr>
        <w:tabs>
          <w:tab w:val="left" w:pos="432"/>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lang w:val="sv-SE"/>
        </w:rPr>
      </w:pPr>
    </w:p>
    <w:p>
      <w:pPr>
        <w:pStyle w:val="4"/>
        <w:spacing w:line="360" w:lineRule="auto"/>
      </w:pPr>
      <w:r>
        <w:rPr>
          <w:rFonts w:hint="eastAsia"/>
        </w:rPr>
        <w:t>整体架构</w:t>
      </w:r>
    </w:p>
    <w:p>
      <w:pPr>
        <w:spacing w:line="360" w:lineRule="auto"/>
        <w:ind w:firstLine="480"/>
      </w:pPr>
    </w:p>
    <w:p>
      <w:pPr>
        <w:spacing w:line="360" w:lineRule="auto"/>
        <w:ind w:left="-1080" w:leftChars="-450" w:firstLine="0" w:firstLineChars="0"/>
        <w:jc w:val="center"/>
        <w:rPr>
          <w:rFonts w:hint="eastAsia"/>
        </w:rPr>
      </w:pPr>
      <w:r>
        <w:rPr>
          <w:rFonts w:hint="eastAsia"/>
        </w:rPr>
        <w:object>
          <v:shape id="_x0000_i1029" o:spt="75" alt="" type="#_x0000_t75" style="height:388.1pt;width:291.2pt;" o:ole="t" filled="f" o:preferrelative="t" stroked="f" coordsize="21600,21600">
            <v:path/>
            <v:fill on="f" focussize="0,0"/>
            <v:stroke on="f"/>
            <v:imagedata r:id="rId32" o:title=""/>
            <o:lock v:ext="edit" aspectratio="f"/>
            <w10:wrap type="none"/>
            <w10:anchorlock/>
          </v:shape>
          <o:OLEObject Type="Embed" ProgID="Visio.Drawing.15" ShapeID="_x0000_i1029" DrawAspect="Content" ObjectID="_1468075726" r:id="rId31">
            <o:LockedField>false</o:LockedField>
          </o:OLEObject>
        </w:object>
      </w:r>
    </w:p>
    <w:p>
      <w:pPr>
        <w:pStyle w:val="4"/>
        <w:spacing w:line="360" w:lineRule="auto"/>
      </w:pPr>
      <w:r>
        <w:rPr>
          <w:rFonts w:hint="eastAsia"/>
        </w:rPr>
        <w:t>方案优势</w:t>
      </w:r>
    </w:p>
    <w:p>
      <w:pPr>
        <w:spacing w:line="360" w:lineRule="auto"/>
        <w:ind w:firstLine="480" w:firstLineChars="0"/>
      </w:pPr>
      <w:r>
        <w:rPr>
          <w:rFonts w:hint="eastAsia"/>
        </w:rPr>
        <w:t>对于营销系统相关档案数据、业扩等工单流程数据获取便捷。</w:t>
      </w:r>
    </w:p>
    <w:p>
      <w:pPr>
        <w:pStyle w:val="4"/>
        <w:spacing w:line="360" w:lineRule="auto"/>
      </w:pPr>
      <w:r>
        <w:rPr>
          <w:rFonts w:hint="eastAsia"/>
        </w:rPr>
        <w:t>方案不足</w:t>
      </w:r>
    </w:p>
    <w:p>
      <w:pPr>
        <w:spacing w:line="360" w:lineRule="auto"/>
        <w:ind w:firstLine="480" w:firstLineChars="0"/>
      </w:pPr>
      <w:r>
        <w:rPr>
          <w:rFonts w:hint="eastAsia"/>
        </w:rPr>
        <w:t>（1）电力大数据分析平台只可做“</w:t>
      </w:r>
      <w:r>
        <w:rPr>
          <w:rFonts w:hint="eastAsia"/>
          <w:lang w:val="en-US" w:eastAsia="zh-CN"/>
        </w:rPr>
        <w:t>智能研判</w:t>
      </w:r>
      <w:r>
        <w:rPr>
          <w:rFonts w:hint="eastAsia"/>
        </w:rPr>
        <w:t>”</w:t>
      </w:r>
      <w:r>
        <w:rPr>
          <w:rFonts w:hint="eastAsia"/>
          <w:lang w:val="en-US" w:eastAsia="zh-CN"/>
        </w:rPr>
        <w:t>的分析</w:t>
      </w:r>
      <w:r>
        <w:rPr>
          <w:rFonts w:hint="eastAsia"/>
        </w:rPr>
        <w:t>功能，对于涉及多重验证等需要实时数据交互的功能实现难度大</w:t>
      </w:r>
      <w:bookmarkStart w:id="4" w:name="_GoBack"/>
      <w:bookmarkEnd w:id="4"/>
      <w:r>
        <w:rPr>
          <w:rFonts w:hint="eastAsia"/>
        </w:rPr>
        <w:t>，难以保证线损研判结论的准确率；</w:t>
      </w:r>
    </w:p>
    <w:p>
      <w:pPr>
        <w:spacing w:line="360" w:lineRule="auto"/>
        <w:ind w:firstLine="480" w:firstLineChars="0"/>
      </w:pPr>
      <w:r>
        <w:rPr>
          <w:rFonts w:hint="eastAsia"/>
        </w:rPr>
        <w:t>（2）需要在两个系统上开发微应用，无法同时实现规划的全部功能，对于线损治理指导、线损治理驾驶舱等业务功能需通过在其它业务系统中开发微应用，工作量大、协调难度及复杂度增加，整体过程费时费力。</w:t>
      </w:r>
    </w:p>
    <w:p>
      <w:pPr>
        <w:spacing w:line="360" w:lineRule="auto"/>
        <w:ind w:firstLine="480" w:firstLineChars="0"/>
      </w:pPr>
      <w:r>
        <w:rPr>
          <w:rFonts w:hint="eastAsia"/>
        </w:rPr>
        <w:t>（3）微应用分别部署在两套系统，功能割裂性大，不利于日常使用操作，且需独立维护，维护工作量加大，一方出问题会影响其他应用功能正常使用。</w:t>
      </w:r>
    </w:p>
    <w:p>
      <w:pPr>
        <w:spacing w:line="360" w:lineRule="auto"/>
        <w:ind w:firstLine="480" w:firstLineChars="0"/>
      </w:pPr>
    </w:p>
    <w:p>
      <w:pPr>
        <w:spacing w:line="360" w:lineRule="auto"/>
        <w:ind w:firstLine="480" w:firstLineChars="0"/>
        <w:rPr>
          <w:rFonts w:hint="eastAsia"/>
        </w:rPr>
      </w:pPr>
    </w:p>
    <w:p>
      <w:pPr>
        <w:pStyle w:val="99"/>
        <w:keepNext/>
        <w:keepLines/>
        <w:numPr>
          <w:ilvl w:val="1"/>
          <w:numId w:val="3"/>
        </w:numPr>
        <w:tabs>
          <w:tab w:val="left" w:pos="432"/>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rPr>
      </w:pPr>
    </w:p>
    <w:p>
      <w:pPr>
        <w:pStyle w:val="99"/>
        <w:keepNext/>
        <w:keepLines/>
        <w:numPr>
          <w:ilvl w:val="1"/>
          <w:numId w:val="3"/>
        </w:numPr>
        <w:tabs>
          <w:tab w:val="left" w:pos="432"/>
          <w:tab w:val="left" w:pos="720"/>
          <w:tab w:val="left" w:pos="862"/>
        </w:tabs>
        <w:topLinePunct/>
        <w:adjustRightInd w:val="0"/>
        <w:snapToGrid w:val="0"/>
        <w:spacing w:line="360" w:lineRule="auto"/>
        <w:ind w:firstLineChars="0"/>
        <w:jc w:val="left"/>
        <w:textAlignment w:val="center"/>
        <w:outlineLvl w:val="2"/>
        <w:rPr>
          <w:rFonts w:hint="eastAsia"/>
          <w:b/>
          <w:bCs/>
          <w:vanish/>
          <w:sz w:val="28"/>
          <w:szCs w:val="28"/>
        </w:rPr>
      </w:pPr>
    </w:p>
    <w:p>
      <w:pPr>
        <w:pStyle w:val="2"/>
        <w:numPr>
          <w:ilvl w:val="0"/>
          <w:numId w:val="0"/>
        </w:numPr>
        <w:ind w:left="420" w:hanging="420"/>
      </w:pPr>
      <w:bookmarkStart w:id="3" w:name="_Toc54603359"/>
      <w:r>
        <w:t>3</w:t>
      </w:r>
      <w:r>
        <w:rPr>
          <w:rFonts w:hint="eastAsia"/>
        </w:rPr>
        <w:t>、技术路线</w:t>
      </w:r>
      <w:bookmarkEnd w:id="3"/>
    </w:p>
    <w:p>
      <w:pPr>
        <w:pStyle w:val="99"/>
        <w:keepNext/>
        <w:keepLines/>
        <w:numPr>
          <w:ilvl w:val="0"/>
          <w:numId w:val="2"/>
        </w:numPr>
        <w:tabs>
          <w:tab w:val="left" w:pos="576"/>
        </w:tabs>
        <w:topLinePunct/>
        <w:adjustRightInd w:val="0"/>
        <w:snapToGrid w:val="0"/>
        <w:spacing w:line="360" w:lineRule="auto"/>
        <w:ind w:firstLineChars="0"/>
        <w:jc w:val="left"/>
        <w:textAlignment w:val="center"/>
        <w:outlineLvl w:val="1"/>
        <w:rPr>
          <w:rFonts w:hint="eastAsia" w:cs="宋体"/>
          <w:b/>
          <w:bCs/>
          <w:vanish/>
          <w:color w:val="000000"/>
          <w:kern w:val="0"/>
          <w:sz w:val="28"/>
          <w:szCs w:val="32"/>
        </w:rPr>
      </w:pPr>
    </w:p>
    <w:p>
      <w:pPr>
        <w:pStyle w:val="3"/>
      </w:pPr>
      <w:r>
        <w:rPr>
          <w:rFonts w:hint="eastAsia"/>
        </w:rPr>
        <w:t>总体架构</w:t>
      </w:r>
    </w:p>
    <w:p>
      <w:pPr>
        <w:pStyle w:val="107"/>
        <w:spacing w:before="24" w:after="120" w:line="360" w:lineRule="auto"/>
      </w:pPr>
      <w:r>
        <w:drawing>
          <wp:inline distT="0" distB="0" distL="114300" distR="114300">
            <wp:extent cx="4970145" cy="3995420"/>
            <wp:effectExtent l="0" t="0" r="1905" b="508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33"/>
                    <a:stretch>
                      <a:fillRect/>
                    </a:stretch>
                  </pic:blipFill>
                  <pic:spPr>
                    <a:xfrm>
                      <a:off x="0" y="0"/>
                      <a:ext cx="4984186" cy="4006768"/>
                    </a:xfrm>
                    <a:prstGeom prst="rect">
                      <a:avLst/>
                    </a:prstGeom>
                    <a:noFill/>
                    <a:ln>
                      <a:noFill/>
                    </a:ln>
                  </pic:spPr>
                </pic:pic>
              </a:graphicData>
            </a:graphic>
          </wp:inline>
        </w:drawing>
      </w:r>
    </w:p>
    <w:p>
      <w:pPr>
        <w:spacing w:line="360" w:lineRule="auto"/>
        <w:ind w:firstLine="480"/>
        <w:rPr>
          <w:lang w:val="zh-CN"/>
        </w:rPr>
      </w:pPr>
      <w:r>
        <w:rPr>
          <w:rFonts w:hint="eastAsia"/>
        </w:rPr>
        <w:t>总体</w:t>
      </w:r>
      <w:r>
        <w:rPr>
          <w:rFonts w:hint="eastAsia"/>
          <w:lang w:val="zh-CN"/>
        </w:rPr>
        <w:t>架构分为数据层、</w:t>
      </w:r>
      <w:r>
        <w:rPr>
          <w:rFonts w:hint="eastAsia"/>
        </w:rPr>
        <w:t>接入层</w:t>
      </w:r>
      <w:r>
        <w:rPr>
          <w:rFonts w:hint="eastAsia"/>
          <w:lang w:val="zh-CN"/>
        </w:rPr>
        <w:t>、服务应用层、</w:t>
      </w:r>
      <w:r>
        <w:rPr>
          <w:rFonts w:hint="eastAsia"/>
        </w:rPr>
        <w:t>访问</w:t>
      </w:r>
      <w:r>
        <w:rPr>
          <w:rFonts w:hint="eastAsia"/>
          <w:lang w:val="zh-CN"/>
        </w:rPr>
        <w:t>层共四层。</w:t>
      </w:r>
    </w:p>
    <w:p>
      <w:pPr>
        <w:spacing w:line="360" w:lineRule="auto"/>
        <w:ind w:firstLine="480"/>
        <w:rPr>
          <w:lang w:val="zh-CN"/>
        </w:rPr>
      </w:pPr>
      <w:r>
        <w:rPr>
          <w:rFonts w:hint="eastAsia"/>
          <w:lang w:val="zh-CN"/>
        </w:rPr>
        <w:t>展现层以浏览器或统一工作台为主入口统一提供“</w:t>
      </w:r>
      <w:r>
        <w:rPr>
          <w:rFonts w:hint="eastAsia"/>
        </w:rPr>
        <w:t>线损分析、闭环治理</w:t>
      </w:r>
      <w:r>
        <w:rPr>
          <w:rFonts w:hint="eastAsia"/>
          <w:lang w:val="zh-CN"/>
        </w:rPr>
        <w:t>”相关服务。</w:t>
      </w:r>
    </w:p>
    <w:p>
      <w:pPr>
        <w:spacing w:line="360" w:lineRule="auto"/>
        <w:ind w:firstLine="480"/>
        <w:rPr>
          <w:lang w:val="zh-CN"/>
        </w:rPr>
      </w:pPr>
      <w:r>
        <w:rPr>
          <w:rFonts w:hint="eastAsia"/>
        </w:rPr>
        <w:t>应用服务</w:t>
      </w:r>
      <w:r>
        <w:rPr>
          <w:rFonts w:hint="eastAsia"/>
          <w:lang w:val="zh-CN"/>
        </w:rPr>
        <w:t>层提供</w:t>
      </w:r>
      <w:r>
        <w:rPr>
          <w:rFonts w:hint="eastAsia"/>
        </w:rPr>
        <w:t>线损异常智能识别分析、线损异常原因研判、线损异常治理方式研判、线损驾驶舱</w:t>
      </w:r>
      <w:r>
        <w:rPr>
          <w:rFonts w:hint="eastAsia"/>
          <w:lang w:val="zh-CN"/>
        </w:rPr>
        <w:t>等相关</w:t>
      </w:r>
      <w:r>
        <w:rPr>
          <w:rFonts w:hint="eastAsia"/>
        </w:rPr>
        <w:t>业务功能，</w:t>
      </w:r>
      <w:r>
        <w:rPr>
          <w:rFonts w:hint="eastAsia"/>
          <w:lang w:val="zh-CN"/>
        </w:rPr>
        <w:t>过程中系统“后台服务”为应用实现提供海量数据运算存库、分布式微服务、算法分析等功能。</w:t>
      </w:r>
    </w:p>
    <w:p>
      <w:pPr>
        <w:spacing w:line="360" w:lineRule="auto"/>
        <w:ind w:firstLine="480"/>
      </w:pPr>
      <w:r>
        <w:rPr>
          <w:rFonts w:hint="eastAsia"/>
        </w:rPr>
        <w:t>数据层为基础数据来源，通过与计量自动化、能源互联网、营销、失准分析等系统完成数据集成及接口对接，完成基础数据的汇集。</w:t>
      </w:r>
    </w:p>
    <w:p>
      <w:pPr>
        <w:pStyle w:val="3"/>
        <w:spacing w:line="360" w:lineRule="auto"/>
      </w:pPr>
      <w:r>
        <w:rPr>
          <w:rFonts w:hint="eastAsia"/>
        </w:rPr>
        <w:t>技术架构</w:t>
      </w:r>
    </w:p>
    <w:p>
      <w:pPr>
        <w:pStyle w:val="107"/>
        <w:spacing w:before="24" w:after="120" w:line="360" w:lineRule="auto"/>
      </w:pPr>
      <w:r>
        <w:drawing>
          <wp:inline distT="0" distB="0" distL="0" distR="0">
            <wp:extent cx="5904230" cy="3096895"/>
            <wp:effectExtent l="0" t="0" r="1270" b="8255"/>
            <wp:docPr id="547179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9997" name="图片 1"/>
                    <pic:cNvPicPr>
                      <a:picLocks noChangeAspect="1"/>
                    </pic:cNvPicPr>
                  </pic:nvPicPr>
                  <pic:blipFill>
                    <a:blip r:embed="rId34"/>
                    <a:stretch>
                      <a:fillRect/>
                    </a:stretch>
                  </pic:blipFill>
                  <pic:spPr>
                    <a:xfrm>
                      <a:off x="0" y="0"/>
                      <a:ext cx="5904230" cy="3096895"/>
                    </a:xfrm>
                    <a:prstGeom prst="rect">
                      <a:avLst/>
                    </a:prstGeom>
                  </pic:spPr>
                </pic:pic>
              </a:graphicData>
            </a:graphic>
          </wp:inline>
        </w:drawing>
      </w:r>
    </w:p>
    <w:p>
      <w:pPr>
        <w:spacing w:line="360" w:lineRule="auto"/>
        <w:ind w:firstLine="480"/>
        <w:rPr>
          <w:lang w:val="zh-CN"/>
        </w:rPr>
      </w:pPr>
      <w:r>
        <w:rPr>
          <w:rFonts w:hint="eastAsia"/>
          <w:lang w:val="zh-CN"/>
        </w:rPr>
        <w:t>平台技术架构分为展现层、应用层、服务层、数据层和资源层：</w:t>
      </w:r>
    </w:p>
    <w:p>
      <w:pPr>
        <w:spacing w:line="360" w:lineRule="auto"/>
        <w:ind w:firstLine="480"/>
        <w:rPr>
          <w:lang w:val="zh-CN"/>
        </w:rPr>
      </w:pPr>
      <w:r>
        <w:rPr>
          <w:rFonts w:hint="eastAsia"/>
          <w:lang w:val="zh-CN"/>
        </w:rPr>
        <w:t>展示层：基于vue框架自主开发可复用的界面标签，可以灵活组合满足不同客户的需求。</w:t>
      </w:r>
    </w:p>
    <w:p>
      <w:pPr>
        <w:spacing w:line="360" w:lineRule="auto"/>
        <w:ind w:firstLine="480"/>
        <w:rPr>
          <w:lang w:val="zh-CN"/>
        </w:rPr>
      </w:pPr>
      <w:r>
        <w:rPr>
          <w:rFonts w:hint="eastAsia"/>
          <w:lang w:val="zh-CN"/>
        </w:rPr>
        <w:t>服务层：响应用户请求并将请求分发到不同展现构件，由展现构件组织逻辑层来协同处理这些请求，返回结果到界面层。</w:t>
      </w:r>
    </w:p>
    <w:p>
      <w:pPr>
        <w:spacing w:line="360" w:lineRule="auto"/>
        <w:ind w:firstLine="480"/>
        <w:rPr>
          <w:lang w:val="zh-CN"/>
        </w:rPr>
      </w:pPr>
      <w:r>
        <w:rPr>
          <w:rFonts w:hint="eastAsia"/>
          <w:lang w:val="zh-CN"/>
        </w:rPr>
        <w:t>技术支撑层：提供通用组件，对通用业务逻辑、工具包以及公共套件提供的服务进行封装，以便业务逻辑的复用和组装。</w:t>
      </w:r>
    </w:p>
    <w:p>
      <w:pPr>
        <w:spacing w:line="360" w:lineRule="auto"/>
        <w:ind w:firstLine="480"/>
        <w:rPr>
          <w:lang w:val="zh-CN"/>
        </w:rPr>
      </w:pPr>
      <w:r>
        <w:rPr>
          <w:rFonts w:hint="eastAsia"/>
          <w:lang w:val="zh-CN"/>
        </w:rPr>
        <w:t>数据层：为业务系统与数据库的交互提供简单一致的接口，并优化了数据库操作性能。实现通用数据访问服务组件，支持多种形式的数据存取，实现数据库相关对象的OR Mapping机制及复杂的业务数据获取规则。</w:t>
      </w:r>
    </w:p>
    <w:p>
      <w:pPr>
        <w:pStyle w:val="3"/>
        <w:spacing w:line="360" w:lineRule="auto"/>
      </w:pPr>
      <w:r>
        <w:rPr>
          <w:rFonts w:hint="eastAsia"/>
        </w:rPr>
        <w:t>业务架构</w:t>
      </w:r>
    </w:p>
    <w:p>
      <w:pPr>
        <w:spacing w:line="360" w:lineRule="auto"/>
        <w:ind w:firstLine="480"/>
        <w:rPr>
          <w:lang w:val="zh-CN"/>
        </w:rPr>
      </w:pPr>
      <w:r>
        <w:rPr>
          <w:rFonts w:hint="eastAsia"/>
        </w:rPr>
        <w:t>系统业务主要分为线损异常监测、异常智能诊断、治理闭环管控3</w:t>
      </w:r>
      <w:r>
        <w:rPr>
          <w:rFonts w:hint="eastAsia"/>
          <w:lang w:val="zh-CN"/>
        </w:rPr>
        <w:t>个模块，通过线损全流程穿透式管理，实现业务流程优化，冗余环节精简，真正带动内部管理“双效（效果＋效率）”提升。</w:t>
      </w:r>
    </w:p>
    <w:p>
      <w:pPr>
        <w:spacing w:line="360" w:lineRule="auto"/>
        <w:ind w:firstLine="480"/>
        <w:rPr>
          <w:lang w:val="zh-CN"/>
        </w:rPr>
      </w:pPr>
      <w:r>
        <w:rPr>
          <w:rFonts w:hint="eastAsia"/>
          <w:lang w:val="zh-CN"/>
        </w:rPr>
        <w:t>系统</w:t>
      </w:r>
      <w:r>
        <w:rPr>
          <w:rFonts w:hint="eastAsia"/>
        </w:rPr>
        <w:t>业务架构</w:t>
      </w:r>
      <w:r>
        <w:rPr>
          <w:rFonts w:hint="eastAsia"/>
          <w:lang w:val="zh-CN"/>
        </w:rPr>
        <w:t>：</w:t>
      </w:r>
    </w:p>
    <w:p>
      <w:pPr>
        <w:spacing w:line="360" w:lineRule="auto"/>
        <w:ind w:firstLine="0" w:firstLineChars="0"/>
        <w:jc w:val="center"/>
        <w:rPr>
          <w:rFonts w:hint="eastAsia"/>
        </w:rPr>
      </w:pPr>
      <w:r>
        <w:drawing>
          <wp:inline distT="0" distB="0" distL="0" distR="0">
            <wp:extent cx="3577590" cy="3303905"/>
            <wp:effectExtent l="0" t="0" r="3810" b="0"/>
            <wp:docPr id="1119705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05134" name="图片 1"/>
                    <pic:cNvPicPr>
                      <a:picLocks noChangeAspect="1"/>
                    </pic:cNvPicPr>
                  </pic:nvPicPr>
                  <pic:blipFill>
                    <a:blip r:embed="rId35"/>
                    <a:stretch>
                      <a:fillRect/>
                    </a:stretch>
                  </pic:blipFill>
                  <pic:spPr>
                    <a:xfrm>
                      <a:off x="0" y="0"/>
                      <a:ext cx="3590622" cy="3316054"/>
                    </a:xfrm>
                    <a:prstGeom prst="rect">
                      <a:avLst/>
                    </a:prstGeom>
                  </pic:spPr>
                </pic:pic>
              </a:graphicData>
            </a:graphic>
          </wp:inline>
        </w:drawing>
      </w:r>
    </w:p>
    <w:p>
      <w:pPr>
        <w:spacing w:line="360" w:lineRule="auto"/>
        <w:ind w:firstLine="0" w:firstLineChars="0"/>
        <w:rPr>
          <w:rFonts w:hint="eastAsia"/>
        </w:rPr>
      </w:pPr>
    </w:p>
    <w:p>
      <w:pPr>
        <w:pStyle w:val="3"/>
        <w:spacing w:line="360" w:lineRule="auto"/>
      </w:pPr>
      <w:r>
        <w:rPr>
          <w:rFonts w:hint="eastAsia"/>
        </w:rPr>
        <w:t>系统接口方案</w:t>
      </w:r>
    </w:p>
    <w:p>
      <w:pPr>
        <w:spacing w:line="360" w:lineRule="auto"/>
        <w:ind w:firstLine="480"/>
        <w:rPr>
          <w:rFonts w:ascii="宋体" w:hAnsi="宋体"/>
          <w:bCs/>
        </w:rPr>
      </w:pPr>
      <w:r>
        <w:rPr>
          <w:rFonts w:hint="eastAsia" w:ascii="宋体" w:hAnsi="宋体"/>
          <w:bCs/>
          <w:lang w:val="zh-CN"/>
        </w:rPr>
        <w:t>系统接口满足各项规范要求</w:t>
      </w:r>
      <w:r>
        <w:rPr>
          <w:rFonts w:hint="eastAsia" w:ascii="宋体" w:hAnsi="宋体"/>
          <w:bCs/>
        </w:rPr>
        <w:t>，</w:t>
      </w:r>
      <w:r>
        <w:rPr>
          <w:rFonts w:hint="eastAsia" w:ascii="宋体" w:hAnsi="宋体"/>
          <w:bCs/>
          <w:lang w:val="zh-CN"/>
        </w:rPr>
        <w:t>接口支持</w:t>
      </w:r>
      <w:r>
        <w:rPr>
          <w:rFonts w:hint="eastAsia" w:ascii="宋体" w:hAnsi="宋体"/>
          <w:bCs/>
        </w:rPr>
        <w:t xml:space="preserve"> API</w:t>
      </w:r>
      <w:r>
        <w:rPr>
          <w:rFonts w:hint="eastAsia" w:ascii="宋体" w:hAnsi="宋体"/>
          <w:bCs/>
          <w:lang w:val="zh-CN"/>
        </w:rPr>
        <w:t>、</w:t>
      </w:r>
      <w:r>
        <w:rPr>
          <w:rFonts w:hint="eastAsia" w:ascii="宋体" w:hAnsi="宋体"/>
          <w:bCs/>
        </w:rPr>
        <w:t>WebService</w:t>
      </w:r>
      <w:r>
        <w:rPr>
          <w:rFonts w:hint="eastAsia" w:ascii="宋体" w:hAnsi="宋体"/>
          <w:bCs/>
          <w:lang w:val="zh-CN"/>
        </w:rPr>
        <w:t>、</w:t>
      </w:r>
      <w:r>
        <w:rPr>
          <w:rFonts w:hint="eastAsia" w:ascii="宋体" w:hAnsi="宋体"/>
          <w:bCs/>
        </w:rPr>
        <w:t>WebService+</w:t>
      </w:r>
      <w:r>
        <w:rPr>
          <w:rFonts w:hint="eastAsia" w:ascii="宋体" w:hAnsi="宋体"/>
          <w:bCs/>
          <w:lang w:val="zh-CN"/>
        </w:rPr>
        <w:t>中间库、中间库、消息中间件、数据库同步等模式。</w:t>
      </w:r>
    </w:p>
    <w:p>
      <w:pPr>
        <w:spacing w:line="360" w:lineRule="auto"/>
        <w:ind w:firstLine="480"/>
        <w:rPr>
          <w:rFonts w:ascii="宋体" w:hAnsi="宋体"/>
          <w:bCs/>
          <w:lang w:val="zh-CN"/>
        </w:rPr>
      </w:pPr>
      <w:r>
        <w:rPr>
          <w:rFonts w:hint="eastAsia" w:ascii="宋体" w:hAnsi="宋体"/>
          <w:bCs/>
          <w:lang w:val="zh-CN"/>
        </w:rPr>
        <w:t>系统将从数据一致性、数据时效性、数据清洗设计、接口安全性、接口可扩展性、接口版本管理和运行状态监控等方面进行接口功能设计。</w:t>
      </w:r>
    </w:p>
    <w:p>
      <w:pPr>
        <w:spacing w:line="360" w:lineRule="auto"/>
        <w:ind w:firstLine="480"/>
      </w:pPr>
      <w:r>
        <w:rPr>
          <w:rFonts w:hint="eastAsia" w:ascii="宋体" w:hAnsi="宋体"/>
        </w:rPr>
        <w:object>
          <v:shape id="_x0000_i1027" o:spt="75" type="#_x0000_t75" style="height:251.35pt;width:413.35pt;" o:ole="t" filled="f" o:preferrelative="t" stroked="f" coordsize="21600,21600">
            <v:path/>
            <v:fill on="f" focussize="0,0"/>
            <v:stroke on="f" joinstyle="miter"/>
            <v:imagedata r:id="rId37" o:title=""/>
            <o:lock v:ext="edit" aspectratio="t"/>
            <w10:wrap type="none"/>
            <w10:anchorlock/>
          </v:shape>
          <o:OLEObject Type="Embed" ProgID="Visio.Drawing.15" ShapeID="_x0000_i1027" DrawAspect="Content" ObjectID="_1468075727" r:id="rId36">
            <o:LockedField>false</o:LockedField>
          </o:OLEObject>
        </w:object>
      </w:r>
    </w:p>
    <w:p>
      <w:pPr>
        <w:spacing w:line="360" w:lineRule="auto"/>
        <w:ind w:firstLine="480"/>
        <w:rPr>
          <w:rFonts w:hint="eastAsia"/>
        </w:rPr>
      </w:pPr>
    </w:p>
    <w:sectPr>
      <w:footerReference r:id="rId11" w:type="default"/>
      <w:pgSz w:w="11906" w:h="16838"/>
      <w:pgMar w:top="1418" w:right="1474" w:bottom="1701" w:left="1134" w:header="851" w:footer="964" w:gutter="0"/>
      <w:pgNumType w:fmt="numberInDash"/>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Book Antiqua">
    <w:altName w:val="Segoe Print"/>
    <w:panose1 w:val="00000000000000000000"/>
    <w:charset w:val="00"/>
    <w:family w:val="roman"/>
    <w:pitch w:val="default"/>
    <w:sig w:usb0="00000000" w:usb1="00000000" w:usb2="00000000" w:usb3="00000000" w:csb0="000000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0" w:firstLineChars="0"/>
      <w:rPr>
        <w:rStyle w:val="36"/>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r>
      <w:fldChar w:fldCharType="begin"/>
    </w:r>
    <w:r>
      <w:instrText xml:space="preserve"> PAGE   \* MERGEFORMAT </w:instrText>
    </w:r>
    <w:r>
      <w:fldChar w:fldCharType="separate"/>
    </w:r>
    <w:r>
      <w:rPr>
        <w:lang w:val="zh-CN"/>
      </w:rPr>
      <w:t>-</w:t>
    </w:r>
    <w:r>
      <w:t xml:space="preserve"> 28 -</w:t>
    </w:r>
    <w:r>
      <w:fldChar w:fldCharType="end"/>
    </w:r>
  </w:p>
  <w:p>
    <w:pPr>
      <w:pStyle w:val="21"/>
      <w:ind w:firstLine="360"/>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single" w:color="auto" w:sz="4" w:space="1"/>
      </w:pBdr>
      <w:wordWrap w:val="0"/>
      <w:spacing w:line="320" w:lineRule="atLeast"/>
      <w:ind w:firstLine="360"/>
      <w:jc w:val="right"/>
      <w:rPr>
        <w:sz w:val="15"/>
        <w:szCs w:val="15"/>
      </w:rP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744597"/>
    <w:multiLevelType w:val="multilevel"/>
    <w:tmpl w:val="8C744597"/>
    <w:lvl w:ilvl="0" w:tentative="0">
      <w:start w:val="1"/>
      <w:numFmt w:val="decimal"/>
      <w:pStyle w:val="5"/>
      <w:lvlText w:val="2.2.1.%1"/>
      <w:lvlJc w:val="left"/>
      <w:pPr>
        <w:ind w:left="420" w:hanging="420"/>
      </w:pPr>
      <w:rPr>
        <w:rFonts w:hint="default" w:ascii="宋体" w:hAnsi="宋体" w:eastAsia="宋体" w:cs="宋体"/>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none"/>
      <w:lvlText w:val="5.3.3.1.1"/>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9585CE46"/>
    <w:multiLevelType w:val="singleLevel"/>
    <w:tmpl w:val="9585CE46"/>
    <w:lvl w:ilvl="0" w:tentative="0">
      <w:start w:val="2"/>
      <w:numFmt w:val="decimal"/>
      <w:suff w:val="nothing"/>
      <w:lvlText w:val="（%1）"/>
      <w:lvlJc w:val="left"/>
    </w:lvl>
  </w:abstractNum>
  <w:abstractNum w:abstractNumId="2">
    <w:nsid w:val="00000011"/>
    <w:multiLevelType w:val="multilevel"/>
    <w:tmpl w:val="00000011"/>
    <w:lvl w:ilvl="0" w:tentative="0">
      <w:start w:val="1"/>
      <w:numFmt w:val="decimal"/>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color w:val="auto"/>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13A26E29"/>
    <w:multiLevelType w:val="multilevel"/>
    <w:tmpl w:val="13A26E29"/>
    <w:lvl w:ilvl="0" w:tentative="0">
      <w:start w:val="1"/>
      <w:numFmt w:val="decimal"/>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color w:val="auto"/>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4">
    <w:nsid w:val="1D9E74A9"/>
    <w:multiLevelType w:val="multilevel"/>
    <w:tmpl w:val="1D9E74A9"/>
    <w:lvl w:ilvl="0" w:tentative="0">
      <w:start w:val="2"/>
      <w:numFmt w:val="decimal"/>
      <w:lvlText w:val="%1、"/>
      <w:lvlJc w:val="left"/>
      <w:pPr>
        <w:ind w:left="854" w:hanging="372"/>
      </w:pPr>
      <w:rPr>
        <w:rFonts w:hint="default"/>
        <w:b/>
      </w:rPr>
    </w:lvl>
    <w:lvl w:ilvl="1" w:tentative="0">
      <w:start w:val="1"/>
      <w:numFmt w:val="lowerLetter"/>
      <w:lvlText w:val="%2)"/>
      <w:lvlJc w:val="left"/>
      <w:pPr>
        <w:ind w:left="1362" w:hanging="440"/>
      </w:pPr>
    </w:lvl>
    <w:lvl w:ilvl="2" w:tentative="0">
      <w:start w:val="1"/>
      <w:numFmt w:val="lowerRoman"/>
      <w:lvlText w:val="%3."/>
      <w:lvlJc w:val="right"/>
      <w:pPr>
        <w:ind w:left="1802" w:hanging="440"/>
      </w:pPr>
    </w:lvl>
    <w:lvl w:ilvl="3" w:tentative="0">
      <w:start w:val="1"/>
      <w:numFmt w:val="decimal"/>
      <w:lvlText w:val="%4."/>
      <w:lvlJc w:val="left"/>
      <w:pPr>
        <w:ind w:left="2242" w:hanging="440"/>
      </w:pPr>
    </w:lvl>
    <w:lvl w:ilvl="4" w:tentative="0">
      <w:start w:val="1"/>
      <w:numFmt w:val="lowerLetter"/>
      <w:lvlText w:val="%5)"/>
      <w:lvlJc w:val="left"/>
      <w:pPr>
        <w:ind w:left="2682" w:hanging="440"/>
      </w:pPr>
    </w:lvl>
    <w:lvl w:ilvl="5" w:tentative="0">
      <w:start w:val="1"/>
      <w:numFmt w:val="lowerRoman"/>
      <w:lvlText w:val="%6."/>
      <w:lvlJc w:val="right"/>
      <w:pPr>
        <w:ind w:left="3122" w:hanging="440"/>
      </w:pPr>
    </w:lvl>
    <w:lvl w:ilvl="6" w:tentative="0">
      <w:start w:val="1"/>
      <w:numFmt w:val="decimal"/>
      <w:lvlText w:val="%7."/>
      <w:lvlJc w:val="left"/>
      <w:pPr>
        <w:ind w:left="3562" w:hanging="440"/>
      </w:pPr>
    </w:lvl>
    <w:lvl w:ilvl="7" w:tentative="0">
      <w:start w:val="1"/>
      <w:numFmt w:val="lowerLetter"/>
      <w:lvlText w:val="%8)"/>
      <w:lvlJc w:val="left"/>
      <w:pPr>
        <w:ind w:left="4002" w:hanging="440"/>
      </w:pPr>
    </w:lvl>
    <w:lvl w:ilvl="8" w:tentative="0">
      <w:start w:val="1"/>
      <w:numFmt w:val="lowerRoman"/>
      <w:lvlText w:val="%9."/>
      <w:lvlJc w:val="right"/>
      <w:pPr>
        <w:ind w:left="4442" w:hanging="440"/>
      </w:pPr>
    </w:lvl>
  </w:abstractNum>
  <w:abstractNum w:abstractNumId="5">
    <w:nsid w:val="295A2461"/>
    <w:multiLevelType w:val="multilevel"/>
    <w:tmpl w:val="295A2461"/>
    <w:lvl w:ilvl="0" w:tentative="0">
      <w:start w:val="1"/>
      <w:numFmt w:val="decimal"/>
      <w:lvlText w:val="%1)"/>
      <w:lvlJc w:val="left"/>
      <w:pPr>
        <w:tabs>
          <w:tab w:val="left" w:pos="845"/>
        </w:tabs>
        <w:ind w:left="845" w:hanging="420"/>
      </w:pPr>
      <w:rPr>
        <w:rFonts w:hint="eastAsia"/>
      </w:rPr>
    </w:lvl>
    <w:lvl w:ilvl="1" w:tentative="0">
      <w:start w:val="1"/>
      <w:numFmt w:val="decimal"/>
      <w:pStyle w:val="61"/>
      <w:lvlText w:val="%2)"/>
      <w:lvlJc w:val="left"/>
      <w:pPr>
        <w:tabs>
          <w:tab w:val="left" w:pos="845"/>
        </w:tabs>
        <w:ind w:left="845" w:hanging="420"/>
      </w:pPr>
      <w:rPr>
        <w:rFonts w:hint="eastAsia"/>
      </w:rPr>
    </w:lvl>
    <w:lvl w:ilvl="2" w:tentative="0">
      <w:start w:val="1"/>
      <w:numFmt w:val="lowerRoman"/>
      <w:lvlText w:val="%3."/>
      <w:lvlJc w:val="right"/>
      <w:pPr>
        <w:tabs>
          <w:tab w:val="left" w:pos="1265"/>
        </w:tabs>
        <w:ind w:left="1265" w:hanging="420"/>
      </w:pPr>
    </w:lvl>
    <w:lvl w:ilvl="3" w:tentative="0">
      <w:start w:val="1"/>
      <w:numFmt w:val="decimal"/>
      <w:lvlText w:val="%4."/>
      <w:lvlJc w:val="left"/>
      <w:pPr>
        <w:tabs>
          <w:tab w:val="left" w:pos="1685"/>
        </w:tabs>
        <w:ind w:left="1685" w:hanging="420"/>
      </w:pPr>
    </w:lvl>
    <w:lvl w:ilvl="4" w:tentative="0">
      <w:start w:val="1"/>
      <w:numFmt w:val="lowerLetter"/>
      <w:lvlText w:val="%5)"/>
      <w:lvlJc w:val="left"/>
      <w:pPr>
        <w:tabs>
          <w:tab w:val="left" w:pos="2105"/>
        </w:tabs>
        <w:ind w:left="2105" w:hanging="420"/>
      </w:pPr>
    </w:lvl>
    <w:lvl w:ilvl="5" w:tentative="0">
      <w:start w:val="1"/>
      <w:numFmt w:val="lowerRoman"/>
      <w:lvlText w:val="%6."/>
      <w:lvlJc w:val="right"/>
      <w:pPr>
        <w:tabs>
          <w:tab w:val="left" w:pos="2525"/>
        </w:tabs>
        <w:ind w:left="2525" w:hanging="420"/>
      </w:pPr>
    </w:lvl>
    <w:lvl w:ilvl="6" w:tentative="0">
      <w:start w:val="1"/>
      <w:numFmt w:val="decimal"/>
      <w:lvlText w:val="%7."/>
      <w:lvlJc w:val="left"/>
      <w:pPr>
        <w:tabs>
          <w:tab w:val="left" w:pos="2945"/>
        </w:tabs>
        <w:ind w:left="2945" w:hanging="420"/>
      </w:pPr>
    </w:lvl>
    <w:lvl w:ilvl="7" w:tentative="0">
      <w:start w:val="1"/>
      <w:numFmt w:val="lowerLetter"/>
      <w:lvlText w:val="%8)"/>
      <w:lvlJc w:val="left"/>
      <w:pPr>
        <w:tabs>
          <w:tab w:val="left" w:pos="3365"/>
        </w:tabs>
        <w:ind w:left="3365" w:hanging="420"/>
      </w:pPr>
    </w:lvl>
    <w:lvl w:ilvl="8" w:tentative="0">
      <w:start w:val="1"/>
      <w:numFmt w:val="lowerRoman"/>
      <w:lvlText w:val="%9."/>
      <w:lvlJc w:val="right"/>
      <w:pPr>
        <w:tabs>
          <w:tab w:val="left" w:pos="3785"/>
        </w:tabs>
        <w:ind w:left="3785" w:hanging="420"/>
      </w:pPr>
    </w:lvl>
  </w:abstractNum>
  <w:abstractNum w:abstractNumId="6">
    <w:nsid w:val="474723BB"/>
    <w:multiLevelType w:val="multilevel"/>
    <w:tmpl w:val="474723BB"/>
    <w:lvl w:ilvl="0" w:tentative="0">
      <w:start w:val="1"/>
      <w:numFmt w:val="decimal"/>
      <w:pStyle w:val="2"/>
      <w:lvlText w:val="%1"/>
      <w:lvlJc w:val="left"/>
      <w:pPr>
        <w:ind w:left="420" w:hanging="420"/>
      </w:pPr>
      <w:rPr>
        <w:rFonts w:hint="eastAsia"/>
      </w:rPr>
    </w:lvl>
    <w:lvl w:ilvl="1" w:tentative="0">
      <w:start w:val="3"/>
      <w:numFmt w:val="decimal"/>
      <w:isLgl/>
      <w:lvlText w:val="%1.%2"/>
      <w:lvlJc w:val="left"/>
      <w:pPr>
        <w:ind w:left="1260" w:hanging="1260"/>
      </w:pPr>
      <w:rPr>
        <w:rFonts w:hint="default"/>
      </w:rPr>
    </w:lvl>
    <w:lvl w:ilvl="2" w:tentative="0">
      <w:start w:val="2"/>
      <w:numFmt w:val="decimal"/>
      <w:isLgl/>
      <w:lvlText w:val="%1.%2.%3"/>
      <w:lvlJc w:val="left"/>
      <w:pPr>
        <w:ind w:left="1260" w:hanging="1260"/>
      </w:pPr>
      <w:rPr>
        <w:rFonts w:hint="default"/>
      </w:rPr>
    </w:lvl>
    <w:lvl w:ilvl="3" w:tentative="0">
      <w:start w:val="2"/>
      <w:numFmt w:val="decimal"/>
      <w:isLgl/>
      <w:lvlText w:val="%1.%2.%3.1"/>
      <w:lvlJc w:val="left"/>
      <w:pPr>
        <w:ind w:left="0" w:firstLine="0"/>
      </w:pPr>
      <w:rPr>
        <w:rFonts w:hint="default"/>
      </w:rPr>
    </w:lvl>
    <w:lvl w:ilvl="4" w:tentative="0">
      <w:start w:val="1"/>
      <w:numFmt w:val="decimal"/>
      <w:isLgl/>
      <w:lvlText w:val="%1.%2.%3.%4.%5"/>
      <w:lvlJc w:val="left"/>
      <w:pPr>
        <w:ind w:left="1260" w:hanging="1260"/>
      </w:pPr>
      <w:rPr>
        <w:rFonts w:hint="default"/>
      </w:rPr>
    </w:lvl>
    <w:lvl w:ilvl="5" w:tentative="0">
      <w:start w:val="1"/>
      <w:numFmt w:val="decimal"/>
      <w:isLgl/>
      <w:lvlText w:val="%1.%2.%3.%4.%5.%6"/>
      <w:lvlJc w:val="left"/>
      <w:pPr>
        <w:ind w:left="1260" w:hanging="126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7">
    <w:nsid w:val="5B621A86"/>
    <w:multiLevelType w:val="multilevel"/>
    <w:tmpl w:val="5B621A86"/>
    <w:lvl w:ilvl="0" w:tentative="0">
      <w:start w:val="1"/>
      <w:numFmt w:val="bullet"/>
      <w:pStyle w:val="44"/>
      <w:lvlText w:val=""/>
      <w:lvlJc w:val="left"/>
      <w:pPr>
        <w:tabs>
          <w:tab w:val="left" w:pos="840"/>
        </w:tabs>
        <w:ind w:left="0" w:firstLine="420"/>
      </w:pPr>
      <w:rPr>
        <w:rFonts w:hint="default" w:ascii="Wingdings" w:hAnsi="Wingdings"/>
      </w:rPr>
    </w:lvl>
    <w:lvl w:ilvl="1" w:tentative="0">
      <w:start w:val="1"/>
      <w:numFmt w:val="none"/>
      <w:lvlRestart w:val="0"/>
      <w:lvlText w:val="%2"/>
      <w:lvlJc w:val="left"/>
      <w:pPr>
        <w:tabs>
          <w:tab w:val="left" w:pos="0"/>
        </w:tabs>
        <w:ind w:left="0" w:firstLine="0"/>
      </w:pPr>
      <w:rPr>
        <w:rFonts w:hint="eastAsia"/>
      </w:rPr>
    </w:lvl>
    <w:lvl w:ilvl="2" w:tentative="0">
      <w:start w:val="1"/>
      <w:numFmt w:val="none"/>
      <w:lvlRestart w:val="0"/>
      <w:lvlText w:val=""/>
      <w:lvlJc w:val="left"/>
      <w:pPr>
        <w:tabs>
          <w:tab w:val="left" w:pos="0"/>
        </w:tabs>
        <w:ind w:left="0" w:firstLine="0"/>
      </w:pPr>
      <w:rPr>
        <w:rFonts w:hint="eastAsia"/>
      </w:rPr>
    </w:lvl>
    <w:lvl w:ilvl="3" w:tentative="0">
      <w:start w:val="1"/>
      <w:numFmt w:val="none"/>
      <w:lvlRestart w:val="0"/>
      <w:lvlText w:val=""/>
      <w:lvlJc w:val="right"/>
      <w:pPr>
        <w:tabs>
          <w:tab w:val="left" w:pos="0"/>
        </w:tabs>
        <w:ind w:left="0" w:firstLine="0"/>
      </w:pPr>
      <w:rPr>
        <w:rFonts w:hint="eastAsia"/>
      </w:rPr>
    </w:lvl>
    <w:lvl w:ilvl="4" w:tentative="0">
      <w:start w:val="1"/>
      <w:numFmt w:val="none"/>
      <w:lvlRestart w:val="0"/>
      <w:lvlText w:val="%5"/>
      <w:lvlJc w:val="left"/>
      <w:pPr>
        <w:tabs>
          <w:tab w:val="left" w:pos="0"/>
        </w:tabs>
        <w:ind w:left="0" w:firstLine="0"/>
      </w:pPr>
      <w:rPr>
        <w:rFonts w:hint="eastAsia"/>
      </w:rPr>
    </w:lvl>
    <w:lvl w:ilvl="5" w:tentative="0">
      <w:start w:val="1"/>
      <w:numFmt w:val="none"/>
      <w:lvlRestart w:val="0"/>
      <w:lvlText w:val="%6"/>
      <w:lvlJc w:val="left"/>
      <w:pPr>
        <w:tabs>
          <w:tab w:val="left" w:pos="0"/>
        </w:tabs>
        <w:ind w:left="0" w:firstLine="0"/>
      </w:pPr>
      <w:rPr>
        <w:rFonts w:hint="eastAsia"/>
      </w:rPr>
    </w:lvl>
    <w:lvl w:ilvl="6" w:tentative="0">
      <w:start w:val="1"/>
      <w:numFmt w:val="none"/>
      <w:lvlRestart w:val="0"/>
      <w:lvlText w:val="%7"/>
      <w:lvlJc w:val="right"/>
      <w:pPr>
        <w:tabs>
          <w:tab w:val="left" w:pos="0"/>
        </w:tabs>
        <w:ind w:left="0" w:firstLine="0"/>
      </w:pPr>
      <w:rPr>
        <w:rFonts w:hint="eastAsia"/>
      </w:rPr>
    </w:lvl>
    <w:lvl w:ilvl="7" w:tentative="0">
      <w:start w:val="1"/>
      <w:numFmt w:val="none"/>
      <w:lvlRestart w:val="0"/>
      <w:lvlText w:val="%8"/>
      <w:lvlJc w:val="left"/>
      <w:pPr>
        <w:tabs>
          <w:tab w:val="left" w:pos="0"/>
        </w:tabs>
        <w:ind w:left="0" w:firstLine="0"/>
      </w:pPr>
      <w:rPr>
        <w:rFonts w:hint="eastAsia"/>
      </w:rPr>
    </w:lvl>
    <w:lvl w:ilvl="8" w:tentative="0">
      <w:start w:val="1"/>
      <w:numFmt w:val="none"/>
      <w:lvlRestart w:val="0"/>
      <w:lvlText w:val="%9"/>
      <w:lvlJc w:val="right"/>
      <w:pPr>
        <w:tabs>
          <w:tab w:val="left" w:pos="0"/>
        </w:tabs>
        <w:ind w:left="0" w:firstLine="0"/>
      </w:pPr>
      <w:rPr>
        <w:rFonts w:hint="eastAsia"/>
      </w:rPr>
    </w:lvl>
  </w:abstractNum>
  <w:abstractNum w:abstractNumId="8">
    <w:nsid w:val="5CA91C7E"/>
    <w:multiLevelType w:val="multilevel"/>
    <w:tmpl w:val="5CA91C7E"/>
    <w:lvl w:ilvl="0" w:tentative="0">
      <w:start w:val="1"/>
      <w:numFmt w:val="bullet"/>
      <w:pStyle w:val="85"/>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6883480C"/>
    <w:multiLevelType w:val="multilevel"/>
    <w:tmpl w:val="6883480C"/>
    <w:lvl w:ilvl="0" w:tentative="0">
      <w:start w:val="1"/>
      <w:numFmt w:val="decimal"/>
      <w:pStyle w:val="57"/>
      <w:lvlText w:val="%1)"/>
      <w:lvlJc w:val="left"/>
      <w:pPr>
        <w:tabs>
          <w:tab w:val="left" w:pos="839"/>
        </w:tabs>
        <w:ind w:left="0" w:firstLine="420"/>
      </w:pPr>
      <w:rPr>
        <w:rFonts w:hint="eastAsia"/>
      </w:rPr>
    </w:lvl>
    <w:lvl w:ilvl="1" w:tentative="0">
      <w:start w:val="1"/>
      <w:numFmt w:val="lowerLetter"/>
      <w:pStyle w:val="58"/>
      <w:lvlText w:val="%2."/>
      <w:lvlJc w:val="left"/>
      <w:pPr>
        <w:tabs>
          <w:tab w:val="left" w:pos="839"/>
        </w:tabs>
        <w:ind w:left="0" w:firstLine="420"/>
      </w:pPr>
      <w:rPr>
        <w:rFonts w:hint="eastAsia"/>
      </w:rPr>
    </w:lvl>
    <w:lvl w:ilvl="2" w:tentative="0">
      <w:start w:val="1"/>
      <w:numFmt w:val="none"/>
      <w:lvlRestart w:val="0"/>
      <w:lvlText w:val=""/>
      <w:lvlJc w:val="left"/>
      <w:pPr>
        <w:tabs>
          <w:tab w:val="left" w:pos="1140"/>
        </w:tabs>
        <w:ind w:left="1140" w:hanging="432"/>
      </w:pPr>
      <w:rPr>
        <w:rFonts w:hint="eastAsia"/>
      </w:rPr>
    </w:lvl>
    <w:lvl w:ilvl="3" w:tentative="0">
      <w:start w:val="1"/>
      <w:numFmt w:val="none"/>
      <w:lvlRestart w:val="0"/>
      <w:lvlText w:val=""/>
      <w:lvlJc w:val="right"/>
      <w:pPr>
        <w:tabs>
          <w:tab w:val="left" w:pos="1284"/>
        </w:tabs>
        <w:ind w:left="1284" w:hanging="144"/>
      </w:pPr>
      <w:rPr>
        <w:rFonts w:hint="eastAsia"/>
      </w:rPr>
    </w:lvl>
    <w:lvl w:ilvl="4" w:tentative="0">
      <w:start w:val="1"/>
      <w:numFmt w:val="none"/>
      <w:lvlRestart w:val="0"/>
      <w:lvlText w:val="%5"/>
      <w:lvlJc w:val="left"/>
      <w:pPr>
        <w:tabs>
          <w:tab w:val="left" w:pos="1428"/>
        </w:tabs>
        <w:ind w:left="1428" w:hanging="432"/>
      </w:pPr>
      <w:rPr>
        <w:rFonts w:hint="eastAsia"/>
      </w:rPr>
    </w:lvl>
    <w:lvl w:ilvl="5" w:tentative="0">
      <w:start w:val="1"/>
      <w:numFmt w:val="none"/>
      <w:lvlRestart w:val="0"/>
      <w:lvlText w:val="%6"/>
      <w:lvlJc w:val="left"/>
      <w:pPr>
        <w:tabs>
          <w:tab w:val="left" w:pos="1572"/>
        </w:tabs>
        <w:ind w:left="1572" w:hanging="432"/>
      </w:pPr>
      <w:rPr>
        <w:rFonts w:hint="eastAsia"/>
      </w:rPr>
    </w:lvl>
    <w:lvl w:ilvl="6" w:tentative="0">
      <w:start w:val="1"/>
      <w:numFmt w:val="none"/>
      <w:lvlRestart w:val="0"/>
      <w:lvlText w:val="%7"/>
      <w:lvlJc w:val="right"/>
      <w:pPr>
        <w:tabs>
          <w:tab w:val="left" w:pos="1716"/>
        </w:tabs>
        <w:ind w:left="1716" w:hanging="288"/>
      </w:pPr>
      <w:rPr>
        <w:rFonts w:hint="eastAsia"/>
      </w:rPr>
    </w:lvl>
    <w:lvl w:ilvl="7" w:tentative="0">
      <w:start w:val="1"/>
      <w:numFmt w:val="none"/>
      <w:lvlRestart w:val="0"/>
      <w:lvlText w:val="%8"/>
      <w:lvlJc w:val="left"/>
      <w:pPr>
        <w:tabs>
          <w:tab w:val="left" w:pos="1860"/>
        </w:tabs>
        <w:ind w:left="1860" w:hanging="432"/>
      </w:pPr>
      <w:rPr>
        <w:rFonts w:hint="eastAsia"/>
      </w:rPr>
    </w:lvl>
    <w:lvl w:ilvl="8" w:tentative="0">
      <w:start w:val="1"/>
      <w:numFmt w:val="none"/>
      <w:lvlRestart w:val="0"/>
      <w:lvlText w:val="%9"/>
      <w:lvlJc w:val="right"/>
      <w:pPr>
        <w:tabs>
          <w:tab w:val="left" w:pos="2004"/>
        </w:tabs>
        <w:ind w:left="2004" w:hanging="144"/>
      </w:pPr>
      <w:rPr>
        <w:rFonts w:hint="eastAsia"/>
      </w:rPr>
    </w:lvl>
  </w:abstractNum>
  <w:num w:numId="1">
    <w:abstractNumId w:val="6"/>
  </w:num>
  <w:num w:numId="2">
    <w:abstractNumId w:val="3"/>
  </w:num>
  <w:num w:numId="3">
    <w:abstractNumId w:val="2"/>
  </w:num>
  <w:num w:numId="4">
    <w:abstractNumId w:val="0"/>
  </w:num>
  <w:num w:numId="5">
    <w:abstractNumId w:val="7"/>
  </w:num>
  <w:num w:numId="6">
    <w:abstractNumId w:val="9"/>
  </w:num>
  <w:num w:numId="7">
    <w:abstractNumId w:val="5"/>
  </w:num>
  <w:num w:numId="8">
    <w:abstractNumId w:val="8"/>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attachedTemplate r:id="rId1"/>
  <w:documentProtection w:enforcement="0"/>
  <w:defaultTabStop w:val="420"/>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M1MWU1YmM5YWU0YTgxMGIyMTNjZmRkZTQyZGFhMTIifQ=="/>
  </w:docVars>
  <w:rsids>
    <w:rsidRoot w:val="0081169A"/>
    <w:rsid w:val="00000D92"/>
    <w:rsid w:val="00001D7D"/>
    <w:rsid w:val="000020DF"/>
    <w:rsid w:val="000025F1"/>
    <w:rsid w:val="00002C42"/>
    <w:rsid w:val="000033FD"/>
    <w:rsid w:val="000038C6"/>
    <w:rsid w:val="00003E1C"/>
    <w:rsid w:val="00004490"/>
    <w:rsid w:val="000049E8"/>
    <w:rsid w:val="00004C5B"/>
    <w:rsid w:val="00005086"/>
    <w:rsid w:val="00006162"/>
    <w:rsid w:val="00006577"/>
    <w:rsid w:val="00006806"/>
    <w:rsid w:val="00006DA7"/>
    <w:rsid w:val="0000729B"/>
    <w:rsid w:val="00007819"/>
    <w:rsid w:val="00007DEA"/>
    <w:rsid w:val="000104E0"/>
    <w:rsid w:val="0001084B"/>
    <w:rsid w:val="00010A3E"/>
    <w:rsid w:val="00010CEE"/>
    <w:rsid w:val="00011B21"/>
    <w:rsid w:val="000123E0"/>
    <w:rsid w:val="0001277A"/>
    <w:rsid w:val="0001310C"/>
    <w:rsid w:val="00013CD6"/>
    <w:rsid w:val="0001531E"/>
    <w:rsid w:val="00015BD9"/>
    <w:rsid w:val="00015EDB"/>
    <w:rsid w:val="000162BD"/>
    <w:rsid w:val="00016FCD"/>
    <w:rsid w:val="00017086"/>
    <w:rsid w:val="000174DD"/>
    <w:rsid w:val="00017685"/>
    <w:rsid w:val="000176C0"/>
    <w:rsid w:val="00020232"/>
    <w:rsid w:val="0002036E"/>
    <w:rsid w:val="000203C2"/>
    <w:rsid w:val="00020C7D"/>
    <w:rsid w:val="00020E55"/>
    <w:rsid w:val="00021473"/>
    <w:rsid w:val="00021930"/>
    <w:rsid w:val="00021B3D"/>
    <w:rsid w:val="00022583"/>
    <w:rsid w:val="000234EB"/>
    <w:rsid w:val="00023716"/>
    <w:rsid w:val="00023794"/>
    <w:rsid w:val="00023C25"/>
    <w:rsid w:val="00023C66"/>
    <w:rsid w:val="00023F14"/>
    <w:rsid w:val="0002456C"/>
    <w:rsid w:val="00024687"/>
    <w:rsid w:val="00024794"/>
    <w:rsid w:val="00024D12"/>
    <w:rsid w:val="000250BE"/>
    <w:rsid w:val="000266E3"/>
    <w:rsid w:val="00027350"/>
    <w:rsid w:val="0003097D"/>
    <w:rsid w:val="000317C1"/>
    <w:rsid w:val="00032BA3"/>
    <w:rsid w:val="00032D66"/>
    <w:rsid w:val="00034B6B"/>
    <w:rsid w:val="00036637"/>
    <w:rsid w:val="00037102"/>
    <w:rsid w:val="00037562"/>
    <w:rsid w:val="00040278"/>
    <w:rsid w:val="000409F2"/>
    <w:rsid w:val="00040F33"/>
    <w:rsid w:val="00040F60"/>
    <w:rsid w:val="0004108B"/>
    <w:rsid w:val="0004128E"/>
    <w:rsid w:val="00042722"/>
    <w:rsid w:val="00043147"/>
    <w:rsid w:val="00043226"/>
    <w:rsid w:val="000434F2"/>
    <w:rsid w:val="00044075"/>
    <w:rsid w:val="00044B76"/>
    <w:rsid w:val="00046CAB"/>
    <w:rsid w:val="00046ECB"/>
    <w:rsid w:val="00047957"/>
    <w:rsid w:val="00050685"/>
    <w:rsid w:val="00050A58"/>
    <w:rsid w:val="00052126"/>
    <w:rsid w:val="000529B3"/>
    <w:rsid w:val="000532E7"/>
    <w:rsid w:val="00053F23"/>
    <w:rsid w:val="00054EAD"/>
    <w:rsid w:val="00055210"/>
    <w:rsid w:val="00055997"/>
    <w:rsid w:val="00055B5B"/>
    <w:rsid w:val="000561B1"/>
    <w:rsid w:val="00056342"/>
    <w:rsid w:val="00056B94"/>
    <w:rsid w:val="00057AD5"/>
    <w:rsid w:val="0006049B"/>
    <w:rsid w:val="00061A17"/>
    <w:rsid w:val="00061BAB"/>
    <w:rsid w:val="00061BF9"/>
    <w:rsid w:val="00061D8F"/>
    <w:rsid w:val="00061E96"/>
    <w:rsid w:val="00063309"/>
    <w:rsid w:val="00063CF8"/>
    <w:rsid w:val="00064488"/>
    <w:rsid w:val="00064750"/>
    <w:rsid w:val="00065519"/>
    <w:rsid w:val="0006575C"/>
    <w:rsid w:val="00066259"/>
    <w:rsid w:val="0006669C"/>
    <w:rsid w:val="00066C8A"/>
    <w:rsid w:val="00067422"/>
    <w:rsid w:val="00067D4A"/>
    <w:rsid w:val="000705EB"/>
    <w:rsid w:val="000708DC"/>
    <w:rsid w:val="00070D5D"/>
    <w:rsid w:val="000721F5"/>
    <w:rsid w:val="00072B39"/>
    <w:rsid w:val="00072C7D"/>
    <w:rsid w:val="00073934"/>
    <w:rsid w:val="00073AAC"/>
    <w:rsid w:val="000741C2"/>
    <w:rsid w:val="00074865"/>
    <w:rsid w:val="0007499D"/>
    <w:rsid w:val="00074AE1"/>
    <w:rsid w:val="00074CD1"/>
    <w:rsid w:val="00076456"/>
    <w:rsid w:val="00076EA6"/>
    <w:rsid w:val="00081492"/>
    <w:rsid w:val="000815A3"/>
    <w:rsid w:val="00081809"/>
    <w:rsid w:val="000819ED"/>
    <w:rsid w:val="00082126"/>
    <w:rsid w:val="00083664"/>
    <w:rsid w:val="00083C46"/>
    <w:rsid w:val="000840A1"/>
    <w:rsid w:val="000848D1"/>
    <w:rsid w:val="0008547E"/>
    <w:rsid w:val="00085483"/>
    <w:rsid w:val="000867A0"/>
    <w:rsid w:val="00086B5C"/>
    <w:rsid w:val="000870F0"/>
    <w:rsid w:val="000902AF"/>
    <w:rsid w:val="0009031F"/>
    <w:rsid w:val="00090B9A"/>
    <w:rsid w:val="00090E58"/>
    <w:rsid w:val="00091370"/>
    <w:rsid w:val="000916A0"/>
    <w:rsid w:val="00091D06"/>
    <w:rsid w:val="000921CE"/>
    <w:rsid w:val="0009223A"/>
    <w:rsid w:val="00092476"/>
    <w:rsid w:val="0009292E"/>
    <w:rsid w:val="00095220"/>
    <w:rsid w:val="00095418"/>
    <w:rsid w:val="00095488"/>
    <w:rsid w:val="00095634"/>
    <w:rsid w:val="00096183"/>
    <w:rsid w:val="0009776C"/>
    <w:rsid w:val="00097EEB"/>
    <w:rsid w:val="000A001E"/>
    <w:rsid w:val="000A1220"/>
    <w:rsid w:val="000A1C69"/>
    <w:rsid w:val="000A2099"/>
    <w:rsid w:val="000A2841"/>
    <w:rsid w:val="000A38C9"/>
    <w:rsid w:val="000A3D17"/>
    <w:rsid w:val="000A4075"/>
    <w:rsid w:val="000A4135"/>
    <w:rsid w:val="000A4C72"/>
    <w:rsid w:val="000A5F85"/>
    <w:rsid w:val="000A6001"/>
    <w:rsid w:val="000A610D"/>
    <w:rsid w:val="000A6592"/>
    <w:rsid w:val="000A6699"/>
    <w:rsid w:val="000A6995"/>
    <w:rsid w:val="000A6D48"/>
    <w:rsid w:val="000A756F"/>
    <w:rsid w:val="000A7571"/>
    <w:rsid w:val="000A7B1D"/>
    <w:rsid w:val="000B0127"/>
    <w:rsid w:val="000B0981"/>
    <w:rsid w:val="000B0E8F"/>
    <w:rsid w:val="000B2097"/>
    <w:rsid w:val="000B357F"/>
    <w:rsid w:val="000B3CA6"/>
    <w:rsid w:val="000B46C7"/>
    <w:rsid w:val="000B5783"/>
    <w:rsid w:val="000B6BA7"/>
    <w:rsid w:val="000C0382"/>
    <w:rsid w:val="000C03E0"/>
    <w:rsid w:val="000C05E4"/>
    <w:rsid w:val="000C05E7"/>
    <w:rsid w:val="000C09FF"/>
    <w:rsid w:val="000C1198"/>
    <w:rsid w:val="000C172F"/>
    <w:rsid w:val="000C1888"/>
    <w:rsid w:val="000C2FED"/>
    <w:rsid w:val="000C3B83"/>
    <w:rsid w:val="000C3D22"/>
    <w:rsid w:val="000C4146"/>
    <w:rsid w:val="000C4DCF"/>
    <w:rsid w:val="000C5752"/>
    <w:rsid w:val="000C6583"/>
    <w:rsid w:val="000C6A76"/>
    <w:rsid w:val="000C750E"/>
    <w:rsid w:val="000C7E63"/>
    <w:rsid w:val="000D045D"/>
    <w:rsid w:val="000D0CAE"/>
    <w:rsid w:val="000D1F1A"/>
    <w:rsid w:val="000D24D8"/>
    <w:rsid w:val="000D2633"/>
    <w:rsid w:val="000D2CBD"/>
    <w:rsid w:val="000D2E71"/>
    <w:rsid w:val="000D3304"/>
    <w:rsid w:val="000D3859"/>
    <w:rsid w:val="000D3B03"/>
    <w:rsid w:val="000D3C9E"/>
    <w:rsid w:val="000D47E1"/>
    <w:rsid w:val="000D5049"/>
    <w:rsid w:val="000D582D"/>
    <w:rsid w:val="000D600D"/>
    <w:rsid w:val="000D61CC"/>
    <w:rsid w:val="000D69BF"/>
    <w:rsid w:val="000D6AAE"/>
    <w:rsid w:val="000D717C"/>
    <w:rsid w:val="000D75C9"/>
    <w:rsid w:val="000E1196"/>
    <w:rsid w:val="000E1460"/>
    <w:rsid w:val="000E18D3"/>
    <w:rsid w:val="000E1A81"/>
    <w:rsid w:val="000E30F8"/>
    <w:rsid w:val="000E5C15"/>
    <w:rsid w:val="000E69FE"/>
    <w:rsid w:val="000F01BF"/>
    <w:rsid w:val="000F0CFF"/>
    <w:rsid w:val="000F0D71"/>
    <w:rsid w:val="000F0DB8"/>
    <w:rsid w:val="000F0E16"/>
    <w:rsid w:val="000F2455"/>
    <w:rsid w:val="000F2C07"/>
    <w:rsid w:val="000F2F69"/>
    <w:rsid w:val="000F2FD6"/>
    <w:rsid w:val="000F3B56"/>
    <w:rsid w:val="000F429B"/>
    <w:rsid w:val="000F4A0C"/>
    <w:rsid w:val="000F572C"/>
    <w:rsid w:val="000F5D59"/>
    <w:rsid w:val="000F6011"/>
    <w:rsid w:val="000F6503"/>
    <w:rsid w:val="000F66FD"/>
    <w:rsid w:val="000F6B5A"/>
    <w:rsid w:val="00100665"/>
    <w:rsid w:val="00100CE1"/>
    <w:rsid w:val="0010112E"/>
    <w:rsid w:val="00101A36"/>
    <w:rsid w:val="00101B86"/>
    <w:rsid w:val="00102BDB"/>
    <w:rsid w:val="001036D1"/>
    <w:rsid w:val="00103E31"/>
    <w:rsid w:val="00103E33"/>
    <w:rsid w:val="00104472"/>
    <w:rsid w:val="0010497D"/>
    <w:rsid w:val="00104DAD"/>
    <w:rsid w:val="00105219"/>
    <w:rsid w:val="001054D7"/>
    <w:rsid w:val="001061E9"/>
    <w:rsid w:val="00110708"/>
    <w:rsid w:val="00110F4B"/>
    <w:rsid w:val="00111652"/>
    <w:rsid w:val="00111BCE"/>
    <w:rsid w:val="00111C4C"/>
    <w:rsid w:val="00112718"/>
    <w:rsid w:val="00113ADA"/>
    <w:rsid w:val="001149A8"/>
    <w:rsid w:val="00114CD3"/>
    <w:rsid w:val="00115B8B"/>
    <w:rsid w:val="001166C9"/>
    <w:rsid w:val="001172F4"/>
    <w:rsid w:val="00117900"/>
    <w:rsid w:val="001200BB"/>
    <w:rsid w:val="0012010D"/>
    <w:rsid w:val="001201FE"/>
    <w:rsid w:val="0012040A"/>
    <w:rsid w:val="001214FD"/>
    <w:rsid w:val="0012160A"/>
    <w:rsid w:val="001218AC"/>
    <w:rsid w:val="00121D3C"/>
    <w:rsid w:val="00122902"/>
    <w:rsid w:val="00122940"/>
    <w:rsid w:val="001232DB"/>
    <w:rsid w:val="00123895"/>
    <w:rsid w:val="00124015"/>
    <w:rsid w:val="00124707"/>
    <w:rsid w:val="00125195"/>
    <w:rsid w:val="001253DF"/>
    <w:rsid w:val="0012601A"/>
    <w:rsid w:val="00127429"/>
    <w:rsid w:val="001300D3"/>
    <w:rsid w:val="00131AB3"/>
    <w:rsid w:val="00131CA3"/>
    <w:rsid w:val="0013236C"/>
    <w:rsid w:val="00132524"/>
    <w:rsid w:val="00133BC7"/>
    <w:rsid w:val="001348FF"/>
    <w:rsid w:val="00134AD8"/>
    <w:rsid w:val="00134F5D"/>
    <w:rsid w:val="00134F6C"/>
    <w:rsid w:val="00136F5B"/>
    <w:rsid w:val="00137236"/>
    <w:rsid w:val="001375BB"/>
    <w:rsid w:val="00137F3F"/>
    <w:rsid w:val="00140915"/>
    <w:rsid w:val="00140DDD"/>
    <w:rsid w:val="0014268D"/>
    <w:rsid w:val="00143342"/>
    <w:rsid w:val="001445C3"/>
    <w:rsid w:val="0014464F"/>
    <w:rsid w:val="00145CB2"/>
    <w:rsid w:val="00145E28"/>
    <w:rsid w:val="001466B3"/>
    <w:rsid w:val="00146E41"/>
    <w:rsid w:val="00146E75"/>
    <w:rsid w:val="00147404"/>
    <w:rsid w:val="0014743C"/>
    <w:rsid w:val="001508C1"/>
    <w:rsid w:val="00150DFC"/>
    <w:rsid w:val="00150FAB"/>
    <w:rsid w:val="0015102D"/>
    <w:rsid w:val="00152428"/>
    <w:rsid w:val="00152753"/>
    <w:rsid w:val="00152C17"/>
    <w:rsid w:val="0015302A"/>
    <w:rsid w:val="001535DE"/>
    <w:rsid w:val="00154732"/>
    <w:rsid w:val="00154AF4"/>
    <w:rsid w:val="00154F19"/>
    <w:rsid w:val="00155615"/>
    <w:rsid w:val="001564B4"/>
    <w:rsid w:val="001564CD"/>
    <w:rsid w:val="001574AA"/>
    <w:rsid w:val="001576A6"/>
    <w:rsid w:val="001602B5"/>
    <w:rsid w:val="0016087C"/>
    <w:rsid w:val="001612DD"/>
    <w:rsid w:val="00161660"/>
    <w:rsid w:val="001616E5"/>
    <w:rsid w:val="00161E58"/>
    <w:rsid w:val="001624B0"/>
    <w:rsid w:val="00162BC4"/>
    <w:rsid w:val="0016328E"/>
    <w:rsid w:val="00163646"/>
    <w:rsid w:val="00163851"/>
    <w:rsid w:val="00164A56"/>
    <w:rsid w:val="00164BC7"/>
    <w:rsid w:val="00164E7A"/>
    <w:rsid w:val="0016533A"/>
    <w:rsid w:val="0016544F"/>
    <w:rsid w:val="0016561B"/>
    <w:rsid w:val="00165667"/>
    <w:rsid w:val="001661A0"/>
    <w:rsid w:val="0016653F"/>
    <w:rsid w:val="00166682"/>
    <w:rsid w:val="00166E44"/>
    <w:rsid w:val="00170149"/>
    <w:rsid w:val="00170154"/>
    <w:rsid w:val="00170C21"/>
    <w:rsid w:val="001711F7"/>
    <w:rsid w:val="00171A4F"/>
    <w:rsid w:val="00171B4D"/>
    <w:rsid w:val="00172402"/>
    <w:rsid w:val="00172823"/>
    <w:rsid w:val="00172B17"/>
    <w:rsid w:val="00172CD9"/>
    <w:rsid w:val="001737FF"/>
    <w:rsid w:val="001739E6"/>
    <w:rsid w:val="00173EB5"/>
    <w:rsid w:val="001746C9"/>
    <w:rsid w:val="00175352"/>
    <w:rsid w:val="00175922"/>
    <w:rsid w:val="00177402"/>
    <w:rsid w:val="001800F3"/>
    <w:rsid w:val="00180158"/>
    <w:rsid w:val="00180A4F"/>
    <w:rsid w:val="00180E7A"/>
    <w:rsid w:val="00180FF7"/>
    <w:rsid w:val="001814A1"/>
    <w:rsid w:val="0018151D"/>
    <w:rsid w:val="001819A7"/>
    <w:rsid w:val="00181EB1"/>
    <w:rsid w:val="00181FF9"/>
    <w:rsid w:val="001821F3"/>
    <w:rsid w:val="00182DF3"/>
    <w:rsid w:val="0018317A"/>
    <w:rsid w:val="001833A6"/>
    <w:rsid w:val="00184F53"/>
    <w:rsid w:val="0018640C"/>
    <w:rsid w:val="0018691C"/>
    <w:rsid w:val="0018696A"/>
    <w:rsid w:val="001879DD"/>
    <w:rsid w:val="001907A8"/>
    <w:rsid w:val="0019118A"/>
    <w:rsid w:val="0019243A"/>
    <w:rsid w:val="00193D57"/>
    <w:rsid w:val="00193E85"/>
    <w:rsid w:val="00195FE9"/>
    <w:rsid w:val="0019722F"/>
    <w:rsid w:val="001A040D"/>
    <w:rsid w:val="001A0E7B"/>
    <w:rsid w:val="001A1567"/>
    <w:rsid w:val="001A1B14"/>
    <w:rsid w:val="001A1B62"/>
    <w:rsid w:val="001A2581"/>
    <w:rsid w:val="001A2879"/>
    <w:rsid w:val="001A48B8"/>
    <w:rsid w:val="001A4A54"/>
    <w:rsid w:val="001A563E"/>
    <w:rsid w:val="001A5EA7"/>
    <w:rsid w:val="001A5FD1"/>
    <w:rsid w:val="001A63A4"/>
    <w:rsid w:val="001A707A"/>
    <w:rsid w:val="001A79EE"/>
    <w:rsid w:val="001A7BE9"/>
    <w:rsid w:val="001B01DF"/>
    <w:rsid w:val="001B035B"/>
    <w:rsid w:val="001B09EE"/>
    <w:rsid w:val="001B13CA"/>
    <w:rsid w:val="001B28DA"/>
    <w:rsid w:val="001B2981"/>
    <w:rsid w:val="001B38D9"/>
    <w:rsid w:val="001B3E66"/>
    <w:rsid w:val="001B42FC"/>
    <w:rsid w:val="001B4304"/>
    <w:rsid w:val="001B4D95"/>
    <w:rsid w:val="001B5936"/>
    <w:rsid w:val="001B6268"/>
    <w:rsid w:val="001B6311"/>
    <w:rsid w:val="001B64C0"/>
    <w:rsid w:val="001B6717"/>
    <w:rsid w:val="001B6B81"/>
    <w:rsid w:val="001C0A95"/>
    <w:rsid w:val="001C0C3F"/>
    <w:rsid w:val="001C0FB4"/>
    <w:rsid w:val="001C14BF"/>
    <w:rsid w:val="001C2915"/>
    <w:rsid w:val="001C2DDC"/>
    <w:rsid w:val="001C3136"/>
    <w:rsid w:val="001C32CB"/>
    <w:rsid w:val="001C4063"/>
    <w:rsid w:val="001C4D55"/>
    <w:rsid w:val="001C5417"/>
    <w:rsid w:val="001C689E"/>
    <w:rsid w:val="001C6AC5"/>
    <w:rsid w:val="001C6DE2"/>
    <w:rsid w:val="001C7124"/>
    <w:rsid w:val="001C7395"/>
    <w:rsid w:val="001D00AE"/>
    <w:rsid w:val="001D0775"/>
    <w:rsid w:val="001D09C2"/>
    <w:rsid w:val="001D0DF9"/>
    <w:rsid w:val="001D0F3F"/>
    <w:rsid w:val="001D1667"/>
    <w:rsid w:val="001D16A2"/>
    <w:rsid w:val="001D1EC0"/>
    <w:rsid w:val="001D2389"/>
    <w:rsid w:val="001D23CB"/>
    <w:rsid w:val="001D2530"/>
    <w:rsid w:val="001D2C20"/>
    <w:rsid w:val="001D3E38"/>
    <w:rsid w:val="001D582C"/>
    <w:rsid w:val="001D65B6"/>
    <w:rsid w:val="001D6E69"/>
    <w:rsid w:val="001D7196"/>
    <w:rsid w:val="001E08A3"/>
    <w:rsid w:val="001E0F26"/>
    <w:rsid w:val="001E16FC"/>
    <w:rsid w:val="001E1A0A"/>
    <w:rsid w:val="001E1A86"/>
    <w:rsid w:val="001E1B06"/>
    <w:rsid w:val="001E27BE"/>
    <w:rsid w:val="001E2B43"/>
    <w:rsid w:val="001E2C73"/>
    <w:rsid w:val="001E30FB"/>
    <w:rsid w:val="001E348A"/>
    <w:rsid w:val="001E34FA"/>
    <w:rsid w:val="001E45BA"/>
    <w:rsid w:val="001E51EC"/>
    <w:rsid w:val="001E5D39"/>
    <w:rsid w:val="001E5EBD"/>
    <w:rsid w:val="001E67F6"/>
    <w:rsid w:val="001F051C"/>
    <w:rsid w:val="001F052F"/>
    <w:rsid w:val="001F05B2"/>
    <w:rsid w:val="001F132B"/>
    <w:rsid w:val="001F1937"/>
    <w:rsid w:val="001F1DE8"/>
    <w:rsid w:val="001F2F37"/>
    <w:rsid w:val="001F37C7"/>
    <w:rsid w:val="001F5BAA"/>
    <w:rsid w:val="001F61FA"/>
    <w:rsid w:val="001F62A0"/>
    <w:rsid w:val="001F6DAD"/>
    <w:rsid w:val="001F745B"/>
    <w:rsid w:val="001F7960"/>
    <w:rsid w:val="002007C2"/>
    <w:rsid w:val="002007F6"/>
    <w:rsid w:val="00201C3C"/>
    <w:rsid w:val="00202200"/>
    <w:rsid w:val="002026FC"/>
    <w:rsid w:val="00202FED"/>
    <w:rsid w:val="00203123"/>
    <w:rsid w:val="00203591"/>
    <w:rsid w:val="00203888"/>
    <w:rsid w:val="00203A46"/>
    <w:rsid w:val="00205314"/>
    <w:rsid w:val="00205B9D"/>
    <w:rsid w:val="00206768"/>
    <w:rsid w:val="00206F5D"/>
    <w:rsid w:val="0020755B"/>
    <w:rsid w:val="00207D91"/>
    <w:rsid w:val="00211254"/>
    <w:rsid w:val="00212916"/>
    <w:rsid w:val="00212CCB"/>
    <w:rsid w:val="00212D63"/>
    <w:rsid w:val="002136B6"/>
    <w:rsid w:val="00214300"/>
    <w:rsid w:val="00215AA9"/>
    <w:rsid w:val="00216F56"/>
    <w:rsid w:val="0021777B"/>
    <w:rsid w:val="00220C8E"/>
    <w:rsid w:val="00221D8B"/>
    <w:rsid w:val="00222163"/>
    <w:rsid w:val="00223506"/>
    <w:rsid w:val="00224C98"/>
    <w:rsid w:val="0022569F"/>
    <w:rsid w:val="00226DF5"/>
    <w:rsid w:val="00226E02"/>
    <w:rsid w:val="00227463"/>
    <w:rsid w:val="00227881"/>
    <w:rsid w:val="00230557"/>
    <w:rsid w:val="002309AC"/>
    <w:rsid w:val="00230EAB"/>
    <w:rsid w:val="00230F4E"/>
    <w:rsid w:val="00231094"/>
    <w:rsid w:val="002314F0"/>
    <w:rsid w:val="00231ABD"/>
    <w:rsid w:val="002320A5"/>
    <w:rsid w:val="002322ED"/>
    <w:rsid w:val="00232832"/>
    <w:rsid w:val="00232BDA"/>
    <w:rsid w:val="00233A90"/>
    <w:rsid w:val="00233E14"/>
    <w:rsid w:val="0023497F"/>
    <w:rsid w:val="00234BFF"/>
    <w:rsid w:val="00234EFF"/>
    <w:rsid w:val="00235042"/>
    <w:rsid w:val="0023600D"/>
    <w:rsid w:val="00236BD2"/>
    <w:rsid w:val="00236D1D"/>
    <w:rsid w:val="00237952"/>
    <w:rsid w:val="002405D3"/>
    <w:rsid w:val="00240F49"/>
    <w:rsid w:val="00241009"/>
    <w:rsid w:val="0024156A"/>
    <w:rsid w:val="00241884"/>
    <w:rsid w:val="0024266F"/>
    <w:rsid w:val="0024301E"/>
    <w:rsid w:val="00243427"/>
    <w:rsid w:val="00243BDC"/>
    <w:rsid w:val="002450F9"/>
    <w:rsid w:val="00245E52"/>
    <w:rsid w:val="00246AA4"/>
    <w:rsid w:val="00251615"/>
    <w:rsid w:val="00251672"/>
    <w:rsid w:val="00251734"/>
    <w:rsid w:val="00251D9E"/>
    <w:rsid w:val="00251FC1"/>
    <w:rsid w:val="0025226A"/>
    <w:rsid w:val="002524D3"/>
    <w:rsid w:val="002529B6"/>
    <w:rsid w:val="00252F79"/>
    <w:rsid w:val="00253230"/>
    <w:rsid w:val="00254693"/>
    <w:rsid w:val="00254A1F"/>
    <w:rsid w:val="00254A3E"/>
    <w:rsid w:val="002554BE"/>
    <w:rsid w:val="00256746"/>
    <w:rsid w:val="0025702A"/>
    <w:rsid w:val="0025764E"/>
    <w:rsid w:val="0026029B"/>
    <w:rsid w:val="00260C3F"/>
    <w:rsid w:val="00261EAB"/>
    <w:rsid w:val="0026203E"/>
    <w:rsid w:val="0026251C"/>
    <w:rsid w:val="002637C5"/>
    <w:rsid w:val="0026400B"/>
    <w:rsid w:val="00264204"/>
    <w:rsid w:val="00264BF9"/>
    <w:rsid w:val="00265E2B"/>
    <w:rsid w:val="002662DC"/>
    <w:rsid w:val="0026660F"/>
    <w:rsid w:val="0026799E"/>
    <w:rsid w:val="00270C60"/>
    <w:rsid w:val="00270D64"/>
    <w:rsid w:val="00270F36"/>
    <w:rsid w:val="00271000"/>
    <w:rsid w:val="0027109D"/>
    <w:rsid w:val="0027169E"/>
    <w:rsid w:val="002717E4"/>
    <w:rsid w:val="00271C89"/>
    <w:rsid w:val="00273437"/>
    <w:rsid w:val="00273B80"/>
    <w:rsid w:val="00273DEB"/>
    <w:rsid w:val="0027487C"/>
    <w:rsid w:val="002749DA"/>
    <w:rsid w:val="0027569A"/>
    <w:rsid w:val="00275F31"/>
    <w:rsid w:val="002760F2"/>
    <w:rsid w:val="00276341"/>
    <w:rsid w:val="00280CF5"/>
    <w:rsid w:val="00280FDB"/>
    <w:rsid w:val="00281178"/>
    <w:rsid w:val="002822C6"/>
    <w:rsid w:val="00282F7B"/>
    <w:rsid w:val="00283716"/>
    <w:rsid w:val="00283891"/>
    <w:rsid w:val="00283E56"/>
    <w:rsid w:val="002845BE"/>
    <w:rsid w:val="0028488B"/>
    <w:rsid w:val="00284DE0"/>
    <w:rsid w:val="002850C0"/>
    <w:rsid w:val="0028646E"/>
    <w:rsid w:val="00286592"/>
    <w:rsid w:val="00286E31"/>
    <w:rsid w:val="00290344"/>
    <w:rsid w:val="0029038D"/>
    <w:rsid w:val="0029042A"/>
    <w:rsid w:val="00290B14"/>
    <w:rsid w:val="00290E74"/>
    <w:rsid w:val="00291096"/>
    <w:rsid w:val="0029138A"/>
    <w:rsid w:val="0029157C"/>
    <w:rsid w:val="00292151"/>
    <w:rsid w:val="00292D38"/>
    <w:rsid w:val="00292FCA"/>
    <w:rsid w:val="002936A9"/>
    <w:rsid w:val="002936AD"/>
    <w:rsid w:val="00293B33"/>
    <w:rsid w:val="00294397"/>
    <w:rsid w:val="002945D2"/>
    <w:rsid w:val="00294E63"/>
    <w:rsid w:val="002951D3"/>
    <w:rsid w:val="00295408"/>
    <w:rsid w:val="00295B9D"/>
    <w:rsid w:val="00296062"/>
    <w:rsid w:val="002974CC"/>
    <w:rsid w:val="00297789"/>
    <w:rsid w:val="00297AA9"/>
    <w:rsid w:val="00297B7F"/>
    <w:rsid w:val="002A01B5"/>
    <w:rsid w:val="002A08F2"/>
    <w:rsid w:val="002A145E"/>
    <w:rsid w:val="002A2203"/>
    <w:rsid w:val="002A2277"/>
    <w:rsid w:val="002A2965"/>
    <w:rsid w:val="002A29AE"/>
    <w:rsid w:val="002A2E79"/>
    <w:rsid w:val="002A3131"/>
    <w:rsid w:val="002A31A0"/>
    <w:rsid w:val="002A31ED"/>
    <w:rsid w:val="002A342E"/>
    <w:rsid w:val="002A413D"/>
    <w:rsid w:val="002A4BC8"/>
    <w:rsid w:val="002A5727"/>
    <w:rsid w:val="002A647A"/>
    <w:rsid w:val="002A6996"/>
    <w:rsid w:val="002A6D77"/>
    <w:rsid w:val="002A7D90"/>
    <w:rsid w:val="002B005B"/>
    <w:rsid w:val="002B006F"/>
    <w:rsid w:val="002B14A2"/>
    <w:rsid w:val="002B187B"/>
    <w:rsid w:val="002B1937"/>
    <w:rsid w:val="002B2640"/>
    <w:rsid w:val="002B34E8"/>
    <w:rsid w:val="002B36E5"/>
    <w:rsid w:val="002B3A1D"/>
    <w:rsid w:val="002B4DFE"/>
    <w:rsid w:val="002B50BD"/>
    <w:rsid w:val="002B5459"/>
    <w:rsid w:val="002B6ACD"/>
    <w:rsid w:val="002B6CA3"/>
    <w:rsid w:val="002C0009"/>
    <w:rsid w:val="002C081E"/>
    <w:rsid w:val="002C206F"/>
    <w:rsid w:val="002C2C85"/>
    <w:rsid w:val="002C3CFE"/>
    <w:rsid w:val="002C431E"/>
    <w:rsid w:val="002C4AE5"/>
    <w:rsid w:val="002C5584"/>
    <w:rsid w:val="002C5DE9"/>
    <w:rsid w:val="002C68CC"/>
    <w:rsid w:val="002C6F97"/>
    <w:rsid w:val="002C70AB"/>
    <w:rsid w:val="002C71ED"/>
    <w:rsid w:val="002C7710"/>
    <w:rsid w:val="002C7813"/>
    <w:rsid w:val="002C7A2D"/>
    <w:rsid w:val="002C7D60"/>
    <w:rsid w:val="002D04A7"/>
    <w:rsid w:val="002D2DED"/>
    <w:rsid w:val="002D3084"/>
    <w:rsid w:val="002D3557"/>
    <w:rsid w:val="002D3B4F"/>
    <w:rsid w:val="002D4D32"/>
    <w:rsid w:val="002D54DF"/>
    <w:rsid w:val="002D5A17"/>
    <w:rsid w:val="002D6026"/>
    <w:rsid w:val="002D6C17"/>
    <w:rsid w:val="002D7A45"/>
    <w:rsid w:val="002D7F57"/>
    <w:rsid w:val="002E0374"/>
    <w:rsid w:val="002E05A7"/>
    <w:rsid w:val="002E0A8C"/>
    <w:rsid w:val="002E1270"/>
    <w:rsid w:val="002E1831"/>
    <w:rsid w:val="002E199C"/>
    <w:rsid w:val="002E19B7"/>
    <w:rsid w:val="002E1F9D"/>
    <w:rsid w:val="002E22B7"/>
    <w:rsid w:val="002E287A"/>
    <w:rsid w:val="002E3AB3"/>
    <w:rsid w:val="002E3D6F"/>
    <w:rsid w:val="002E49F1"/>
    <w:rsid w:val="002E4A64"/>
    <w:rsid w:val="002E4BDA"/>
    <w:rsid w:val="002E5C80"/>
    <w:rsid w:val="002E6002"/>
    <w:rsid w:val="002E640E"/>
    <w:rsid w:val="002E6C66"/>
    <w:rsid w:val="002E7AD4"/>
    <w:rsid w:val="002E7D25"/>
    <w:rsid w:val="002F1213"/>
    <w:rsid w:val="002F1A16"/>
    <w:rsid w:val="002F2D7E"/>
    <w:rsid w:val="002F38A5"/>
    <w:rsid w:val="002F3EC3"/>
    <w:rsid w:val="002F3FE6"/>
    <w:rsid w:val="002F429E"/>
    <w:rsid w:val="002F61EE"/>
    <w:rsid w:val="002F69E3"/>
    <w:rsid w:val="002F6ACF"/>
    <w:rsid w:val="002F6F4E"/>
    <w:rsid w:val="002F7186"/>
    <w:rsid w:val="002F7347"/>
    <w:rsid w:val="002F7506"/>
    <w:rsid w:val="00300EDE"/>
    <w:rsid w:val="0030107A"/>
    <w:rsid w:val="00302AEA"/>
    <w:rsid w:val="003041BA"/>
    <w:rsid w:val="00305F42"/>
    <w:rsid w:val="003061D5"/>
    <w:rsid w:val="00306236"/>
    <w:rsid w:val="00306329"/>
    <w:rsid w:val="003066EE"/>
    <w:rsid w:val="00306E27"/>
    <w:rsid w:val="00306E54"/>
    <w:rsid w:val="003074E8"/>
    <w:rsid w:val="00307F50"/>
    <w:rsid w:val="00310AE7"/>
    <w:rsid w:val="003126BF"/>
    <w:rsid w:val="00313226"/>
    <w:rsid w:val="00313312"/>
    <w:rsid w:val="003137E9"/>
    <w:rsid w:val="00313DE8"/>
    <w:rsid w:val="00313FB9"/>
    <w:rsid w:val="00314226"/>
    <w:rsid w:val="003144B3"/>
    <w:rsid w:val="003146FC"/>
    <w:rsid w:val="0031505D"/>
    <w:rsid w:val="003153AF"/>
    <w:rsid w:val="00316032"/>
    <w:rsid w:val="003164E6"/>
    <w:rsid w:val="003166BE"/>
    <w:rsid w:val="0031714B"/>
    <w:rsid w:val="0031731E"/>
    <w:rsid w:val="00317625"/>
    <w:rsid w:val="00317D77"/>
    <w:rsid w:val="00320578"/>
    <w:rsid w:val="003208CA"/>
    <w:rsid w:val="003209A7"/>
    <w:rsid w:val="003220D6"/>
    <w:rsid w:val="0032220F"/>
    <w:rsid w:val="00322231"/>
    <w:rsid w:val="00323A2B"/>
    <w:rsid w:val="00323A7D"/>
    <w:rsid w:val="003240FA"/>
    <w:rsid w:val="003241D5"/>
    <w:rsid w:val="003246FC"/>
    <w:rsid w:val="00325394"/>
    <w:rsid w:val="00325415"/>
    <w:rsid w:val="00325CAE"/>
    <w:rsid w:val="00325DC6"/>
    <w:rsid w:val="00327069"/>
    <w:rsid w:val="00330714"/>
    <w:rsid w:val="00330BC4"/>
    <w:rsid w:val="00330BD8"/>
    <w:rsid w:val="00330C4F"/>
    <w:rsid w:val="00330F94"/>
    <w:rsid w:val="003310EE"/>
    <w:rsid w:val="00331DB1"/>
    <w:rsid w:val="00331F9B"/>
    <w:rsid w:val="00332531"/>
    <w:rsid w:val="0033262C"/>
    <w:rsid w:val="00332DE7"/>
    <w:rsid w:val="0033317A"/>
    <w:rsid w:val="003334EB"/>
    <w:rsid w:val="003338A3"/>
    <w:rsid w:val="00333A1D"/>
    <w:rsid w:val="0033490C"/>
    <w:rsid w:val="00334E14"/>
    <w:rsid w:val="00334FBA"/>
    <w:rsid w:val="003350CF"/>
    <w:rsid w:val="003359F6"/>
    <w:rsid w:val="00335A5E"/>
    <w:rsid w:val="00335F5D"/>
    <w:rsid w:val="0033641C"/>
    <w:rsid w:val="003364D5"/>
    <w:rsid w:val="0033660A"/>
    <w:rsid w:val="00336E0E"/>
    <w:rsid w:val="00337185"/>
    <w:rsid w:val="00340783"/>
    <w:rsid w:val="003441DD"/>
    <w:rsid w:val="003447DF"/>
    <w:rsid w:val="00345410"/>
    <w:rsid w:val="00345455"/>
    <w:rsid w:val="00345C46"/>
    <w:rsid w:val="00347A51"/>
    <w:rsid w:val="00347EAA"/>
    <w:rsid w:val="00350593"/>
    <w:rsid w:val="003516EE"/>
    <w:rsid w:val="00351BD8"/>
    <w:rsid w:val="00351E57"/>
    <w:rsid w:val="00351F7B"/>
    <w:rsid w:val="00352631"/>
    <w:rsid w:val="0035285B"/>
    <w:rsid w:val="0035465E"/>
    <w:rsid w:val="003547A6"/>
    <w:rsid w:val="00354E21"/>
    <w:rsid w:val="0035592B"/>
    <w:rsid w:val="00355C92"/>
    <w:rsid w:val="00356058"/>
    <w:rsid w:val="00356376"/>
    <w:rsid w:val="003577AA"/>
    <w:rsid w:val="00357F90"/>
    <w:rsid w:val="00364D58"/>
    <w:rsid w:val="0036531E"/>
    <w:rsid w:val="00365397"/>
    <w:rsid w:val="00365DFA"/>
    <w:rsid w:val="00366987"/>
    <w:rsid w:val="00366A93"/>
    <w:rsid w:val="00366AE0"/>
    <w:rsid w:val="00367541"/>
    <w:rsid w:val="0036763E"/>
    <w:rsid w:val="00367642"/>
    <w:rsid w:val="003709A7"/>
    <w:rsid w:val="00370C32"/>
    <w:rsid w:val="00371161"/>
    <w:rsid w:val="003713BF"/>
    <w:rsid w:val="00371596"/>
    <w:rsid w:val="00371EED"/>
    <w:rsid w:val="00372B50"/>
    <w:rsid w:val="00372DA2"/>
    <w:rsid w:val="00372EEF"/>
    <w:rsid w:val="00373615"/>
    <w:rsid w:val="00373F1A"/>
    <w:rsid w:val="003744C2"/>
    <w:rsid w:val="00374500"/>
    <w:rsid w:val="003766CA"/>
    <w:rsid w:val="003769D4"/>
    <w:rsid w:val="00376A6F"/>
    <w:rsid w:val="003775B4"/>
    <w:rsid w:val="00377AD2"/>
    <w:rsid w:val="0038026F"/>
    <w:rsid w:val="00380B7C"/>
    <w:rsid w:val="00381A5E"/>
    <w:rsid w:val="00381AE6"/>
    <w:rsid w:val="003826F2"/>
    <w:rsid w:val="0038333B"/>
    <w:rsid w:val="0038339C"/>
    <w:rsid w:val="00383719"/>
    <w:rsid w:val="0038385C"/>
    <w:rsid w:val="00383A36"/>
    <w:rsid w:val="003843CD"/>
    <w:rsid w:val="00384433"/>
    <w:rsid w:val="00384945"/>
    <w:rsid w:val="00384BAA"/>
    <w:rsid w:val="00385AB1"/>
    <w:rsid w:val="00385C92"/>
    <w:rsid w:val="00386309"/>
    <w:rsid w:val="00386B40"/>
    <w:rsid w:val="00386C91"/>
    <w:rsid w:val="00387587"/>
    <w:rsid w:val="00390B1B"/>
    <w:rsid w:val="00390FC5"/>
    <w:rsid w:val="00391A90"/>
    <w:rsid w:val="00392962"/>
    <w:rsid w:val="00392F85"/>
    <w:rsid w:val="003935AE"/>
    <w:rsid w:val="00393807"/>
    <w:rsid w:val="003948F9"/>
    <w:rsid w:val="00395005"/>
    <w:rsid w:val="0039527B"/>
    <w:rsid w:val="00395829"/>
    <w:rsid w:val="00395A8A"/>
    <w:rsid w:val="00395EF4"/>
    <w:rsid w:val="00395F22"/>
    <w:rsid w:val="0039611D"/>
    <w:rsid w:val="0039619D"/>
    <w:rsid w:val="003967B1"/>
    <w:rsid w:val="00396980"/>
    <w:rsid w:val="00396BB1"/>
    <w:rsid w:val="00396FB8"/>
    <w:rsid w:val="003970E7"/>
    <w:rsid w:val="003A075A"/>
    <w:rsid w:val="003A103F"/>
    <w:rsid w:val="003A134B"/>
    <w:rsid w:val="003A1371"/>
    <w:rsid w:val="003A247F"/>
    <w:rsid w:val="003A2AF1"/>
    <w:rsid w:val="003A2DB0"/>
    <w:rsid w:val="003A3499"/>
    <w:rsid w:val="003A361F"/>
    <w:rsid w:val="003A384E"/>
    <w:rsid w:val="003A3DF7"/>
    <w:rsid w:val="003A4584"/>
    <w:rsid w:val="003A4A13"/>
    <w:rsid w:val="003A4B33"/>
    <w:rsid w:val="003A54CB"/>
    <w:rsid w:val="003A560E"/>
    <w:rsid w:val="003A574D"/>
    <w:rsid w:val="003A5795"/>
    <w:rsid w:val="003A5899"/>
    <w:rsid w:val="003A5942"/>
    <w:rsid w:val="003A6278"/>
    <w:rsid w:val="003A67EF"/>
    <w:rsid w:val="003A6BF5"/>
    <w:rsid w:val="003A6C61"/>
    <w:rsid w:val="003A6C6B"/>
    <w:rsid w:val="003A7288"/>
    <w:rsid w:val="003A78E2"/>
    <w:rsid w:val="003A7B53"/>
    <w:rsid w:val="003B01F0"/>
    <w:rsid w:val="003B044F"/>
    <w:rsid w:val="003B092B"/>
    <w:rsid w:val="003B1081"/>
    <w:rsid w:val="003B2705"/>
    <w:rsid w:val="003B3CBF"/>
    <w:rsid w:val="003B3F1B"/>
    <w:rsid w:val="003B583F"/>
    <w:rsid w:val="003B5C7A"/>
    <w:rsid w:val="003B63D9"/>
    <w:rsid w:val="003B667D"/>
    <w:rsid w:val="003B7257"/>
    <w:rsid w:val="003C00F1"/>
    <w:rsid w:val="003C0B7F"/>
    <w:rsid w:val="003C0F77"/>
    <w:rsid w:val="003C12FC"/>
    <w:rsid w:val="003C1852"/>
    <w:rsid w:val="003C229F"/>
    <w:rsid w:val="003C280F"/>
    <w:rsid w:val="003C3744"/>
    <w:rsid w:val="003C4AA8"/>
    <w:rsid w:val="003C4AB2"/>
    <w:rsid w:val="003C630B"/>
    <w:rsid w:val="003C6A6E"/>
    <w:rsid w:val="003C7533"/>
    <w:rsid w:val="003C7B65"/>
    <w:rsid w:val="003C7BBF"/>
    <w:rsid w:val="003C7C01"/>
    <w:rsid w:val="003C7CFF"/>
    <w:rsid w:val="003D1152"/>
    <w:rsid w:val="003D11D6"/>
    <w:rsid w:val="003D1A8A"/>
    <w:rsid w:val="003D2AB3"/>
    <w:rsid w:val="003D39C3"/>
    <w:rsid w:val="003D3E13"/>
    <w:rsid w:val="003D409A"/>
    <w:rsid w:val="003D4460"/>
    <w:rsid w:val="003D54AA"/>
    <w:rsid w:val="003D5565"/>
    <w:rsid w:val="003D5C0E"/>
    <w:rsid w:val="003D6351"/>
    <w:rsid w:val="003D640D"/>
    <w:rsid w:val="003D648E"/>
    <w:rsid w:val="003D65A7"/>
    <w:rsid w:val="003D736E"/>
    <w:rsid w:val="003D7816"/>
    <w:rsid w:val="003D7824"/>
    <w:rsid w:val="003D7E1D"/>
    <w:rsid w:val="003E0359"/>
    <w:rsid w:val="003E065A"/>
    <w:rsid w:val="003E155C"/>
    <w:rsid w:val="003E197F"/>
    <w:rsid w:val="003E2A0C"/>
    <w:rsid w:val="003E2F7E"/>
    <w:rsid w:val="003E3D02"/>
    <w:rsid w:val="003E3DFD"/>
    <w:rsid w:val="003E4BF8"/>
    <w:rsid w:val="003E4EA8"/>
    <w:rsid w:val="003E5395"/>
    <w:rsid w:val="003E558D"/>
    <w:rsid w:val="003E5D5B"/>
    <w:rsid w:val="003E5F9B"/>
    <w:rsid w:val="003E6229"/>
    <w:rsid w:val="003E6ABD"/>
    <w:rsid w:val="003F029E"/>
    <w:rsid w:val="003F0B67"/>
    <w:rsid w:val="003F0D7B"/>
    <w:rsid w:val="003F0DA5"/>
    <w:rsid w:val="003F10E5"/>
    <w:rsid w:val="003F1339"/>
    <w:rsid w:val="003F278F"/>
    <w:rsid w:val="003F27D7"/>
    <w:rsid w:val="003F2BBF"/>
    <w:rsid w:val="003F2DF7"/>
    <w:rsid w:val="003F327F"/>
    <w:rsid w:val="003F3377"/>
    <w:rsid w:val="003F4513"/>
    <w:rsid w:val="003F4803"/>
    <w:rsid w:val="003F4FD4"/>
    <w:rsid w:val="003F55F6"/>
    <w:rsid w:val="003F5804"/>
    <w:rsid w:val="003F608D"/>
    <w:rsid w:val="003F6C90"/>
    <w:rsid w:val="003F6F45"/>
    <w:rsid w:val="004009AD"/>
    <w:rsid w:val="00402665"/>
    <w:rsid w:val="00402FAA"/>
    <w:rsid w:val="0040306D"/>
    <w:rsid w:val="00404CB5"/>
    <w:rsid w:val="00405759"/>
    <w:rsid w:val="00406447"/>
    <w:rsid w:val="00406FDA"/>
    <w:rsid w:val="00407467"/>
    <w:rsid w:val="00407D69"/>
    <w:rsid w:val="0041086E"/>
    <w:rsid w:val="00410F4D"/>
    <w:rsid w:val="004117E8"/>
    <w:rsid w:val="0041181A"/>
    <w:rsid w:val="00411B28"/>
    <w:rsid w:val="004129AC"/>
    <w:rsid w:val="00412AD1"/>
    <w:rsid w:val="00414F8E"/>
    <w:rsid w:val="00415BFD"/>
    <w:rsid w:val="0041761E"/>
    <w:rsid w:val="0042034B"/>
    <w:rsid w:val="004210CE"/>
    <w:rsid w:val="004212C9"/>
    <w:rsid w:val="004214A6"/>
    <w:rsid w:val="00421609"/>
    <w:rsid w:val="0042165A"/>
    <w:rsid w:val="00421BFB"/>
    <w:rsid w:val="004225BE"/>
    <w:rsid w:val="00422618"/>
    <w:rsid w:val="00424972"/>
    <w:rsid w:val="00424E1D"/>
    <w:rsid w:val="0042503D"/>
    <w:rsid w:val="00425B44"/>
    <w:rsid w:val="00425E4A"/>
    <w:rsid w:val="00426405"/>
    <w:rsid w:val="004265A1"/>
    <w:rsid w:val="004265DC"/>
    <w:rsid w:val="00426834"/>
    <w:rsid w:val="00426AE7"/>
    <w:rsid w:val="00426F78"/>
    <w:rsid w:val="00426FBD"/>
    <w:rsid w:val="0042755C"/>
    <w:rsid w:val="00427AC5"/>
    <w:rsid w:val="00430B10"/>
    <w:rsid w:val="00430F15"/>
    <w:rsid w:val="00431557"/>
    <w:rsid w:val="004333DA"/>
    <w:rsid w:val="00433D74"/>
    <w:rsid w:val="0043427E"/>
    <w:rsid w:val="00434809"/>
    <w:rsid w:val="00434A67"/>
    <w:rsid w:val="00434E23"/>
    <w:rsid w:val="00434EBA"/>
    <w:rsid w:val="00435991"/>
    <w:rsid w:val="00435BE6"/>
    <w:rsid w:val="00435D3F"/>
    <w:rsid w:val="00436579"/>
    <w:rsid w:val="0043765B"/>
    <w:rsid w:val="00437E06"/>
    <w:rsid w:val="00441898"/>
    <w:rsid w:val="00441F8E"/>
    <w:rsid w:val="004421D2"/>
    <w:rsid w:val="004423D8"/>
    <w:rsid w:val="00442DC9"/>
    <w:rsid w:val="00442E1E"/>
    <w:rsid w:val="00443116"/>
    <w:rsid w:val="0044362A"/>
    <w:rsid w:val="00443DC4"/>
    <w:rsid w:val="0044496C"/>
    <w:rsid w:val="00444CED"/>
    <w:rsid w:val="00444E76"/>
    <w:rsid w:val="00444E86"/>
    <w:rsid w:val="0044566C"/>
    <w:rsid w:val="00445AA2"/>
    <w:rsid w:val="00445CC3"/>
    <w:rsid w:val="004460DC"/>
    <w:rsid w:val="0044628D"/>
    <w:rsid w:val="00446890"/>
    <w:rsid w:val="00446C88"/>
    <w:rsid w:val="00446DB4"/>
    <w:rsid w:val="00447024"/>
    <w:rsid w:val="004477EA"/>
    <w:rsid w:val="00447C47"/>
    <w:rsid w:val="00447CB5"/>
    <w:rsid w:val="00450B4D"/>
    <w:rsid w:val="0045149C"/>
    <w:rsid w:val="004519CC"/>
    <w:rsid w:val="004544CF"/>
    <w:rsid w:val="0045505F"/>
    <w:rsid w:val="004558D9"/>
    <w:rsid w:val="004570AD"/>
    <w:rsid w:val="004579C6"/>
    <w:rsid w:val="00460E55"/>
    <w:rsid w:val="0046106B"/>
    <w:rsid w:val="00461191"/>
    <w:rsid w:val="00461213"/>
    <w:rsid w:val="004619A7"/>
    <w:rsid w:val="00461C43"/>
    <w:rsid w:val="0046210F"/>
    <w:rsid w:val="00462CD9"/>
    <w:rsid w:val="00462EEB"/>
    <w:rsid w:val="004646A1"/>
    <w:rsid w:val="004650F3"/>
    <w:rsid w:val="004654D6"/>
    <w:rsid w:val="00465B1B"/>
    <w:rsid w:val="0046600C"/>
    <w:rsid w:val="004662C1"/>
    <w:rsid w:val="004668AF"/>
    <w:rsid w:val="00466FBB"/>
    <w:rsid w:val="004719EA"/>
    <w:rsid w:val="00471FF4"/>
    <w:rsid w:val="0047241A"/>
    <w:rsid w:val="004734A6"/>
    <w:rsid w:val="0047350C"/>
    <w:rsid w:val="00474311"/>
    <w:rsid w:val="004745FE"/>
    <w:rsid w:val="004746F3"/>
    <w:rsid w:val="00474BAF"/>
    <w:rsid w:val="00475529"/>
    <w:rsid w:val="004755E6"/>
    <w:rsid w:val="004760EF"/>
    <w:rsid w:val="004761FE"/>
    <w:rsid w:val="004763B3"/>
    <w:rsid w:val="00476C99"/>
    <w:rsid w:val="0047760C"/>
    <w:rsid w:val="00477926"/>
    <w:rsid w:val="00480E95"/>
    <w:rsid w:val="00480EE6"/>
    <w:rsid w:val="00482026"/>
    <w:rsid w:val="00482D8F"/>
    <w:rsid w:val="00482FC7"/>
    <w:rsid w:val="00483A28"/>
    <w:rsid w:val="004845E5"/>
    <w:rsid w:val="00484820"/>
    <w:rsid w:val="004854A7"/>
    <w:rsid w:val="00485965"/>
    <w:rsid w:val="004901B8"/>
    <w:rsid w:val="0049022D"/>
    <w:rsid w:val="0049045C"/>
    <w:rsid w:val="00491648"/>
    <w:rsid w:val="00491750"/>
    <w:rsid w:val="00491AAA"/>
    <w:rsid w:val="00491CBE"/>
    <w:rsid w:val="00492286"/>
    <w:rsid w:val="00493992"/>
    <w:rsid w:val="00494876"/>
    <w:rsid w:val="0049498F"/>
    <w:rsid w:val="004951A6"/>
    <w:rsid w:val="00495967"/>
    <w:rsid w:val="00495C26"/>
    <w:rsid w:val="00495E43"/>
    <w:rsid w:val="00495ED6"/>
    <w:rsid w:val="0049694A"/>
    <w:rsid w:val="00496DB3"/>
    <w:rsid w:val="004977C4"/>
    <w:rsid w:val="00497A89"/>
    <w:rsid w:val="004A018C"/>
    <w:rsid w:val="004A03D9"/>
    <w:rsid w:val="004A129E"/>
    <w:rsid w:val="004A184F"/>
    <w:rsid w:val="004A1980"/>
    <w:rsid w:val="004A29C3"/>
    <w:rsid w:val="004A2E12"/>
    <w:rsid w:val="004A2E7A"/>
    <w:rsid w:val="004A31FD"/>
    <w:rsid w:val="004A3255"/>
    <w:rsid w:val="004A48FC"/>
    <w:rsid w:val="004A53D2"/>
    <w:rsid w:val="004A54CE"/>
    <w:rsid w:val="004A5EA9"/>
    <w:rsid w:val="004A7322"/>
    <w:rsid w:val="004A7CB6"/>
    <w:rsid w:val="004A7E92"/>
    <w:rsid w:val="004B0E46"/>
    <w:rsid w:val="004B19B9"/>
    <w:rsid w:val="004B1B88"/>
    <w:rsid w:val="004B1CC8"/>
    <w:rsid w:val="004B2762"/>
    <w:rsid w:val="004B27C4"/>
    <w:rsid w:val="004B3883"/>
    <w:rsid w:val="004B3A3F"/>
    <w:rsid w:val="004B3D51"/>
    <w:rsid w:val="004B43E2"/>
    <w:rsid w:val="004B4479"/>
    <w:rsid w:val="004B483B"/>
    <w:rsid w:val="004B5731"/>
    <w:rsid w:val="004B5BD1"/>
    <w:rsid w:val="004B603B"/>
    <w:rsid w:val="004B6476"/>
    <w:rsid w:val="004C03EA"/>
    <w:rsid w:val="004C0551"/>
    <w:rsid w:val="004C17E7"/>
    <w:rsid w:val="004C1808"/>
    <w:rsid w:val="004C191D"/>
    <w:rsid w:val="004C1AD7"/>
    <w:rsid w:val="004C1AD9"/>
    <w:rsid w:val="004C2B0D"/>
    <w:rsid w:val="004C3DE3"/>
    <w:rsid w:val="004C403A"/>
    <w:rsid w:val="004C4595"/>
    <w:rsid w:val="004C599A"/>
    <w:rsid w:val="004C5AA1"/>
    <w:rsid w:val="004C6033"/>
    <w:rsid w:val="004C737F"/>
    <w:rsid w:val="004C79C5"/>
    <w:rsid w:val="004C7D48"/>
    <w:rsid w:val="004D0356"/>
    <w:rsid w:val="004D2267"/>
    <w:rsid w:val="004D2532"/>
    <w:rsid w:val="004D2B58"/>
    <w:rsid w:val="004D48A2"/>
    <w:rsid w:val="004D521C"/>
    <w:rsid w:val="004D5C56"/>
    <w:rsid w:val="004D5E71"/>
    <w:rsid w:val="004D696F"/>
    <w:rsid w:val="004D6C20"/>
    <w:rsid w:val="004D7046"/>
    <w:rsid w:val="004E1230"/>
    <w:rsid w:val="004E1871"/>
    <w:rsid w:val="004E219F"/>
    <w:rsid w:val="004E36ED"/>
    <w:rsid w:val="004E49A7"/>
    <w:rsid w:val="004E56CF"/>
    <w:rsid w:val="004E57F7"/>
    <w:rsid w:val="004E626C"/>
    <w:rsid w:val="004E65C0"/>
    <w:rsid w:val="004E6D2B"/>
    <w:rsid w:val="004F0984"/>
    <w:rsid w:val="004F1A4C"/>
    <w:rsid w:val="004F2CBE"/>
    <w:rsid w:val="004F3838"/>
    <w:rsid w:val="004F3A77"/>
    <w:rsid w:val="004F45B6"/>
    <w:rsid w:val="004F48B0"/>
    <w:rsid w:val="004F4E89"/>
    <w:rsid w:val="004F579F"/>
    <w:rsid w:val="004F6658"/>
    <w:rsid w:val="004F6852"/>
    <w:rsid w:val="004F74B1"/>
    <w:rsid w:val="00500104"/>
    <w:rsid w:val="005005B6"/>
    <w:rsid w:val="00500842"/>
    <w:rsid w:val="0050115E"/>
    <w:rsid w:val="005014D0"/>
    <w:rsid w:val="00501CEC"/>
    <w:rsid w:val="00502986"/>
    <w:rsid w:val="00502A3A"/>
    <w:rsid w:val="00502AF9"/>
    <w:rsid w:val="00503167"/>
    <w:rsid w:val="005032D9"/>
    <w:rsid w:val="00503B34"/>
    <w:rsid w:val="00504AAA"/>
    <w:rsid w:val="005050F1"/>
    <w:rsid w:val="0050528D"/>
    <w:rsid w:val="005066CD"/>
    <w:rsid w:val="0050724C"/>
    <w:rsid w:val="005075C2"/>
    <w:rsid w:val="0051000F"/>
    <w:rsid w:val="005101AA"/>
    <w:rsid w:val="00510BAF"/>
    <w:rsid w:val="00510DE7"/>
    <w:rsid w:val="00511388"/>
    <w:rsid w:val="00511ECC"/>
    <w:rsid w:val="00512411"/>
    <w:rsid w:val="00512F78"/>
    <w:rsid w:val="00513881"/>
    <w:rsid w:val="00513D35"/>
    <w:rsid w:val="005140BF"/>
    <w:rsid w:val="005149CF"/>
    <w:rsid w:val="005174DE"/>
    <w:rsid w:val="00517769"/>
    <w:rsid w:val="00517F53"/>
    <w:rsid w:val="005204E5"/>
    <w:rsid w:val="00520F15"/>
    <w:rsid w:val="00521B47"/>
    <w:rsid w:val="005221DE"/>
    <w:rsid w:val="005223D6"/>
    <w:rsid w:val="00522926"/>
    <w:rsid w:val="00522BAA"/>
    <w:rsid w:val="00522F6A"/>
    <w:rsid w:val="00523292"/>
    <w:rsid w:val="005232D6"/>
    <w:rsid w:val="00523359"/>
    <w:rsid w:val="0052472B"/>
    <w:rsid w:val="005249F7"/>
    <w:rsid w:val="00524B4B"/>
    <w:rsid w:val="00524DEE"/>
    <w:rsid w:val="00524F43"/>
    <w:rsid w:val="00526181"/>
    <w:rsid w:val="0052661F"/>
    <w:rsid w:val="00526B09"/>
    <w:rsid w:val="00526E69"/>
    <w:rsid w:val="0053016D"/>
    <w:rsid w:val="0053020D"/>
    <w:rsid w:val="00530945"/>
    <w:rsid w:val="005311E0"/>
    <w:rsid w:val="00531F9F"/>
    <w:rsid w:val="005329A7"/>
    <w:rsid w:val="00532A4C"/>
    <w:rsid w:val="00532F7A"/>
    <w:rsid w:val="00533EFC"/>
    <w:rsid w:val="00534963"/>
    <w:rsid w:val="00534A02"/>
    <w:rsid w:val="00534D54"/>
    <w:rsid w:val="00534F94"/>
    <w:rsid w:val="005364F6"/>
    <w:rsid w:val="005368CB"/>
    <w:rsid w:val="005371C8"/>
    <w:rsid w:val="00537509"/>
    <w:rsid w:val="00540615"/>
    <w:rsid w:val="005409F3"/>
    <w:rsid w:val="00541F28"/>
    <w:rsid w:val="00543F04"/>
    <w:rsid w:val="005445EB"/>
    <w:rsid w:val="00545497"/>
    <w:rsid w:val="005459B0"/>
    <w:rsid w:val="0054631A"/>
    <w:rsid w:val="0054688F"/>
    <w:rsid w:val="00547BF1"/>
    <w:rsid w:val="00547E89"/>
    <w:rsid w:val="00550CC7"/>
    <w:rsid w:val="00550E87"/>
    <w:rsid w:val="00550FD9"/>
    <w:rsid w:val="00551B92"/>
    <w:rsid w:val="00551DEF"/>
    <w:rsid w:val="00552384"/>
    <w:rsid w:val="005523FD"/>
    <w:rsid w:val="005525FA"/>
    <w:rsid w:val="005526F6"/>
    <w:rsid w:val="005527AA"/>
    <w:rsid w:val="00552A4A"/>
    <w:rsid w:val="005532CD"/>
    <w:rsid w:val="00553777"/>
    <w:rsid w:val="00553EEF"/>
    <w:rsid w:val="00554367"/>
    <w:rsid w:val="00554B41"/>
    <w:rsid w:val="00554ED7"/>
    <w:rsid w:val="0055506C"/>
    <w:rsid w:val="00560544"/>
    <w:rsid w:val="005608E7"/>
    <w:rsid w:val="00560C56"/>
    <w:rsid w:val="00561058"/>
    <w:rsid w:val="00563596"/>
    <w:rsid w:val="005637C3"/>
    <w:rsid w:val="0056400F"/>
    <w:rsid w:val="00564533"/>
    <w:rsid w:val="00564552"/>
    <w:rsid w:val="00564F6D"/>
    <w:rsid w:val="005650D0"/>
    <w:rsid w:val="005658A0"/>
    <w:rsid w:val="005659A6"/>
    <w:rsid w:val="005662C7"/>
    <w:rsid w:val="00566618"/>
    <w:rsid w:val="0056687E"/>
    <w:rsid w:val="00566B85"/>
    <w:rsid w:val="00566E50"/>
    <w:rsid w:val="00566F0B"/>
    <w:rsid w:val="00567E46"/>
    <w:rsid w:val="005702AD"/>
    <w:rsid w:val="00570CBF"/>
    <w:rsid w:val="00571B2D"/>
    <w:rsid w:val="005734B5"/>
    <w:rsid w:val="00573A20"/>
    <w:rsid w:val="0057462D"/>
    <w:rsid w:val="0057478E"/>
    <w:rsid w:val="00574F64"/>
    <w:rsid w:val="00576873"/>
    <w:rsid w:val="00576C58"/>
    <w:rsid w:val="00577C29"/>
    <w:rsid w:val="0058070A"/>
    <w:rsid w:val="00580714"/>
    <w:rsid w:val="00580E94"/>
    <w:rsid w:val="00581BF7"/>
    <w:rsid w:val="00582CC0"/>
    <w:rsid w:val="00582F19"/>
    <w:rsid w:val="00582F1D"/>
    <w:rsid w:val="0058301C"/>
    <w:rsid w:val="00584308"/>
    <w:rsid w:val="00584503"/>
    <w:rsid w:val="00584E04"/>
    <w:rsid w:val="00585196"/>
    <w:rsid w:val="00586778"/>
    <w:rsid w:val="00586C06"/>
    <w:rsid w:val="0058741B"/>
    <w:rsid w:val="00590611"/>
    <w:rsid w:val="005929C1"/>
    <w:rsid w:val="00593442"/>
    <w:rsid w:val="0059346F"/>
    <w:rsid w:val="0059361E"/>
    <w:rsid w:val="00593A3C"/>
    <w:rsid w:val="00593BB2"/>
    <w:rsid w:val="0059429B"/>
    <w:rsid w:val="005944CB"/>
    <w:rsid w:val="00594718"/>
    <w:rsid w:val="00594803"/>
    <w:rsid w:val="00594B83"/>
    <w:rsid w:val="0059518C"/>
    <w:rsid w:val="005958B9"/>
    <w:rsid w:val="00595B9B"/>
    <w:rsid w:val="00595D8E"/>
    <w:rsid w:val="00595E81"/>
    <w:rsid w:val="00595F50"/>
    <w:rsid w:val="00595FBA"/>
    <w:rsid w:val="00596D83"/>
    <w:rsid w:val="005975AE"/>
    <w:rsid w:val="005979B8"/>
    <w:rsid w:val="00597F9E"/>
    <w:rsid w:val="00597FBF"/>
    <w:rsid w:val="005A0368"/>
    <w:rsid w:val="005A1EAA"/>
    <w:rsid w:val="005A2246"/>
    <w:rsid w:val="005A3934"/>
    <w:rsid w:val="005A3A8C"/>
    <w:rsid w:val="005A583A"/>
    <w:rsid w:val="005A634F"/>
    <w:rsid w:val="005A684C"/>
    <w:rsid w:val="005A6FEC"/>
    <w:rsid w:val="005A73E1"/>
    <w:rsid w:val="005A7EE2"/>
    <w:rsid w:val="005B0C0D"/>
    <w:rsid w:val="005B0DA1"/>
    <w:rsid w:val="005B205F"/>
    <w:rsid w:val="005B20E7"/>
    <w:rsid w:val="005B2705"/>
    <w:rsid w:val="005B2DB3"/>
    <w:rsid w:val="005B318B"/>
    <w:rsid w:val="005B3923"/>
    <w:rsid w:val="005B3A1A"/>
    <w:rsid w:val="005B3EA7"/>
    <w:rsid w:val="005B3FED"/>
    <w:rsid w:val="005B4B88"/>
    <w:rsid w:val="005B549C"/>
    <w:rsid w:val="005B5A31"/>
    <w:rsid w:val="005B5BA0"/>
    <w:rsid w:val="005B5C49"/>
    <w:rsid w:val="005B6379"/>
    <w:rsid w:val="005B722F"/>
    <w:rsid w:val="005B79CE"/>
    <w:rsid w:val="005B7FA5"/>
    <w:rsid w:val="005C0166"/>
    <w:rsid w:val="005C1302"/>
    <w:rsid w:val="005C169F"/>
    <w:rsid w:val="005C271D"/>
    <w:rsid w:val="005C2756"/>
    <w:rsid w:val="005C2B10"/>
    <w:rsid w:val="005C2BB0"/>
    <w:rsid w:val="005C2E88"/>
    <w:rsid w:val="005C43AD"/>
    <w:rsid w:val="005C4A85"/>
    <w:rsid w:val="005C5493"/>
    <w:rsid w:val="005C597C"/>
    <w:rsid w:val="005C5E81"/>
    <w:rsid w:val="005C6C24"/>
    <w:rsid w:val="005C732A"/>
    <w:rsid w:val="005C76F6"/>
    <w:rsid w:val="005D03A8"/>
    <w:rsid w:val="005D0DA9"/>
    <w:rsid w:val="005D23B5"/>
    <w:rsid w:val="005D2484"/>
    <w:rsid w:val="005D321E"/>
    <w:rsid w:val="005D3949"/>
    <w:rsid w:val="005D3BC5"/>
    <w:rsid w:val="005D3CD9"/>
    <w:rsid w:val="005D5621"/>
    <w:rsid w:val="005D5E13"/>
    <w:rsid w:val="005D619F"/>
    <w:rsid w:val="005D6B83"/>
    <w:rsid w:val="005D6C31"/>
    <w:rsid w:val="005E2849"/>
    <w:rsid w:val="005E2ED9"/>
    <w:rsid w:val="005E30D3"/>
    <w:rsid w:val="005E34F7"/>
    <w:rsid w:val="005E4B0C"/>
    <w:rsid w:val="005E5469"/>
    <w:rsid w:val="005E5827"/>
    <w:rsid w:val="005E64CA"/>
    <w:rsid w:val="005E729C"/>
    <w:rsid w:val="005F0445"/>
    <w:rsid w:val="005F0541"/>
    <w:rsid w:val="005F0707"/>
    <w:rsid w:val="005F0E12"/>
    <w:rsid w:val="005F29F8"/>
    <w:rsid w:val="005F4A17"/>
    <w:rsid w:val="005F4ABD"/>
    <w:rsid w:val="005F5924"/>
    <w:rsid w:val="005F5FD8"/>
    <w:rsid w:val="005F65DA"/>
    <w:rsid w:val="005F7AAE"/>
    <w:rsid w:val="005F7CAB"/>
    <w:rsid w:val="006005FE"/>
    <w:rsid w:val="0060076F"/>
    <w:rsid w:val="00601D0A"/>
    <w:rsid w:val="00603213"/>
    <w:rsid w:val="006032A1"/>
    <w:rsid w:val="00603573"/>
    <w:rsid w:val="00604717"/>
    <w:rsid w:val="006048F1"/>
    <w:rsid w:val="006049F0"/>
    <w:rsid w:val="00604DFC"/>
    <w:rsid w:val="0060537E"/>
    <w:rsid w:val="00606BFE"/>
    <w:rsid w:val="00606D47"/>
    <w:rsid w:val="00606F5A"/>
    <w:rsid w:val="00607F7A"/>
    <w:rsid w:val="0061002A"/>
    <w:rsid w:val="0061099F"/>
    <w:rsid w:val="006113DA"/>
    <w:rsid w:val="006117CA"/>
    <w:rsid w:val="00613BC9"/>
    <w:rsid w:val="0061495D"/>
    <w:rsid w:val="00615056"/>
    <w:rsid w:val="006150C7"/>
    <w:rsid w:val="00615A93"/>
    <w:rsid w:val="00615BD0"/>
    <w:rsid w:val="0061706B"/>
    <w:rsid w:val="00617201"/>
    <w:rsid w:val="006211A2"/>
    <w:rsid w:val="00621796"/>
    <w:rsid w:val="006221A8"/>
    <w:rsid w:val="00622508"/>
    <w:rsid w:val="00622E55"/>
    <w:rsid w:val="006236D4"/>
    <w:rsid w:val="0062410F"/>
    <w:rsid w:val="006242A9"/>
    <w:rsid w:val="0062435F"/>
    <w:rsid w:val="0062441B"/>
    <w:rsid w:val="00625F84"/>
    <w:rsid w:val="006268DB"/>
    <w:rsid w:val="00626A09"/>
    <w:rsid w:val="00626E08"/>
    <w:rsid w:val="006278BA"/>
    <w:rsid w:val="006278F8"/>
    <w:rsid w:val="0063058A"/>
    <w:rsid w:val="00630914"/>
    <w:rsid w:val="00631A32"/>
    <w:rsid w:val="00632EAC"/>
    <w:rsid w:val="00632F34"/>
    <w:rsid w:val="006331ED"/>
    <w:rsid w:val="00634BEC"/>
    <w:rsid w:val="006357A8"/>
    <w:rsid w:val="00635DA5"/>
    <w:rsid w:val="006373C3"/>
    <w:rsid w:val="006377DA"/>
    <w:rsid w:val="00637B9B"/>
    <w:rsid w:val="00640F7B"/>
    <w:rsid w:val="00641DCB"/>
    <w:rsid w:val="00643C3A"/>
    <w:rsid w:val="00644086"/>
    <w:rsid w:val="006449CB"/>
    <w:rsid w:val="00645A81"/>
    <w:rsid w:val="00645B6E"/>
    <w:rsid w:val="00646549"/>
    <w:rsid w:val="00647015"/>
    <w:rsid w:val="0064709C"/>
    <w:rsid w:val="0064788D"/>
    <w:rsid w:val="00647E2D"/>
    <w:rsid w:val="00650E6D"/>
    <w:rsid w:val="00651240"/>
    <w:rsid w:val="00651E35"/>
    <w:rsid w:val="006528F7"/>
    <w:rsid w:val="00652C81"/>
    <w:rsid w:val="00653AF0"/>
    <w:rsid w:val="00654D76"/>
    <w:rsid w:val="00656C09"/>
    <w:rsid w:val="00657307"/>
    <w:rsid w:val="006575E1"/>
    <w:rsid w:val="00657A28"/>
    <w:rsid w:val="00657CC3"/>
    <w:rsid w:val="00657FB4"/>
    <w:rsid w:val="00660ABE"/>
    <w:rsid w:val="00660AD8"/>
    <w:rsid w:val="006631F9"/>
    <w:rsid w:val="00663290"/>
    <w:rsid w:val="006640ED"/>
    <w:rsid w:val="006654D2"/>
    <w:rsid w:val="0066591A"/>
    <w:rsid w:val="00665B02"/>
    <w:rsid w:val="00665BAE"/>
    <w:rsid w:val="0066649A"/>
    <w:rsid w:val="0066662D"/>
    <w:rsid w:val="00666ABC"/>
    <w:rsid w:val="00666F20"/>
    <w:rsid w:val="00667DAF"/>
    <w:rsid w:val="00667E54"/>
    <w:rsid w:val="00670027"/>
    <w:rsid w:val="00670A6C"/>
    <w:rsid w:val="00670F13"/>
    <w:rsid w:val="00671385"/>
    <w:rsid w:val="006717AC"/>
    <w:rsid w:val="006719FE"/>
    <w:rsid w:val="00672559"/>
    <w:rsid w:val="006737F5"/>
    <w:rsid w:val="00673E75"/>
    <w:rsid w:val="006742AC"/>
    <w:rsid w:val="00674F1E"/>
    <w:rsid w:val="006758C2"/>
    <w:rsid w:val="00675FB0"/>
    <w:rsid w:val="0067618F"/>
    <w:rsid w:val="00676658"/>
    <w:rsid w:val="006778A9"/>
    <w:rsid w:val="00677B0F"/>
    <w:rsid w:val="00677E1E"/>
    <w:rsid w:val="0068045B"/>
    <w:rsid w:val="006807C5"/>
    <w:rsid w:val="00681A47"/>
    <w:rsid w:val="00681DED"/>
    <w:rsid w:val="00681F57"/>
    <w:rsid w:val="00681FDF"/>
    <w:rsid w:val="00683F82"/>
    <w:rsid w:val="00684275"/>
    <w:rsid w:val="00684A5E"/>
    <w:rsid w:val="00687440"/>
    <w:rsid w:val="006876FF"/>
    <w:rsid w:val="00687721"/>
    <w:rsid w:val="00687D15"/>
    <w:rsid w:val="00690F3B"/>
    <w:rsid w:val="0069122E"/>
    <w:rsid w:val="0069141C"/>
    <w:rsid w:val="006918BE"/>
    <w:rsid w:val="00691C6E"/>
    <w:rsid w:val="00692860"/>
    <w:rsid w:val="00692C4E"/>
    <w:rsid w:val="006933DC"/>
    <w:rsid w:val="00693B07"/>
    <w:rsid w:val="00693CAF"/>
    <w:rsid w:val="00694048"/>
    <w:rsid w:val="00694931"/>
    <w:rsid w:val="00694B9D"/>
    <w:rsid w:val="006955F9"/>
    <w:rsid w:val="00695D36"/>
    <w:rsid w:val="0069608C"/>
    <w:rsid w:val="00696651"/>
    <w:rsid w:val="00697A06"/>
    <w:rsid w:val="006A0A96"/>
    <w:rsid w:val="006A1DB0"/>
    <w:rsid w:val="006A20C2"/>
    <w:rsid w:val="006A27DF"/>
    <w:rsid w:val="006A283D"/>
    <w:rsid w:val="006A43D9"/>
    <w:rsid w:val="006A4826"/>
    <w:rsid w:val="006A48C2"/>
    <w:rsid w:val="006A4EF1"/>
    <w:rsid w:val="006A5075"/>
    <w:rsid w:val="006A5F5C"/>
    <w:rsid w:val="006B0378"/>
    <w:rsid w:val="006B0B29"/>
    <w:rsid w:val="006B11F2"/>
    <w:rsid w:val="006B1586"/>
    <w:rsid w:val="006B1B40"/>
    <w:rsid w:val="006B1E7D"/>
    <w:rsid w:val="006B38CB"/>
    <w:rsid w:val="006B3BFF"/>
    <w:rsid w:val="006B493C"/>
    <w:rsid w:val="006B4BF7"/>
    <w:rsid w:val="006B61BD"/>
    <w:rsid w:val="006B641F"/>
    <w:rsid w:val="006B7073"/>
    <w:rsid w:val="006B7C84"/>
    <w:rsid w:val="006C0086"/>
    <w:rsid w:val="006C07D0"/>
    <w:rsid w:val="006C225B"/>
    <w:rsid w:val="006C2291"/>
    <w:rsid w:val="006C25DD"/>
    <w:rsid w:val="006C2BCC"/>
    <w:rsid w:val="006C39FE"/>
    <w:rsid w:val="006C41E9"/>
    <w:rsid w:val="006C5898"/>
    <w:rsid w:val="006C5AF0"/>
    <w:rsid w:val="006C5C79"/>
    <w:rsid w:val="006C68D8"/>
    <w:rsid w:val="006C7E9C"/>
    <w:rsid w:val="006C7EB8"/>
    <w:rsid w:val="006D0E5D"/>
    <w:rsid w:val="006D12E5"/>
    <w:rsid w:val="006D1800"/>
    <w:rsid w:val="006D2DD4"/>
    <w:rsid w:val="006D304C"/>
    <w:rsid w:val="006D36EA"/>
    <w:rsid w:val="006D41E8"/>
    <w:rsid w:val="006D567F"/>
    <w:rsid w:val="006D69C5"/>
    <w:rsid w:val="006D74B5"/>
    <w:rsid w:val="006D7BE1"/>
    <w:rsid w:val="006D7E90"/>
    <w:rsid w:val="006D7F39"/>
    <w:rsid w:val="006E1F00"/>
    <w:rsid w:val="006E28C5"/>
    <w:rsid w:val="006E29CD"/>
    <w:rsid w:val="006E2CCC"/>
    <w:rsid w:val="006E2E67"/>
    <w:rsid w:val="006E2FA7"/>
    <w:rsid w:val="006E320D"/>
    <w:rsid w:val="006E3721"/>
    <w:rsid w:val="006E3A63"/>
    <w:rsid w:val="006E43EF"/>
    <w:rsid w:val="006E4A3E"/>
    <w:rsid w:val="006E526D"/>
    <w:rsid w:val="006E53DE"/>
    <w:rsid w:val="006E5477"/>
    <w:rsid w:val="006E5796"/>
    <w:rsid w:val="006E5CAB"/>
    <w:rsid w:val="006E63DD"/>
    <w:rsid w:val="006F036C"/>
    <w:rsid w:val="006F09B4"/>
    <w:rsid w:val="006F14CE"/>
    <w:rsid w:val="006F15DC"/>
    <w:rsid w:val="006F1D1C"/>
    <w:rsid w:val="006F20EB"/>
    <w:rsid w:val="006F24DF"/>
    <w:rsid w:val="006F29F6"/>
    <w:rsid w:val="006F2C70"/>
    <w:rsid w:val="006F2CA1"/>
    <w:rsid w:val="006F324A"/>
    <w:rsid w:val="006F342B"/>
    <w:rsid w:val="006F3890"/>
    <w:rsid w:val="006F49C2"/>
    <w:rsid w:val="006F4CB3"/>
    <w:rsid w:val="006F5560"/>
    <w:rsid w:val="006F6772"/>
    <w:rsid w:val="006F67BC"/>
    <w:rsid w:val="006F6DC5"/>
    <w:rsid w:val="007000C1"/>
    <w:rsid w:val="007003D4"/>
    <w:rsid w:val="0070092B"/>
    <w:rsid w:val="007012AE"/>
    <w:rsid w:val="00702D07"/>
    <w:rsid w:val="00702DEF"/>
    <w:rsid w:val="00702FA9"/>
    <w:rsid w:val="00703191"/>
    <w:rsid w:val="007037F2"/>
    <w:rsid w:val="00703FD5"/>
    <w:rsid w:val="00705BB4"/>
    <w:rsid w:val="0070677C"/>
    <w:rsid w:val="00707AED"/>
    <w:rsid w:val="007119AF"/>
    <w:rsid w:val="007119F4"/>
    <w:rsid w:val="00712649"/>
    <w:rsid w:val="00713118"/>
    <w:rsid w:val="00713FE2"/>
    <w:rsid w:val="007142FE"/>
    <w:rsid w:val="00715612"/>
    <w:rsid w:val="007166C1"/>
    <w:rsid w:val="0071727D"/>
    <w:rsid w:val="00720F67"/>
    <w:rsid w:val="00720F8E"/>
    <w:rsid w:val="00721766"/>
    <w:rsid w:val="007220D8"/>
    <w:rsid w:val="00722478"/>
    <w:rsid w:val="007233A0"/>
    <w:rsid w:val="00724F50"/>
    <w:rsid w:val="00725180"/>
    <w:rsid w:val="007251BF"/>
    <w:rsid w:val="00725BBF"/>
    <w:rsid w:val="007267B6"/>
    <w:rsid w:val="00726A09"/>
    <w:rsid w:val="0072700C"/>
    <w:rsid w:val="00727896"/>
    <w:rsid w:val="00730F32"/>
    <w:rsid w:val="00731B56"/>
    <w:rsid w:val="00732AFC"/>
    <w:rsid w:val="00733274"/>
    <w:rsid w:val="00733331"/>
    <w:rsid w:val="00733365"/>
    <w:rsid w:val="00733A5A"/>
    <w:rsid w:val="00733B2A"/>
    <w:rsid w:val="007346E8"/>
    <w:rsid w:val="007349BC"/>
    <w:rsid w:val="00734BE7"/>
    <w:rsid w:val="007351DB"/>
    <w:rsid w:val="007353E1"/>
    <w:rsid w:val="00741015"/>
    <w:rsid w:val="007412EE"/>
    <w:rsid w:val="00741805"/>
    <w:rsid w:val="00741914"/>
    <w:rsid w:val="0074207B"/>
    <w:rsid w:val="00742341"/>
    <w:rsid w:val="00743A1A"/>
    <w:rsid w:val="00743B2F"/>
    <w:rsid w:val="00743F7F"/>
    <w:rsid w:val="00744E2E"/>
    <w:rsid w:val="007456F6"/>
    <w:rsid w:val="0074587A"/>
    <w:rsid w:val="007459BA"/>
    <w:rsid w:val="00745A8F"/>
    <w:rsid w:val="00745DEB"/>
    <w:rsid w:val="00746D92"/>
    <w:rsid w:val="0074791A"/>
    <w:rsid w:val="007479B5"/>
    <w:rsid w:val="00747ABC"/>
    <w:rsid w:val="00747FAF"/>
    <w:rsid w:val="00750310"/>
    <w:rsid w:val="00752B58"/>
    <w:rsid w:val="0075383A"/>
    <w:rsid w:val="00753BC5"/>
    <w:rsid w:val="00753DA1"/>
    <w:rsid w:val="0075420B"/>
    <w:rsid w:val="007549D0"/>
    <w:rsid w:val="00754D61"/>
    <w:rsid w:val="007551AF"/>
    <w:rsid w:val="0075689A"/>
    <w:rsid w:val="0075709D"/>
    <w:rsid w:val="007570EF"/>
    <w:rsid w:val="00757B62"/>
    <w:rsid w:val="00760220"/>
    <w:rsid w:val="00760358"/>
    <w:rsid w:val="00761251"/>
    <w:rsid w:val="007613CC"/>
    <w:rsid w:val="007624F1"/>
    <w:rsid w:val="00762715"/>
    <w:rsid w:val="007640E2"/>
    <w:rsid w:val="00764228"/>
    <w:rsid w:val="0076498B"/>
    <w:rsid w:val="007655E5"/>
    <w:rsid w:val="00765CA6"/>
    <w:rsid w:val="00766438"/>
    <w:rsid w:val="0076671E"/>
    <w:rsid w:val="007667CF"/>
    <w:rsid w:val="00766C3C"/>
    <w:rsid w:val="00767211"/>
    <w:rsid w:val="007711AF"/>
    <w:rsid w:val="00772A54"/>
    <w:rsid w:val="0077350A"/>
    <w:rsid w:val="00773558"/>
    <w:rsid w:val="00773735"/>
    <w:rsid w:val="007738E6"/>
    <w:rsid w:val="00774287"/>
    <w:rsid w:val="00774F89"/>
    <w:rsid w:val="007752F2"/>
    <w:rsid w:val="00775A7F"/>
    <w:rsid w:val="00775BA9"/>
    <w:rsid w:val="00776235"/>
    <w:rsid w:val="00776370"/>
    <w:rsid w:val="00777127"/>
    <w:rsid w:val="0077740B"/>
    <w:rsid w:val="007776AA"/>
    <w:rsid w:val="0078032F"/>
    <w:rsid w:val="007807DF"/>
    <w:rsid w:val="00780BF9"/>
    <w:rsid w:val="00780D48"/>
    <w:rsid w:val="0078200C"/>
    <w:rsid w:val="00784A2E"/>
    <w:rsid w:val="00784C0E"/>
    <w:rsid w:val="007851EA"/>
    <w:rsid w:val="00785714"/>
    <w:rsid w:val="007868D1"/>
    <w:rsid w:val="007869E4"/>
    <w:rsid w:val="00786CDB"/>
    <w:rsid w:val="007875C7"/>
    <w:rsid w:val="0078769B"/>
    <w:rsid w:val="00787BCD"/>
    <w:rsid w:val="00790085"/>
    <w:rsid w:val="00790759"/>
    <w:rsid w:val="00790A02"/>
    <w:rsid w:val="00791228"/>
    <w:rsid w:val="0079128E"/>
    <w:rsid w:val="00791704"/>
    <w:rsid w:val="00791CD1"/>
    <w:rsid w:val="00792DC8"/>
    <w:rsid w:val="00793368"/>
    <w:rsid w:val="00793401"/>
    <w:rsid w:val="007940C0"/>
    <w:rsid w:val="0079470F"/>
    <w:rsid w:val="0079473A"/>
    <w:rsid w:val="0079486D"/>
    <w:rsid w:val="00794F4C"/>
    <w:rsid w:val="00795537"/>
    <w:rsid w:val="007956B7"/>
    <w:rsid w:val="00795EB0"/>
    <w:rsid w:val="0079629C"/>
    <w:rsid w:val="00796E7C"/>
    <w:rsid w:val="007970FD"/>
    <w:rsid w:val="007A0146"/>
    <w:rsid w:val="007A0517"/>
    <w:rsid w:val="007A1655"/>
    <w:rsid w:val="007A17FE"/>
    <w:rsid w:val="007A230E"/>
    <w:rsid w:val="007A23E1"/>
    <w:rsid w:val="007A2829"/>
    <w:rsid w:val="007A2963"/>
    <w:rsid w:val="007A2CB8"/>
    <w:rsid w:val="007A2FB2"/>
    <w:rsid w:val="007A339F"/>
    <w:rsid w:val="007A492E"/>
    <w:rsid w:val="007A5349"/>
    <w:rsid w:val="007A5EC7"/>
    <w:rsid w:val="007A5ED0"/>
    <w:rsid w:val="007A621C"/>
    <w:rsid w:val="007A6411"/>
    <w:rsid w:val="007A6728"/>
    <w:rsid w:val="007A6ADB"/>
    <w:rsid w:val="007A6B1B"/>
    <w:rsid w:val="007B048C"/>
    <w:rsid w:val="007B0BD0"/>
    <w:rsid w:val="007B0DF9"/>
    <w:rsid w:val="007B0FC3"/>
    <w:rsid w:val="007B121E"/>
    <w:rsid w:val="007B1E5C"/>
    <w:rsid w:val="007B26F6"/>
    <w:rsid w:val="007B4191"/>
    <w:rsid w:val="007B4D87"/>
    <w:rsid w:val="007B53A1"/>
    <w:rsid w:val="007B5ED8"/>
    <w:rsid w:val="007B65C8"/>
    <w:rsid w:val="007B6FF6"/>
    <w:rsid w:val="007B74EE"/>
    <w:rsid w:val="007B79A6"/>
    <w:rsid w:val="007C03FC"/>
    <w:rsid w:val="007C287D"/>
    <w:rsid w:val="007C2929"/>
    <w:rsid w:val="007C2BF1"/>
    <w:rsid w:val="007C3403"/>
    <w:rsid w:val="007C50E4"/>
    <w:rsid w:val="007C5151"/>
    <w:rsid w:val="007C5A21"/>
    <w:rsid w:val="007C60C4"/>
    <w:rsid w:val="007C65F1"/>
    <w:rsid w:val="007C7804"/>
    <w:rsid w:val="007D013D"/>
    <w:rsid w:val="007D0CCE"/>
    <w:rsid w:val="007D12C3"/>
    <w:rsid w:val="007D16FA"/>
    <w:rsid w:val="007D2286"/>
    <w:rsid w:val="007D28E2"/>
    <w:rsid w:val="007D2D5B"/>
    <w:rsid w:val="007D31E8"/>
    <w:rsid w:val="007D41DB"/>
    <w:rsid w:val="007D4413"/>
    <w:rsid w:val="007D4AEF"/>
    <w:rsid w:val="007D57BA"/>
    <w:rsid w:val="007D6095"/>
    <w:rsid w:val="007D74A4"/>
    <w:rsid w:val="007E038B"/>
    <w:rsid w:val="007E0CB1"/>
    <w:rsid w:val="007E0D6A"/>
    <w:rsid w:val="007E168B"/>
    <w:rsid w:val="007E177E"/>
    <w:rsid w:val="007E2322"/>
    <w:rsid w:val="007E2794"/>
    <w:rsid w:val="007E2796"/>
    <w:rsid w:val="007E2D05"/>
    <w:rsid w:val="007E37B3"/>
    <w:rsid w:val="007E55FF"/>
    <w:rsid w:val="007E5799"/>
    <w:rsid w:val="007E5D75"/>
    <w:rsid w:val="007E6160"/>
    <w:rsid w:val="007E7131"/>
    <w:rsid w:val="007E735A"/>
    <w:rsid w:val="007E742A"/>
    <w:rsid w:val="007F05BC"/>
    <w:rsid w:val="007F0699"/>
    <w:rsid w:val="007F17E6"/>
    <w:rsid w:val="007F1C01"/>
    <w:rsid w:val="007F1C8A"/>
    <w:rsid w:val="007F36CB"/>
    <w:rsid w:val="007F3851"/>
    <w:rsid w:val="007F39CB"/>
    <w:rsid w:val="007F39FE"/>
    <w:rsid w:val="007F60C8"/>
    <w:rsid w:val="007F6956"/>
    <w:rsid w:val="007F774A"/>
    <w:rsid w:val="008006B1"/>
    <w:rsid w:val="00800C2A"/>
    <w:rsid w:val="008011FE"/>
    <w:rsid w:val="008018E5"/>
    <w:rsid w:val="008019EE"/>
    <w:rsid w:val="00801CBD"/>
    <w:rsid w:val="00802D28"/>
    <w:rsid w:val="00803872"/>
    <w:rsid w:val="008040A1"/>
    <w:rsid w:val="008043FB"/>
    <w:rsid w:val="008047D8"/>
    <w:rsid w:val="008047FE"/>
    <w:rsid w:val="00805054"/>
    <w:rsid w:val="00805626"/>
    <w:rsid w:val="00805995"/>
    <w:rsid w:val="00805D9F"/>
    <w:rsid w:val="0080613E"/>
    <w:rsid w:val="0080679E"/>
    <w:rsid w:val="008076E7"/>
    <w:rsid w:val="00807A26"/>
    <w:rsid w:val="00807BEC"/>
    <w:rsid w:val="00807C7E"/>
    <w:rsid w:val="00807DE6"/>
    <w:rsid w:val="00807E15"/>
    <w:rsid w:val="00807ED5"/>
    <w:rsid w:val="00810302"/>
    <w:rsid w:val="00810A97"/>
    <w:rsid w:val="0081169A"/>
    <w:rsid w:val="0081286A"/>
    <w:rsid w:val="00813A73"/>
    <w:rsid w:val="00813A76"/>
    <w:rsid w:val="00814672"/>
    <w:rsid w:val="00814692"/>
    <w:rsid w:val="00814D24"/>
    <w:rsid w:val="00815A11"/>
    <w:rsid w:val="00815AE0"/>
    <w:rsid w:val="008164F3"/>
    <w:rsid w:val="00816836"/>
    <w:rsid w:val="00817050"/>
    <w:rsid w:val="0081730D"/>
    <w:rsid w:val="00817EAF"/>
    <w:rsid w:val="00820873"/>
    <w:rsid w:val="0082138F"/>
    <w:rsid w:val="00821789"/>
    <w:rsid w:val="00821FB6"/>
    <w:rsid w:val="00822CB9"/>
    <w:rsid w:val="008239BC"/>
    <w:rsid w:val="00823CEB"/>
    <w:rsid w:val="0082442F"/>
    <w:rsid w:val="0082483E"/>
    <w:rsid w:val="0082520F"/>
    <w:rsid w:val="00825506"/>
    <w:rsid w:val="00827381"/>
    <w:rsid w:val="008273F4"/>
    <w:rsid w:val="00827A28"/>
    <w:rsid w:val="00827D85"/>
    <w:rsid w:val="008303BA"/>
    <w:rsid w:val="008309FD"/>
    <w:rsid w:val="008320F9"/>
    <w:rsid w:val="008332A3"/>
    <w:rsid w:val="0083393C"/>
    <w:rsid w:val="008339A2"/>
    <w:rsid w:val="00834378"/>
    <w:rsid w:val="0083585D"/>
    <w:rsid w:val="008360E2"/>
    <w:rsid w:val="00840874"/>
    <w:rsid w:val="00840CC1"/>
    <w:rsid w:val="008411F9"/>
    <w:rsid w:val="00841265"/>
    <w:rsid w:val="008413ED"/>
    <w:rsid w:val="00842605"/>
    <w:rsid w:val="008438F9"/>
    <w:rsid w:val="008441E9"/>
    <w:rsid w:val="00844A79"/>
    <w:rsid w:val="00844D35"/>
    <w:rsid w:val="00844F5F"/>
    <w:rsid w:val="0084565E"/>
    <w:rsid w:val="00845BD0"/>
    <w:rsid w:val="00845DB0"/>
    <w:rsid w:val="00845F28"/>
    <w:rsid w:val="00846739"/>
    <w:rsid w:val="0084692C"/>
    <w:rsid w:val="00846FA7"/>
    <w:rsid w:val="0085005B"/>
    <w:rsid w:val="00850BF2"/>
    <w:rsid w:val="00851DD0"/>
    <w:rsid w:val="0085309E"/>
    <w:rsid w:val="00854878"/>
    <w:rsid w:val="00855132"/>
    <w:rsid w:val="008554E5"/>
    <w:rsid w:val="0085563C"/>
    <w:rsid w:val="00855950"/>
    <w:rsid w:val="00855A6C"/>
    <w:rsid w:val="00856B2B"/>
    <w:rsid w:val="00860A0A"/>
    <w:rsid w:val="00861640"/>
    <w:rsid w:val="00861AA2"/>
    <w:rsid w:val="00861D9E"/>
    <w:rsid w:val="00862AC1"/>
    <w:rsid w:val="00862BFC"/>
    <w:rsid w:val="00863300"/>
    <w:rsid w:val="008637E0"/>
    <w:rsid w:val="0086428B"/>
    <w:rsid w:val="008654D6"/>
    <w:rsid w:val="0086680B"/>
    <w:rsid w:val="00867ECB"/>
    <w:rsid w:val="008710AA"/>
    <w:rsid w:val="008710C4"/>
    <w:rsid w:val="00871A9E"/>
    <w:rsid w:val="00871E5B"/>
    <w:rsid w:val="008723D2"/>
    <w:rsid w:val="00872FAF"/>
    <w:rsid w:val="00873218"/>
    <w:rsid w:val="0087361D"/>
    <w:rsid w:val="00873B9D"/>
    <w:rsid w:val="0087414A"/>
    <w:rsid w:val="008756C3"/>
    <w:rsid w:val="00875E88"/>
    <w:rsid w:val="00875F56"/>
    <w:rsid w:val="00876314"/>
    <w:rsid w:val="008767AD"/>
    <w:rsid w:val="00876F3D"/>
    <w:rsid w:val="0088153E"/>
    <w:rsid w:val="00881992"/>
    <w:rsid w:val="008820BD"/>
    <w:rsid w:val="00884AC8"/>
    <w:rsid w:val="00884D7E"/>
    <w:rsid w:val="00885356"/>
    <w:rsid w:val="008853F6"/>
    <w:rsid w:val="00885799"/>
    <w:rsid w:val="00885AA9"/>
    <w:rsid w:val="00885CFC"/>
    <w:rsid w:val="00885E34"/>
    <w:rsid w:val="00885F19"/>
    <w:rsid w:val="00886745"/>
    <w:rsid w:val="008869ED"/>
    <w:rsid w:val="00887664"/>
    <w:rsid w:val="008906FF"/>
    <w:rsid w:val="0089112E"/>
    <w:rsid w:val="0089130B"/>
    <w:rsid w:val="00891582"/>
    <w:rsid w:val="008920C9"/>
    <w:rsid w:val="0089280B"/>
    <w:rsid w:val="00893610"/>
    <w:rsid w:val="00894166"/>
    <w:rsid w:val="008951A8"/>
    <w:rsid w:val="008953B6"/>
    <w:rsid w:val="00895C46"/>
    <w:rsid w:val="00896012"/>
    <w:rsid w:val="008960A8"/>
    <w:rsid w:val="0089617A"/>
    <w:rsid w:val="00896730"/>
    <w:rsid w:val="00896EFC"/>
    <w:rsid w:val="0089746F"/>
    <w:rsid w:val="008A08A0"/>
    <w:rsid w:val="008A0985"/>
    <w:rsid w:val="008A1030"/>
    <w:rsid w:val="008A1CAA"/>
    <w:rsid w:val="008A208E"/>
    <w:rsid w:val="008A223B"/>
    <w:rsid w:val="008A3283"/>
    <w:rsid w:val="008A3DD6"/>
    <w:rsid w:val="008A45D6"/>
    <w:rsid w:val="008A53C5"/>
    <w:rsid w:val="008A53E9"/>
    <w:rsid w:val="008A5D55"/>
    <w:rsid w:val="008A60F2"/>
    <w:rsid w:val="008A664D"/>
    <w:rsid w:val="008A69E4"/>
    <w:rsid w:val="008A75FE"/>
    <w:rsid w:val="008A78CD"/>
    <w:rsid w:val="008A7BF9"/>
    <w:rsid w:val="008B029E"/>
    <w:rsid w:val="008B04DB"/>
    <w:rsid w:val="008B0A06"/>
    <w:rsid w:val="008B0A9A"/>
    <w:rsid w:val="008B0D91"/>
    <w:rsid w:val="008B20D5"/>
    <w:rsid w:val="008B2317"/>
    <w:rsid w:val="008B2896"/>
    <w:rsid w:val="008B321F"/>
    <w:rsid w:val="008B3397"/>
    <w:rsid w:val="008B3B33"/>
    <w:rsid w:val="008B4E76"/>
    <w:rsid w:val="008B581C"/>
    <w:rsid w:val="008B5FA1"/>
    <w:rsid w:val="008B5FC0"/>
    <w:rsid w:val="008B634F"/>
    <w:rsid w:val="008B680E"/>
    <w:rsid w:val="008B7AA6"/>
    <w:rsid w:val="008B7BAF"/>
    <w:rsid w:val="008C065E"/>
    <w:rsid w:val="008C149B"/>
    <w:rsid w:val="008C1FA7"/>
    <w:rsid w:val="008C25A2"/>
    <w:rsid w:val="008C26F5"/>
    <w:rsid w:val="008C26F7"/>
    <w:rsid w:val="008C35A2"/>
    <w:rsid w:val="008C35C1"/>
    <w:rsid w:val="008C3949"/>
    <w:rsid w:val="008C4635"/>
    <w:rsid w:val="008C4F71"/>
    <w:rsid w:val="008C5016"/>
    <w:rsid w:val="008C57E2"/>
    <w:rsid w:val="008C637F"/>
    <w:rsid w:val="008C6DC8"/>
    <w:rsid w:val="008D0E8C"/>
    <w:rsid w:val="008D0F0D"/>
    <w:rsid w:val="008D1FCE"/>
    <w:rsid w:val="008D2713"/>
    <w:rsid w:val="008D2DD8"/>
    <w:rsid w:val="008D36AA"/>
    <w:rsid w:val="008D37A6"/>
    <w:rsid w:val="008D4AAD"/>
    <w:rsid w:val="008D50E5"/>
    <w:rsid w:val="008D523A"/>
    <w:rsid w:val="008D52AF"/>
    <w:rsid w:val="008D567C"/>
    <w:rsid w:val="008D5BF4"/>
    <w:rsid w:val="008D6292"/>
    <w:rsid w:val="008D7DEA"/>
    <w:rsid w:val="008E1466"/>
    <w:rsid w:val="008E1903"/>
    <w:rsid w:val="008E26C4"/>
    <w:rsid w:val="008E35EE"/>
    <w:rsid w:val="008E3700"/>
    <w:rsid w:val="008E3A37"/>
    <w:rsid w:val="008E3F72"/>
    <w:rsid w:val="008E4CBE"/>
    <w:rsid w:val="008E60A4"/>
    <w:rsid w:val="008E7BF4"/>
    <w:rsid w:val="008F0748"/>
    <w:rsid w:val="008F105F"/>
    <w:rsid w:val="008F1A62"/>
    <w:rsid w:val="008F2236"/>
    <w:rsid w:val="008F3051"/>
    <w:rsid w:val="008F4A3E"/>
    <w:rsid w:val="008F5FD0"/>
    <w:rsid w:val="008F6EA0"/>
    <w:rsid w:val="008F7091"/>
    <w:rsid w:val="008F77C2"/>
    <w:rsid w:val="008F7FB1"/>
    <w:rsid w:val="00900493"/>
    <w:rsid w:val="00901542"/>
    <w:rsid w:val="00901CB4"/>
    <w:rsid w:val="00901CC5"/>
    <w:rsid w:val="00901F46"/>
    <w:rsid w:val="00902434"/>
    <w:rsid w:val="00903E21"/>
    <w:rsid w:val="00904B8E"/>
    <w:rsid w:val="00904FC7"/>
    <w:rsid w:val="009052D8"/>
    <w:rsid w:val="009056D4"/>
    <w:rsid w:val="009061A8"/>
    <w:rsid w:val="0090657D"/>
    <w:rsid w:val="009069D8"/>
    <w:rsid w:val="009114AC"/>
    <w:rsid w:val="00911DDD"/>
    <w:rsid w:val="0091210E"/>
    <w:rsid w:val="009126DD"/>
    <w:rsid w:val="009127C4"/>
    <w:rsid w:val="009131F4"/>
    <w:rsid w:val="0091394B"/>
    <w:rsid w:val="0091414E"/>
    <w:rsid w:val="009151BF"/>
    <w:rsid w:val="0091644D"/>
    <w:rsid w:val="00916896"/>
    <w:rsid w:val="00917529"/>
    <w:rsid w:val="00920921"/>
    <w:rsid w:val="00921177"/>
    <w:rsid w:val="00921263"/>
    <w:rsid w:val="00921E8C"/>
    <w:rsid w:val="009224FA"/>
    <w:rsid w:val="00924D6E"/>
    <w:rsid w:val="00924DD3"/>
    <w:rsid w:val="00925951"/>
    <w:rsid w:val="00926399"/>
    <w:rsid w:val="009269DB"/>
    <w:rsid w:val="009272EB"/>
    <w:rsid w:val="009279CA"/>
    <w:rsid w:val="009308EF"/>
    <w:rsid w:val="00930D23"/>
    <w:rsid w:val="00932D50"/>
    <w:rsid w:val="00932DB4"/>
    <w:rsid w:val="00932DC4"/>
    <w:rsid w:val="00933189"/>
    <w:rsid w:val="00933429"/>
    <w:rsid w:val="00933AFF"/>
    <w:rsid w:val="00933E58"/>
    <w:rsid w:val="00933F41"/>
    <w:rsid w:val="009343C2"/>
    <w:rsid w:val="00934F51"/>
    <w:rsid w:val="009357F9"/>
    <w:rsid w:val="00935A91"/>
    <w:rsid w:val="00936035"/>
    <w:rsid w:val="00936121"/>
    <w:rsid w:val="00936A91"/>
    <w:rsid w:val="00936AF4"/>
    <w:rsid w:val="0093791E"/>
    <w:rsid w:val="00937E0D"/>
    <w:rsid w:val="009407CA"/>
    <w:rsid w:val="0094097B"/>
    <w:rsid w:val="00941836"/>
    <w:rsid w:val="00941E8C"/>
    <w:rsid w:val="00941FD3"/>
    <w:rsid w:val="00942941"/>
    <w:rsid w:val="00943501"/>
    <w:rsid w:val="009435E5"/>
    <w:rsid w:val="009438F7"/>
    <w:rsid w:val="00943BF1"/>
    <w:rsid w:val="00944FEC"/>
    <w:rsid w:val="009453FA"/>
    <w:rsid w:val="009454F1"/>
    <w:rsid w:val="00945984"/>
    <w:rsid w:val="00945F89"/>
    <w:rsid w:val="00946365"/>
    <w:rsid w:val="009463CC"/>
    <w:rsid w:val="00946A95"/>
    <w:rsid w:val="00946D67"/>
    <w:rsid w:val="009473FE"/>
    <w:rsid w:val="00947543"/>
    <w:rsid w:val="00952E0D"/>
    <w:rsid w:val="00953087"/>
    <w:rsid w:val="0095340B"/>
    <w:rsid w:val="00953BF0"/>
    <w:rsid w:val="00953ED6"/>
    <w:rsid w:val="009540A6"/>
    <w:rsid w:val="00954C39"/>
    <w:rsid w:val="00954E54"/>
    <w:rsid w:val="00955882"/>
    <w:rsid w:val="0095670C"/>
    <w:rsid w:val="0095777B"/>
    <w:rsid w:val="0096069F"/>
    <w:rsid w:val="0096077A"/>
    <w:rsid w:val="00960D2A"/>
    <w:rsid w:val="00961DA9"/>
    <w:rsid w:val="00962939"/>
    <w:rsid w:val="00962B18"/>
    <w:rsid w:val="00962ED7"/>
    <w:rsid w:val="009630CE"/>
    <w:rsid w:val="009632A5"/>
    <w:rsid w:val="00964571"/>
    <w:rsid w:val="009649B3"/>
    <w:rsid w:val="00964C49"/>
    <w:rsid w:val="00965D71"/>
    <w:rsid w:val="00966291"/>
    <w:rsid w:val="00966DE6"/>
    <w:rsid w:val="00967607"/>
    <w:rsid w:val="009677D8"/>
    <w:rsid w:val="00967E80"/>
    <w:rsid w:val="009700DB"/>
    <w:rsid w:val="0097115D"/>
    <w:rsid w:val="0097117B"/>
    <w:rsid w:val="009717BD"/>
    <w:rsid w:val="009719C0"/>
    <w:rsid w:val="00971A0C"/>
    <w:rsid w:val="00971AA7"/>
    <w:rsid w:val="009727E8"/>
    <w:rsid w:val="0097299A"/>
    <w:rsid w:val="00972EC5"/>
    <w:rsid w:val="009734AA"/>
    <w:rsid w:val="00974FFA"/>
    <w:rsid w:val="00975896"/>
    <w:rsid w:val="00976298"/>
    <w:rsid w:val="009809BC"/>
    <w:rsid w:val="00980D7D"/>
    <w:rsid w:val="00980D84"/>
    <w:rsid w:val="00980DEC"/>
    <w:rsid w:val="00980E46"/>
    <w:rsid w:val="00981727"/>
    <w:rsid w:val="0098175B"/>
    <w:rsid w:val="00981D5C"/>
    <w:rsid w:val="00982CAC"/>
    <w:rsid w:val="00983320"/>
    <w:rsid w:val="00983BC2"/>
    <w:rsid w:val="00983EBF"/>
    <w:rsid w:val="009849C7"/>
    <w:rsid w:val="0098533D"/>
    <w:rsid w:val="00986340"/>
    <w:rsid w:val="009867C1"/>
    <w:rsid w:val="00986A20"/>
    <w:rsid w:val="00986BB7"/>
    <w:rsid w:val="0098724A"/>
    <w:rsid w:val="00987A94"/>
    <w:rsid w:val="00990538"/>
    <w:rsid w:val="0099067E"/>
    <w:rsid w:val="009911A4"/>
    <w:rsid w:val="00991386"/>
    <w:rsid w:val="00991EA7"/>
    <w:rsid w:val="009929E6"/>
    <w:rsid w:val="009936CB"/>
    <w:rsid w:val="00993A37"/>
    <w:rsid w:val="00993A42"/>
    <w:rsid w:val="009955A4"/>
    <w:rsid w:val="00995685"/>
    <w:rsid w:val="009960F5"/>
    <w:rsid w:val="00996FDA"/>
    <w:rsid w:val="009975A6"/>
    <w:rsid w:val="009A07AF"/>
    <w:rsid w:val="009A3065"/>
    <w:rsid w:val="009A4DE5"/>
    <w:rsid w:val="009A5166"/>
    <w:rsid w:val="009A52F0"/>
    <w:rsid w:val="009A5D3D"/>
    <w:rsid w:val="009A6435"/>
    <w:rsid w:val="009A6B8F"/>
    <w:rsid w:val="009A6C12"/>
    <w:rsid w:val="009A6F24"/>
    <w:rsid w:val="009A75F5"/>
    <w:rsid w:val="009A7E7A"/>
    <w:rsid w:val="009B1CE7"/>
    <w:rsid w:val="009B289C"/>
    <w:rsid w:val="009B2D41"/>
    <w:rsid w:val="009B33C7"/>
    <w:rsid w:val="009B35CA"/>
    <w:rsid w:val="009B3F8B"/>
    <w:rsid w:val="009B4596"/>
    <w:rsid w:val="009B49B4"/>
    <w:rsid w:val="009B67AA"/>
    <w:rsid w:val="009B7971"/>
    <w:rsid w:val="009C04AA"/>
    <w:rsid w:val="009C051F"/>
    <w:rsid w:val="009C148B"/>
    <w:rsid w:val="009C157C"/>
    <w:rsid w:val="009C1687"/>
    <w:rsid w:val="009C1B59"/>
    <w:rsid w:val="009C1C13"/>
    <w:rsid w:val="009C3A1E"/>
    <w:rsid w:val="009C3B45"/>
    <w:rsid w:val="009C4232"/>
    <w:rsid w:val="009C425E"/>
    <w:rsid w:val="009C4E9D"/>
    <w:rsid w:val="009C4FD9"/>
    <w:rsid w:val="009C567F"/>
    <w:rsid w:val="009C592D"/>
    <w:rsid w:val="009C5D8E"/>
    <w:rsid w:val="009C6827"/>
    <w:rsid w:val="009C75BB"/>
    <w:rsid w:val="009C7822"/>
    <w:rsid w:val="009C7A84"/>
    <w:rsid w:val="009C7DAD"/>
    <w:rsid w:val="009D0CFB"/>
    <w:rsid w:val="009D0FCA"/>
    <w:rsid w:val="009D2208"/>
    <w:rsid w:val="009D2284"/>
    <w:rsid w:val="009D3AF2"/>
    <w:rsid w:val="009D3B1D"/>
    <w:rsid w:val="009D4F6A"/>
    <w:rsid w:val="009D55D5"/>
    <w:rsid w:val="009D649A"/>
    <w:rsid w:val="009D6D6D"/>
    <w:rsid w:val="009D6E6B"/>
    <w:rsid w:val="009D7198"/>
    <w:rsid w:val="009D776A"/>
    <w:rsid w:val="009D77C1"/>
    <w:rsid w:val="009D7C22"/>
    <w:rsid w:val="009E0DCF"/>
    <w:rsid w:val="009E1162"/>
    <w:rsid w:val="009E18EE"/>
    <w:rsid w:val="009E1CFF"/>
    <w:rsid w:val="009E3031"/>
    <w:rsid w:val="009E3F03"/>
    <w:rsid w:val="009E40F0"/>
    <w:rsid w:val="009E4699"/>
    <w:rsid w:val="009E4CA3"/>
    <w:rsid w:val="009E5340"/>
    <w:rsid w:val="009E570C"/>
    <w:rsid w:val="009E615F"/>
    <w:rsid w:val="009E79B9"/>
    <w:rsid w:val="009F0322"/>
    <w:rsid w:val="009F17FA"/>
    <w:rsid w:val="009F184E"/>
    <w:rsid w:val="009F2516"/>
    <w:rsid w:val="009F28F0"/>
    <w:rsid w:val="009F314F"/>
    <w:rsid w:val="009F3A38"/>
    <w:rsid w:val="009F436C"/>
    <w:rsid w:val="009F4F24"/>
    <w:rsid w:val="009F5494"/>
    <w:rsid w:val="009F7486"/>
    <w:rsid w:val="009F7BA1"/>
    <w:rsid w:val="00A00A55"/>
    <w:rsid w:val="00A02157"/>
    <w:rsid w:val="00A0284B"/>
    <w:rsid w:val="00A0365A"/>
    <w:rsid w:val="00A03B0E"/>
    <w:rsid w:val="00A03D9C"/>
    <w:rsid w:val="00A044A8"/>
    <w:rsid w:val="00A047D6"/>
    <w:rsid w:val="00A048D6"/>
    <w:rsid w:val="00A04C40"/>
    <w:rsid w:val="00A04CB8"/>
    <w:rsid w:val="00A04D02"/>
    <w:rsid w:val="00A059D7"/>
    <w:rsid w:val="00A072E4"/>
    <w:rsid w:val="00A07B8C"/>
    <w:rsid w:val="00A10C49"/>
    <w:rsid w:val="00A114BE"/>
    <w:rsid w:val="00A115B9"/>
    <w:rsid w:val="00A1281C"/>
    <w:rsid w:val="00A1325F"/>
    <w:rsid w:val="00A132AF"/>
    <w:rsid w:val="00A13D32"/>
    <w:rsid w:val="00A140D4"/>
    <w:rsid w:val="00A14297"/>
    <w:rsid w:val="00A16AF3"/>
    <w:rsid w:val="00A174E2"/>
    <w:rsid w:val="00A17A27"/>
    <w:rsid w:val="00A2168E"/>
    <w:rsid w:val="00A219AC"/>
    <w:rsid w:val="00A22045"/>
    <w:rsid w:val="00A22839"/>
    <w:rsid w:val="00A22DAD"/>
    <w:rsid w:val="00A233D0"/>
    <w:rsid w:val="00A23914"/>
    <w:rsid w:val="00A23B81"/>
    <w:rsid w:val="00A24A59"/>
    <w:rsid w:val="00A24B17"/>
    <w:rsid w:val="00A254CE"/>
    <w:rsid w:val="00A259B8"/>
    <w:rsid w:val="00A25A66"/>
    <w:rsid w:val="00A26209"/>
    <w:rsid w:val="00A269AD"/>
    <w:rsid w:val="00A2715D"/>
    <w:rsid w:val="00A30616"/>
    <w:rsid w:val="00A30C5D"/>
    <w:rsid w:val="00A30DA2"/>
    <w:rsid w:val="00A30EF6"/>
    <w:rsid w:val="00A31662"/>
    <w:rsid w:val="00A31664"/>
    <w:rsid w:val="00A3359B"/>
    <w:rsid w:val="00A33900"/>
    <w:rsid w:val="00A33F93"/>
    <w:rsid w:val="00A3498A"/>
    <w:rsid w:val="00A34A42"/>
    <w:rsid w:val="00A34BF5"/>
    <w:rsid w:val="00A35357"/>
    <w:rsid w:val="00A35AB5"/>
    <w:rsid w:val="00A374E5"/>
    <w:rsid w:val="00A37E51"/>
    <w:rsid w:val="00A40F30"/>
    <w:rsid w:val="00A41537"/>
    <w:rsid w:val="00A425EF"/>
    <w:rsid w:val="00A426D1"/>
    <w:rsid w:val="00A43301"/>
    <w:rsid w:val="00A4340D"/>
    <w:rsid w:val="00A435BB"/>
    <w:rsid w:val="00A436CC"/>
    <w:rsid w:val="00A43C78"/>
    <w:rsid w:val="00A44509"/>
    <w:rsid w:val="00A4468D"/>
    <w:rsid w:val="00A44732"/>
    <w:rsid w:val="00A467B0"/>
    <w:rsid w:val="00A46C02"/>
    <w:rsid w:val="00A471C3"/>
    <w:rsid w:val="00A517B5"/>
    <w:rsid w:val="00A53F3F"/>
    <w:rsid w:val="00A54A81"/>
    <w:rsid w:val="00A55086"/>
    <w:rsid w:val="00A557D7"/>
    <w:rsid w:val="00A55A65"/>
    <w:rsid w:val="00A55CD0"/>
    <w:rsid w:val="00A56413"/>
    <w:rsid w:val="00A565C5"/>
    <w:rsid w:val="00A56DC0"/>
    <w:rsid w:val="00A60428"/>
    <w:rsid w:val="00A61250"/>
    <w:rsid w:val="00A62130"/>
    <w:rsid w:val="00A621DB"/>
    <w:rsid w:val="00A63390"/>
    <w:rsid w:val="00A63549"/>
    <w:rsid w:val="00A635FE"/>
    <w:rsid w:val="00A6494D"/>
    <w:rsid w:val="00A64C5B"/>
    <w:rsid w:val="00A659FC"/>
    <w:rsid w:val="00A65D34"/>
    <w:rsid w:val="00A662A3"/>
    <w:rsid w:val="00A67817"/>
    <w:rsid w:val="00A70C6D"/>
    <w:rsid w:val="00A70EED"/>
    <w:rsid w:val="00A71D23"/>
    <w:rsid w:val="00A72D4A"/>
    <w:rsid w:val="00A733D8"/>
    <w:rsid w:val="00A73E6F"/>
    <w:rsid w:val="00A7465F"/>
    <w:rsid w:val="00A754F3"/>
    <w:rsid w:val="00A7585F"/>
    <w:rsid w:val="00A76A4C"/>
    <w:rsid w:val="00A773C9"/>
    <w:rsid w:val="00A776CE"/>
    <w:rsid w:val="00A77974"/>
    <w:rsid w:val="00A77EE7"/>
    <w:rsid w:val="00A80E0C"/>
    <w:rsid w:val="00A81DB7"/>
    <w:rsid w:val="00A82F29"/>
    <w:rsid w:val="00A83CC6"/>
    <w:rsid w:val="00A842C1"/>
    <w:rsid w:val="00A8485F"/>
    <w:rsid w:val="00A85C62"/>
    <w:rsid w:val="00A85FA4"/>
    <w:rsid w:val="00A862AD"/>
    <w:rsid w:val="00A862E3"/>
    <w:rsid w:val="00A87A37"/>
    <w:rsid w:val="00A90679"/>
    <w:rsid w:val="00A9135D"/>
    <w:rsid w:val="00A915D5"/>
    <w:rsid w:val="00A92260"/>
    <w:rsid w:val="00A926F7"/>
    <w:rsid w:val="00A92EE5"/>
    <w:rsid w:val="00A93543"/>
    <w:rsid w:val="00A93A64"/>
    <w:rsid w:val="00A945E5"/>
    <w:rsid w:val="00A94D44"/>
    <w:rsid w:val="00A9524E"/>
    <w:rsid w:val="00A95490"/>
    <w:rsid w:val="00A95B9F"/>
    <w:rsid w:val="00A95C3E"/>
    <w:rsid w:val="00A9689C"/>
    <w:rsid w:val="00A97281"/>
    <w:rsid w:val="00A97805"/>
    <w:rsid w:val="00A97E48"/>
    <w:rsid w:val="00AA014B"/>
    <w:rsid w:val="00AA0294"/>
    <w:rsid w:val="00AA0537"/>
    <w:rsid w:val="00AA0695"/>
    <w:rsid w:val="00AA228B"/>
    <w:rsid w:val="00AA239A"/>
    <w:rsid w:val="00AA29D0"/>
    <w:rsid w:val="00AA3E76"/>
    <w:rsid w:val="00AA442E"/>
    <w:rsid w:val="00AA4ED6"/>
    <w:rsid w:val="00AA5E48"/>
    <w:rsid w:val="00AA6EC6"/>
    <w:rsid w:val="00AA75CB"/>
    <w:rsid w:val="00AB0207"/>
    <w:rsid w:val="00AB0401"/>
    <w:rsid w:val="00AB0560"/>
    <w:rsid w:val="00AB0E24"/>
    <w:rsid w:val="00AB0E3F"/>
    <w:rsid w:val="00AB0F23"/>
    <w:rsid w:val="00AB19F1"/>
    <w:rsid w:val="00AB1F1C"/>
    <w:rsid w:val="00AB2325"/>
    <w:rsid w:val="00AB3755"/>
    <w:rsid w:val="00AB3B17"/>
    <w:rsid w:val="00AB3B47"/>
    <w:rsid w:val="00AB3B5B"/>
    <w:rsid w:val="00AB4924"/>
    <w:rsid w:val="00AB4F0B"/>
    <w:rsid w:val="00AB4FD9"/>
    <w:rsid w:val="00AB596D"/>
    <w:rsid w:val="00AB5FFC"/>
    <w:rsid w:val="00AB6DDB"/>
    <w:rsid w:val="00AB7FE8"/>
    <w:rsid w:val="00AC03D6"/>
    <w:rsid w:val="00AC06B6"/>
    <w:rsid w:val="00AC0800"/>
    <w:rsid w:val="00AC1738"/>
    <w:rsid w:val="00AC1D89"/>
    <w:rsid w:val="00AC2756"/>
    <w:rsid w:val="00AC2B51"/>
    <w:rsid w:val="00AC2E97"/>
    <w:rsid w:val="00AC3593"/>
    <w:rsid w:val="00AC39A2"/>
    <w:rsid w:val="00AC40E3"/>
    <w:rsid w:val="00AC413C"/>
    <w:rsid w:val="00AC4D4B"/>
    <w:rsid w:val="00AC554F"/>
    <w:rsid w:val="00AC5667"/>
    <w:rsid w:val="00AC58AE"/>
    <w:rsid w:val="00AC6284"/>
    <w:rsid w:val="00AC6485"/>
    <w:rsid w:val="00AC74C4"/>
    <w:rsid w:val="00AC77F8"/>
    <w:rsid w:val="00AD02C0"/>
    <w:rsid w:val="00AD1C9E"/>
    <w:rsid w:val="00AD3E04"/>
    <w:rsid w:val="00AD4DA4"/>
    <w:rsid w:val="00AD516D"/>
    <w:rsid w:val="00AD5575"/>
    <w:rsid w:val="00AD586A"/>
    <w:rsid w:val="00AD5947"/>
    <w:rsid w:val="00AD5BFA"/>
    <w:rsid w:val="00AD5D0B"/>
    <w:rsid w:val="00AD6464"/>
    <w:rsid w:val="00AD6921"/>
    <w:rsid w:val="00AD79D4"/>
    <w:rsid w:val="00AE2942"/>
    <w:rsid w:val="00AE34C6"/>
    <w:rsid w:val="00AE3B63"/>
    <w:rsid w:val="00AE4687"/>
    <w:rsid w:val="00AE472B"/>
    <w:rsid w:val="00AE4821"/>
    <w:rsid w:val="00AE5454"/>
    <w:rsid w:val="00AE5E5A"/>
    <w:rsid w:val="00AE5EA3"/>
    <w:rsid w:val="00AE61CB"/>
    <w:rsid w:val="00AE61CD"/>
    <w:rsid w:val="00AE6325"/>
    <w:rsid w:val="00AE6551"/>
    <w:rsid w:val="00AE67AB"/>
    <w:rsid w:val="00AE7325"/>
    <w:rsid w:val="00AF06D1"/>
    <w:rsid w:val="00AF12B3"/>
    <w:rsid w:val="00AF14D6"/>
    <w:rsid w:val="00AF1755"/>
    <w:rsid w:val="00AF1AD1"/>
    <w:rsid w:val="00AF1C55"/>
    <w:rsid w:val="00AF20CC"/>
    <w:rsid w:val="00AF3188"/>
    <w:rsid w:val="00AF3224"/>
    <w:rsid w:val="00AF3A04"/>
    <w:rsid w:val="00AF3C59"/>
    <w:rsid w:val="00AF3CE7"/>
    <w:rsid w:val="00AF3F02"/>
    <w:rsid w:val="00AF432F"/>
    <w:rsid w:val="00AF66A4"/>
    <w:rsid w:val="00AF6805"/>
    <w:rsid w:val="00AF6903"/>
    <w:rsid w:val="00AF6D07"/>
    <w:rsid w:val="00AF7B79"/>
    <w:rsid w:val="00B0033C"/>
    <w:rsid w:val="00B00690"/>
    <w:rsid w:val="00B01415"/>
    <w:rsid w:val="00B01894"/>
    <w:rsid w:val="00B019B2"/>
    <w:rsid w:val="00B01C85"/>
    <w:rsid w:val="00B02A1D"/>
    <w:rsid w:val="00B030C1"/>
    <w:rsid w:val="00B031D3"/>
    <w:rsid w:val="00B046C0"/>
    <w:rsid w:val="00B05037"/>
    <w:rsid w:val="00B051DA"/>
    <w:rsid w:val="00B0530E"/>
    <w:rsid w:val="00B073BA"/>
    <w:rsid w:val="00B10FCC"/>
    <w:rsid w:val="00B112D9"/>
    <w:rsid w:val="00B11336"/>
    <w:rsid w:val="00B12FF7"/>
    <w:rsid w:val="00B13249"/>
    <w:rsid w:val="00B13336"/>
    <w:rsid w:val="00B13583"/>
    <w:rsid w:val="00B142AC"/>
    <w:rsid w:val="00B146CC"/>
    <w:rsid w:val="00B14C05"/>
    <w:rsid w:val="00B14E55"/>
    <w:rsid w:val="00B15683"/>
    <w:rsid w:val="00B167D6"/>
    <w:rsid w:val="00B16A93"/>
    <w:rsid w:val="00B16FE9"/>
    <w:rsid w:val="00B177BF"/>
    <w:rsid w:val="00B2052D"/>
    <w:rsid w:val="00B2088E"/>
    <w:rsid w:val="00B20CC8"/>
    <w:rsid w:val="00B20EA5"/>
    <w:rsid w:val="00B20F3A"/>
    <w:rsid w:val="00B212E0"/>
    <w:rsid w:val="00B228B2"/>
    <w:rsid w:val="00B2338C"/>
    <w:rsid w:val="00B249F1"/>
    <w:rsid w:val="00B250D5"/>
    <w:rsid w:val="00B25F5E"/>
    <w:rsid w:val="00B2602D"/>
    <w:rsid w:val="00B2776D"/>
    <w:rsid w:val="00B30A8F"/>
    <w:rsid w:val="00B31354"/>
    <w:rsid w:val="00B31E19"/>
    <w:rsid w:val="00B32649"/>
    <w:rsid w:val="00B32AB3"/>
    <w:rsid w:val="00B32CD7"/>
    <w:rsid w:val="00B333BA"/>
    <w:rsid w:val="00B33558"/>
    <w:rsid w:val="00B335A8"/>
    <w:rsid w:val="00B33BFE"/>
    <w:rsid w:val="00B345F7"/>
    <w:rsid w:val="00B34B68"/>
    <w:rsid w:val="00B34D54"/>
    <w:rsid w:val="00B36F29"/>
    <w:rsid w:val="00B376D6"/>
    <w:rsid w:val="00B37940"/>
    <w:rsid w:val="00B37D3B"/>
    <w:rsid w:val="00B37F2D"/>
    <w:rsid w:val="00B40E64"/>
    <w:rsid w:val="00B41AC0"/>
    <w:rsid w:val="00B42CC1"/>
    <w:rsid w:val="00B42EC8"/>
    <w:rsid w:val="00B431ED"/>
    <w:rsid w:val="00B43BAE"/>
    <w:rsid w:val="00B443FD"/>
    <w:rsid w:val="00B449E8"/>
    <w:rsid w:val="00B44D43"/>
    <w:rsid w:val="00B45808"/>
    <w:rsid w:val="00B458FD"/>
    <w:rsid w:val="00B45D53"/>
    <w:rsid w:val="00B45E3E"/>
    <w:rsid w:val="00B46780"/>
    <w:rsid w:val="00B46931"/>
    <w:rsid w:val="00B46E1B"/>
    <w:rsid w:val="00B47665"/>
    <w:rsid w:val="00B47A48"/>
    <w:rsid w:val="00B50309"/>
    <w:rsid w:val="00B50C88"/>
    <w:rsid w:val="00B512A8"/>
    <w:rsid w:val="00B513BE"/>
    <w:rsid w:val="00B517E3"/>
    <w:rsid w:val="00B519DF"/>
    <w:rsid w:val="00B519E1"/>
    <w:rsid w:val="00B51D4A"/>
    <w:rsid w:val="00B5200A"/>
    <w:rsid w:val="00B522BA"/>
    <w:rsid w:val="00B53048"/>
    <w:rsid w:val="00B53843"/>
    <w:rsid w:val="00B545F5"/>
    <w:rsid w:val="00B54A58"/>
    <w:rsid w:val="00B556F2"/>
    <w:rsid w:val="00B55DEB"/>
    <w:rsid w:val="00B55FFC"/>
    <w:rsid w:val="00B560E7"/>
    <w:rsid w:val="00B56400"/>
    <w:rsid w:val="00B572C7"/>
    <w:rsid w:val="00B57DF0"/>
    <w:rsid w:val="00B57EF6"/>
    <w:rsid w:val="00B57F24"/>
    <w:rsid w:val="00B628EB"/>
    <w:rsid w:val="00B62A07"/>
    <w:rsid w:val="00B62AB6"/>
    <w:rsid w:val="00B64B78"/>
    <w:rsid w:val="00B651E3"/>
    <w:rsid w:val="00B65585"/>
    <w:rsid w:val="00B65616"/>
    <w:rsid w:val="00B66962"/>
    <w:rsid w:val="00B67EA4"/>
    <w:rsid w:val="00B70225"/>
    <w:rsid w:val="00B7026D"/>
    <w:rsid w:val="00B70984"/>
    <w:rsid w:val="00B71721"/>
    <w:rsid w:val="00B73539"/>
    <w:rsid w:val="00B735B5"/>
    <w:rsid w:val="00B73860"/>
    <w:rsid w:val="00B741BB"/>
    <w:rsid w:val="00B7447E"/>
    <w:rsid w:val="00B75519"/>
    <w:rsid w:val="00B759F5"/>
    <w:rsid w:val="00B75EDC"/>
    <w:rsid w:val="00B77A8E"/>
    <w:rsid w:val="00B77ACC"/>
    <w:rsid w:val="00B80713"/>
    <w:rsid w:val="00B80DFD"/>
    <w:rsid w:val="00B8108C"/>
    <w:rsid w:val="00B81BB3"/>
    <w:rsid w:val="00B81CE5"/>
    <w:rsid w:val="00B82321"/>
    <w:rsid w:val="00B828A6"/>
    <w:rsid w:val="00B8364F"/>
    <w:rsid w:val="00B83F24"/>
    <w:rsid w:val="00B84509"/>
    <w:rsid w:val="00B8507D"/>
    <w:rsid w:val="00B850E6"/>
    <w:rsid w:val="00B85210"/>
    <w:rsid w:val="00B85899"/>
    <w:rsid w:val="00B85D42"/>
    <w:rsid w:val="00B85E54"/>
    <w:rsid w:val="00B866D1"/>
    <w:rsid w:val="00B868AA"/>
    <w:rsid w:val="00B914A8"/>
    <w:rsid w:val="00B9189B"/>
    <w:rsid w:val="00B91F67"/>
    <w:rsid w:val="00B91FF7"/>
    <w:rsid w:val="00B926EC"/>
    <w:rsid w:val="00B92A1E"/>
    <w:rsid w:val="00B92BDF"/>
    <w:rsid w:val="00B93197"/>
    <w:rsid w:val="00B934A7"/>
    <w:rsid w:val="00B94B75"/>
    <w:rsid w:val="00B9661D"/>
    <w:rsid w:val="00B96CBB"/>
    <w:rsid w:val="00B97130"/>
    <w:rsid w:val="00B97A27"/>
    <w:rsid w:val="00B97E4C"/>
    <w:rsid w:val="00BA0549"/>
    <w:rsid w:val="00BA0D50"/>
    <w:rsid w:val="00BA14B5"/>
    <w:rsid w:val="00BA17F6"/>
    <w:rsid w:val="00BA1C93"/>
    <w:rsid w:val="00BA1DBA"/>
    <w:rsid w:val="00BA1ED1"/>
    <w:rsid w:val="00BA2323"/>
    <w:rsid w:val="00BA2A54"/>
    <w:rsid w:val="00BA31F5"/>
    <w:rsid w:val="00BA3C51"/>
    <w:rsid w:val="00BA5011"/>
    <w:rsid w:val="00BA59BF"/>
    <w:rsid w:val="00BA5C62"/>
    <w:rsid w:val="00BA5CF5"/>
    <w:rsid w:val="00BA64E5"/>
    <w:rsid w:val="00BA7996"/>
    <w:rsid w:val="00BB0665"/>
    <w:rsid w:val="00BB090A"/>
    <w:rsid w:val="00BB2595"/>
    <w:rsid w:val="00BB2D22"/>
    <w:rsid w:val="00BB3D70"/>
    <w:rsid w:val="00BB46D9"/>
    <w:rsid w:val="00BB4A0A"/>
    <w:rsid w:val="00BB5258"/>
    <w:rsid w:val="00BB58C8"/>
    <w:rsid w:val="00BB5D2D"/>
    <w:rsid w:val="00BB6128"/>
    <w:rsid w:val="00BB61A3"/>
    <w:rsid w:val="00BB672C"/>
    <w:rsid w:val="00BB7087"/>
    <w:rsid w:val="00BB7437"/>
    <w:rsid w:val="00BC0D8F"/>
    <w:rsid w:val="00BC1BA4"/>
    <w:rsid w:val="00BC20CD"/>
    <w:rsid w:val="00BC22C7"/>
    <w:rsid w:val="00BC46A6"/>
    <w:rsid w:val="00BC46DE"/>
    <w:rsid w:val="00BC51B4"/>
    <w:rsid w:val="00BC538F"/>
    <w:rsid w:val="00BC69E4"/>
    <w:rsid w:val="00BC6DC3"/>
    <w:rsid w:val="00BC71BC"/>
    <w:rsid w:val="00BC7652"/>
    <w:rsid w:val="00BD0181"/>
    <w:rsid w:val="00BD13BD"/>
    <w:rsid w:val="00BD17D3"/>
    <w:rsid w:val="00BD1D84"/>
    <w:rsid w:val="00BD2660"/>
    <w:rsid w:val="00BD4A01"/>
    <w:rsid w:val="00BD4A12"/>
    <w:rsid w:val="00BD50AE"/>
    <w:rsid w:val="00BE01FD"/>
    <w:rsid w:val="00BE03F2"/>
    <w:rsid w:val="00BE0522"/>
    <w:rsid w:val="00BE0636"/>
    <w:rsid w:val="00BE0663"/>
    <w:rsid w:val="00BE0B5E"/>
    <w:rsid w:val="00BE0B6C"/>
    <w:rsid w:val="00BE2198"/>
    <w:rsid w:val="00BE2E65"/>
    <w:rsid w:val="00BE2F08"/>
    <w:rsid w:val="00BE3C5F"/>
    <w:rsid w:val="00BE3EAA"/>
    <w:rsid w:val="00BE4DE2"/>
    <w:rsid w:val="00BE533B"/>
    <w:rsid w:val="00BE5C3F"/>
    <w:rsid w:val="00BE5F40"/>
    <w:rsid w:val="00BE6150"/>
    <w:rsid w:val="00BE713B"/>
    <w:rsid w:val="00BE7F1A"/>
    <w:rsid w:val="00BF0231"/>
    <w:rsid w:val="00BF0AAD"/>
    <w:rsid w:val="00BF0D77"/>
    <w:rsid w:val="00BF160D"/>
    <w:rsid w:val="00BF23C8"/>
    <w:rsid w:val="00BF2520"/>
    <w:rsid w:val="00BF287A"/>
    <w:rsid w:val="00BF2A29"/>
    <w:rsid w:val="00BF2AA5"/>
    <w:rsid w:val="00BF3677"/>
    <w:rsid w:val="00BF392D"/>
    <w:rsid w:val="00BF3A4A"/>
    <w:rsid w:val="00BF4C82"/>
    <w:rsid w:val="00BF537B"/>
    <w:rsid w:val="00BF582D"/>
    <w:rsid w:val="00BF5A07"/>
    <w:rsid w:val="00BF61D2"/>
    <w:rsid w:val="00BF62A0"/>
    <w:rsid w:val="00BF6E99"/>
    <w:rsid w:val="00C0094E"/>
    <w:rsid w:val="00C0105C"/>
    <w:rsid w:val="00C01A85"/>
    <w:rsid w:val="00C01B55"/>
    <w:rsid w:val="00C025A1"/>
    <w:rsid w:val="00C0265A"/>
    <w:rsid w:val="00C02B97"/>
    <w:rsid w:val="00C03FED"/>
    <w:rsid w:val="00C0414E"/>
    <w:rsid w:val="00C0473C"/>
    <w:rsid w:val="00C047F8"/>
    <w:rsid w:val="00C04D12"/>
    <w:rsid w:val="00C0537D"/>
    <w:rsid w:val="00C06063"/>
    <w:rsid w:val="00C06BDF"/>
    <w:rsid w:val="00C06D1E"/>
    <w:rsid w:val="00C07924"/>
    <w:rsid w:val="00C101B5"/>
    <w:rsid w:val="00C10B4D"/>
    <w:rsid w:val="00C10F9B"/>
    <w:rsid w:val="00C113BA"/>
    <w:rsid w:val="00C116D0"/>
    <w:rsid w:val="00C11A48"/>
    <w:rsid w:val="00C12548"/>
    <w:rsid w:val="00C12933"/>
    <w:rsid w:val="00C12D36"/>
    <w:rsid w:val="00C12FD3"/>
    <w:rsid w:val="00C13A1F"/>
    <w:rsid w:val="00C14F2D"/>
    <w:rsid w:val="00C1606F"/>
    <w:rsid w:val="00C16335"/>
    <w:rsid w:val="00C16DDF"/>
    <w:rsid w:val="00C16E2A"/>
    <w:rsid w:val="00C174C3"/>
    <w:rsid w:val="00C175F2"/>
    <w:rsid w:val="00C2097A"/>
    <w:rsid w:val="00C21DB1"/>
    <w:rsid w:val="00C227CB"/>
    <w:rsid w:val="00C22AD1"/>
    <w:rsid w:val="00C24BED"/>
    <w:rsid w:val="00C25B81"/>
    <w:rsid w:val="00C27022"/>
    <w:rsid w:val="00C27221"/>
    <w:rsid w:val="00C2777F"/>
    <w:rsid w:val="00C27CE5"/>
    <w:rsid w:val="00C27E69"/>
    <w:rsid w:val="00C30519"/>
    <w:rsid w:val="00C31453"/>
    <w:rsid w:val="00C3202B"/>
    <w:rsid w:val="00C320CC"/>
    <w:rsid w:val="00C3218C"/>
    <w:rsid w:val="00C33527"/>
    <w:rsid w:val="00C336D0"/>
    <w:rsid w:val="00C33B10"/>
    <w:rsid w:val="00C34B10"/>
    <w:rsid w:val="00C34E42"/>
    <w:rsid w:val="00C3608D"/>
    <w:rsid w:val="00C360DA"/>
    <w:rsid w:val="00C36B35"/>
    <w:rsid w:val="00C37A40"/>
    <w:rsid w:val="00C4092A"/>
    <w:rsid w:val="00C40BD5"/>
    <w:rsid w:val="00C40E50"/>
    <w:rsid w:val="00C429FE"/>
    <w:rsid w:val="00C42B49"/>
    <w:rsid w:val="00C43340"/>
    <w:rsid w:val="00C44C3E"/>
    <w:rsid w:val="00C4525F"/>
    <w:rsid w:val="00C45AAD"/>
    <w:rsid w:val="00C45F3B"/>
    <w:rsid w:val="00C472D0"/>
    <w:rsid w:val="00C5093F"/>
    <w:rsid w:val="00C5205C"/>
    <w:rsid w:val="00C53167"/>
    <w:rsid w:val="00C5351A"/>
    <w:rsid w:val="00C54113"/>
    <w:rsid w:val="00C54335"/>
    <w:rsid w:val="00C544F5"/>
    <w:rsid w:val="00C548EB"/>
    <w:rsid w:val="00C55264"/>
    <w:rsid w:val="00C55509"/>
    <w:rsid w:val="00C55E9E"/>
    <w:rsid w:val="00C562B5"/>
    <w:rsid w:val="00C56604"/>
    <w:rsid w:val="00C56F5E"/>
    <w:rsid w:val="00C57EE7"/>
    <w:rsid w:val="00C60E9A"/>
    <w:rsid w:val="00C60F4F"/>
    <w:rsid w:val="00C61024"/>
    <w:rsid w:val="00C6239E"/>
    <w:rsid w:val="00C6273F"/>
    <w:rsid w:val="00C62B9A"/>
    <w:rsid w:val="00C63764"/>
    <w:rsid w:val="00C63BBC"/>
    <w:rsid w:val="00C63F07"/>
    <w:rsid w:val="00C64215"/>
    <w:rsid w:val="00C6427C"/>
    <w:rsid w:val="00C64F28"/>
    <w:rsid w:val="00C65A92"/>
    <w:rsid w:val="00C66D84"/>
    <w:rsid w:val="00C701F4"/>
    <w:rsid w:val="00C71224"/>
    <w:rsid w:val="00C714E8"/>
    <w:rsid w:val="00C7169A"/>
    <w:rsid w:val="00C71B2B"/>
    <w:rsid w:val="00C71FC1"/>
    <w:rsid w:val="00C7287D"/>
    <w:rsid w:val="00C72BFE"/>
    <w:rsid w:val="00C72C67"/>
    <w:rsid w:val="00C73AF0"/>
    <w:rsid w:val="00C740B5"/>
    <w:rsid w:val="00C7410B"/>
    <w:rsid w:val="00C7421B"/>
    <w:rsid w:val="00C743B1"/>
    <w:rsid w:val="00C746FF"/>
    <w:rsid w:val="00C75345"/>
    <w:rsid w:val="00C75B89"/>
    <w:rsid w:val="00C75F6B"/>
    <w:rsid w:val="00C760A1"/>
    <w:rsid w:val="00C760FA"/>
    <w:rsid w:val="00C76335"/>
    <w:rsid w:val="00C7672D"/>
    <w:rsid w:val="00C76E65"/>
    <w:rsid w:val="00C76F71"/>
    <w:rsid w:val="00C77588"/>
    <w:rsid w:val="00C77900"/>
    <w:rsid w:val="00C815DD"/>
    <w:rsid w:val="00C825CB"/>
    <w:rsid w:val="00C82647"/>
    <w:rsid w:val="00C83096"/>
    <w:rsid w:val="00C83384"/>
    <w:rsid w:val="00C836ED"/>
    <w:rsid w:val="00C83FA1"/>
    <w:rsid w:val="00C84974"/>
    <w:rsid w:val="00C85DCA"/>
    <w:rsid w:val="00C86316"/>
    <w:rsid w:val="00C867E0"/>
    <w:rsid w:val="00C86C47"/>
    <w:rsid w:val="00C86F18"/>
    <w:rsid w:val="00C871F9"/>
    <w:rsid w:val="00C87CF8"/>
    <w:rsid w:val="00C90009"/>
    <w:rsid w:val="00C900EF"/>
    <w:rsid w:val="00C902AD"/>
    <w:rsid w:val="00C9037F"/>
    <w:rsid w:val="00C90FD9"/>
    <w:rsid w:val="00C91376"/>
    <w:rsid w:val="00C9195F"/>
    <w:rsid w:val="00C91C83"/>
    <w:rsid w:val="00C91CF2"/>
    <w:rsid w:val="00C92120"/>
    <w:rsid w:val="00C93A8B"/>
    <w:rsid w:val="00C93C3F"/>
    <w:rsid w:val="00C93FEF"/>
    <w:rsid w:val="00C94608"/>
    <w:rsid w:val="00C94CD6"/>
    <w:rsid w:val="00C95A97"/>
    <w:rsid w:val="00C960DA"/>
    <w:rsid w:val="00C96C74"/>
    <w:rsid w:val="00C97984"/>
    <w:rsid w:val="00CA0F3F"/>
    <w:rsid w:val="00CA1711"/>
    <w:rsid w:val="00CA1ED9"/>
    <w:rsid w:val="00CA2116"/>
    <w:rsid w:val="00CA2159"/>
    <w:rsid w:val="00CA2535"/>
    <w:rsid w:val="00CA25C6"/>
    <w:rsid w:val="00CA3362"/>
    <w:rsid w:val="00CA3895"/>
    <w:rsid w:val="00CA40E2"/>
    <w:rsid w:val="00CA4297"/>
    <w:rsid w:val="00CA4BAA"/>
    <w:rsid w:val="00CA5627"/>
    <w:rsid w:val="00CA5B7F"/>
    <w:rsid w:val="00CA60CF"/>
    <w:rsid w:val="00CA6BC5"/>
    <w:rsid w:val="00CA75E5"/>
    <w:rsid w:val="00CA7E3B"/>
    <w:rsid w:val="00CB038F"/>
    <w:rsid w:val="00CB06B1"/>
    <w:rsid w:val="00CB1FFE"/>
    <w:rsid w:val="00CB2AF8"/>
    <w:rsid w:val="00CB3096"/>
    <w:rsid w:val="00CB40D5"/>
    <w:rsid w:val="00CB4708"/>
    <w:rsid w:val="00CB4BC6"/>
    <w:rsid w:val="00CB4CEF"/>
    <w:rsid w:val="00CB52AC"/>
    <w:rsid w:val="00CB6134"/>
    <w:rsid w:val="00CB7561"/>
    <w:rsid w:val="00CB7D19"/>
    <w:rsid w:val="00CC06C2"/>
    <w:rsid w:val="00CC0941"/>
    <w:rsid w:val="00CC0ACD"/>
    <w:rsid w:val="00CC1697"/>
    <w:rsid w:val="00CC1A02"/>
    <w:rsid w:val="00CC1E4D"/>
    <w:rsid w:val="00CC2BE4"/>
    <w:rsid w:val="00CC32DD"/>
    <w:rsid w:val="00CC37F0"/>
    <w:rsid w:val="00CC3A39"/>
    <w:rsid w:val="00CC3A60"/>
    <w:rsid w:val="00CC3AC8"/>
    <w:rsid w:val="00CC3E16"/>
    <w:rsid w:val="00CC3FD9"/>
    <w:rsid w:val="00CC5422"/>
    <w:rsid w:val="00CC57ED"/>
    <w:rsid w:val="00CC5DB7"/>
    <w:rsid w:val="00CC5E86"/>
    <w:rsid w:val="00CC6053"/>
    <w:rsid w:val="00CC75F2"/>
    <w:rsid w:val="00CC788F"/>
    <w:rsid w:val="00CC7C65"/>
    <w:rsid w:val="00CD1A38"/>
    <w:rsid w:val="00CD2345"/>
    <w:rsid w:val="00CD3092"/>
    <w:rsid w:val="00CD3168"/>
    <w:rsid w:val="00CD3839"/>
    <w:rsid w:val="00CD385D"/>
    <w:rsid w:val="00CD3909"/>
    <w:rsid w:val="00CD4134"/>
    <w:rsid w:val="00CD41D0"/>
    <w:rsid w:val="00CD5335"/>
    <w:rsid w:val="00CD6061"/>
    <w:rsid w:val="00CD7857"/>
    <w:rsid w:val="00CE08C4"/>
    <w:rsid w:val="00CE0BB5"/>
    <w:rsid w:val="00CE1E88"/>
    <w:rsid w:val="00CE219C"/>
    <w:rsid w:val="00CE2B3D"/>
    <w:rsid w:val="00CE2BF5"/>
    <w:rsid w:val="00CE2CD0"/>
    <w:rsid w:val="00CE2FAD"/>
    <w:rsid w:val="00CE3326"/>
    <w:rsid w:val="00CE3827"/>
    <w:rsid w:val="00CE39FC"/>
    <w:rsid w:val="00CE4CD9"/>
    <w:rsid w:val="00CE516D"/>
    <w:rsid w:val="00CE5223"/>
    <w:rsid w:val="00CE52E4"/>
    <w:rsid w:val="00CE5998"/>
    <w:rsid w:val="00CE6A91"/>
    <w:rsid w:val="00CE6F51"/>
    <w:rsid w:val="00CE7387"/>
    <w:rsid w:val="00CE7616"/>
    <w:rsid w:val="00CF0AAB"/>
    <w:rsid w:val="00CF0ED3"/>
    <w:rsid w:val="00CF2721"/>
    <w:rsid w:val="00CF46B5"/>
    <w:rsid w:val="00CF51BA"/>
    <w:rsid w:val="00CF5E99"/>
    <w:rsid w:val="00CF5EF8"/>
    <w:rsid w:val="00CF5FBF"/>
    <w:rsid w:val="00CF64F5"/>
    <w:rsid w:val="00CF686A"/>
    <w:rsid w:val="00D005E9"/>
    <w:rsid w:val="00D00877"/>
    <w:rsid w:val="00D00C7A"/>
    <w:rsid w:val="00D02E7B"/>
    <w:rsid w:val="00D03AD2"/>
    <w:rsid w:val="00D04CB6"/>
    <w:rsid w:val="00D051F1"/>
    <w:rsid w:val="00D05D01"/>
    <w:rsid w:val="00D07897"/>
    <w:rsid w:val="00D07E2F"/>
    <w:rsid w:val="00D07E4C"/>
    <w:rsid w:val="00D10936"/>
    <w:rsid w:val="00D1155B"/>
    <w:rsid w:val="00D116E0"/>
    <w:rsid w:val="00D11ACA"/>
    <w:rsid w:val="00D130A5"/>
    <w:rsid w:val="00D146FB"/>
    <w:rsid w:val="00D14BE1"/>
    <w:rsid w:val="00D15923"/>
    <w:rsid w:val="00D16066"/>
    <w:rsid w:val="00D16820"/>
    <w:rsid w:val="00D17742"/>
    <w:rsid w:val="00D17821"/>
    <w:rsid w:val="00D17A08"/>
    <w:rsid w:val="00D17BDE"/>
    <w:rsid w:val="00D17E8D"/>
    <w:rsid w:val="00D214F9"/>
    <w:rsid w:val="00D21AD5"/>
    <w:rsid w:val="00D224D5"/>
    <w:rsid w:val="00D226A7"/>
    <w:rsid w:val="00D2384B"/>
    <w:rsid w:val="00D23A52"/>
    <w:rsid w:val="00D2525C"/>
    <w:rsid w:val="00D25334"/>
    <w:rsid w:val="00D25440"/>
    <w:rsid w:val="00D260C9"/>
    <w:rsid w:val="00D2612C"/>
    <w:rsid w:val="00D26224"/>
    <w:rsid w:val="00D26455"/>
    <w:rsid w:val="00D26711"/>
    <w:rsid w:val="00D271F7"/>
    <w:rsid w:val="00D27382"/>
    <w:rsid w:val="00D27A39"/>
    <w:rsid w:val="00D27F61"/>
    <w:rsid w:val="00D30A50"/>
    <w:rsid w:val="00D31936"/>
    <w:rsid w:val="00D31939"/>
    <w:rsid w:val="00D319A2"/>
    <w:rsid w:val="00D319C7"/>
    <w:rsid w:val="00D32532"/>
    <w:rsid w:val="00D33141"/>
    <w:rsid w:val="00D33808"/>
    <w:rsid w:val="00D33D7A"/>
    <w:rsid w:val="00D34885"/>
    <w:rsid w:val="00D352FE"/>
    <w:rsid w:val="00D35363"/>
    <w:rsid w:val="00D35512"/>
    <w:rsid w:val="00D35A01"/>
    <w:rsid w:val="00D35F46"/>
    <w:rsid w:val="00D3609A"/>
    <w:rsid w:val="00D364AD"/>
    <w:rsid w:val="00D377DC"/>
    <w:rsid w:val="00D378D5"/>
    <w:rsid w:val="00D37D69"/>
    <w:rsid w:val="00D37E3A"/>
    <w:rsid w:val="00D401C8"/>
    <w:rsid w:val="00D40E1A"/>
    <w:rsid w:val="00D412E1"/>
    <w:rsid w:val="00D41523"/>
    <w:rsid w:val="00D41FCD"/>
    <w:rsid w:val="00D42016"/>
    <w:rsid w:val="00D42678"/>
    <w:rsid w:val="00D42C53"/>
    <w:rsid w:val="00D43659"/>
    <w:rsid w:val="00D4380B"/>
    <w:rsid w:val="00D43994"/>
    <w:rsid w:val="00D47130"/>
    <w:rsid w:val="00D478DA"/>
    <w:rsid w:val="00D50097"/>
    <w:rsid w:val="00D50C0E"/>
    <w:rsid w:val="00D511CB"/>
    <w:rsid w:val="00D511D0"/>
    <w:rsid w:val="00D51C8A"/>
    <w:rsid w:val="00D534C2"/>
    <w:rsid w:val="00D5380E"/>
    <w:rsid w:val="00D53AAC"/>
    <w:rsid w:val="00D53D59"/>
    <w:rsid w:val="00D540D1"/>
    <w:rsid w:val="00D54908"/>
    <w:rsid w:val="00D54D3D"/>
    <w:rsid w:val="00D5577C"/>
    <w:rsid w:val="00D5611E"/>
    <w:rsid w:val="00D5621B"/>
    <w:rsid w:val="00D56A1C"/>
    <w:rsid w:val="00D56CC4"/>
    <w:rsid w:val="00D5738F"/>
    <w:rsid w:val="00D5744B"/>
    <w:rsid w:val="00D57B67"/>
    <w:rsid w:val="00D60804"/>
    <w:rsid w:val="00D61E5E"/>
    <w:rsid w:val="00D62219"/>
    <w:rsid w:val="00D623C0"/>
    <w:rsid w:val="00D623DF"/>
    <w:rsid w:val="00D63247"/>
    <w:rsid w:val="00D63D91"/>
    <w:rsid w:val="00D648B9"/>
    <w:rsid w:val="00D64F11"/>
    <w:rsid w:val="00D659CA"/>
    <w:rsid w:val="00D66707"/>
    <w:rsid w:val="00D6686E"/>
    <w:rsid w:val="00D6778A"/>
    <w:rsid w:val="00D701CF"/>
    <w:rsid w:val="00D70275"/>
    <w:rsid w:val="00D706CC"/>
    <w:rsid w:val="00D711C2"/>
    <w:rsid w:val="00D713FA"/>
    <w:rsid w:val="00D71424"/>
    <w:rsid w:val="00D714FB"/>
    <w:rsid w:val="00D71613"/>
    <w:rsid w:val="00D717C6"/>
    <w:rsid w:val="00D724DD"/>
    <w:rsid w:val="00D7305F"/>
    <w:rsid w:val="00D75B6F"/>
    <w:rsid w:val="00D76461"/>
    <w:rsid w:val="00D76C80"/>
    <w:rsid w:val="00D778EB"/>
    <w:rsid w:val="00D77959"/>
    <w:rsid w:val="00D77BDB"/>
    <w:rsid w:val="00D814A8"/>
    <w:rsid w:val="00D8236B"/>
    <w:rsid w:val="00D82C28"/>
    <w:rsid w:val="00D82F07"/>
    <w:rsid w:val="00D83081"/>
    <w:rsid w:val="00D83D9D"/>
    <w:rsid w:val="00D8420B"/>
    <w:rsid w:val="00D84939"/>
    <w:rsid w:val="00D84C6A"/>
    <w:rsid w:val="00D85613"/>
    <w:rsid w:val="00D86F76"/>
    <w:rsid w:val="00D87B46"/>
    <w:rsid w:val="00D87FC6"/>
    <w:rsid w:val="00D90321"/>
    <w:rsid w:val="00D9130E"/>
    <w:rsid w:val="00D9184C"/>
    <w:rsid w:val="00D9278A"/>
    <w:rsid w:val="00D92A6B"/>
    <w:rsid w:val="00D92B19"/>
    <w:rsid w:val="00D932EF"/>
    <w:rsid w:val="00D94054"/>
    <w:rsid w:val="00D94647"/>
    <w:rsid w:val="00D94A34"/>
    <w:rsid w:val="00D94DA7"/>
    <w:rsid w:val="00D957D5"/>
    <w:rsid w:val="00D970ED"/>
    <w:rsid w:val="00D973D6"/>
    <w:rsid w:val="00D97598"/>
    <w:rsid w:val="00D97B2E"/>
    <w:rsid w:val="00DA01A3"/>
    <w:rsid w:val="00DA117B"/>
    <w:rsid w:val="00DA1908"/>
    <w:rsid w:val="00DA30AF"/>
    <w:rsid w:val="00DA378C"/>
    <w:rsid w:val="00DA3EA3"/>
    <w:rsid w:val="00DA435B"/>
    <w:rsid w:val="00DA4879"/>
    <w:rsid w:val="00DA4B42"/>
    <w:rsid w:val="00DA509F"/>
    <w:rsid w:val="00DA52D9"/>
    <w:rsid w:val="00DA5597"/>
    <w:rsid w:val="00DA5DD1"/>
    <w:rsid w:val="00DA758D"/>
    <w:rsid w:val="00DB078F"/>
    <w:rsid w:val="00DB0842"/>
    <w:rsid w:val="00DB101B"/>
    <w:rsid w:val="00DB11AF"/>
    <w:rsid w:val="00DB18F3"/>
    <w:rsid w:val="00DB1A14"/>
    <w:rsid w:val="00DB1DF8"/>
    <w:rsid w:val="00DB33F3"/>
    <w:rsid w:val="00DB3DD9"/>
    <w:rsid w:val="00DB461A"/>
    <w:rsid w:val="00DB4D17"/>
    <w:rsid w:val="00DB567A"/>
    <w:rsid w:val="00DB56A5"/>
    <w:rsid w:val="00DB6128"/>
    <w:rsid w:val="00DB6A59"/>
    <w:rsid w:val="00DB77EC"/>
    <w:rsid w:val="00DB7816"/>
    <w:rsid w:val="00DB7AAD"/>
    <w:rsid w:val="00DB7E82"/>
    <w:rsid w:val="00DC10F6"/>
    <w:rsid w:val="00DC12F0"/>
    <w:rsid w:val="00DC1376"/>
    <w:rsid w:val="00DC18AF"/>
    <w:rsid w:val="00DC198F"/>
    <w:rsid w:val="00DC22E1"/>
    <w:rsid w:val="00DC367B"/>
    <w:rsid w:val="00DC39A3"/>
    <w:rsid w:val="00DC39B8"/>
    <w:rsid w:val="00DC3D28"/>
    <w:rsid w:val="00DC4696"/>
    <w:rsid w:val="00DC64F6"/>
    <w:rsid w:val="00DC689B"/>
    <w:rsid w:val="00DC69D7"/>
    <w:rsid w:val="00DC6E7A"/>
    <w:rsid w:val="00DC7AF0"/>
    <w:rsid w:val="00DD0213"/>
    <w:rsid w:val="00DD03CA"/>
    <w:rsid w:val="00DD09C1"/>
    <w:rsid w:val="00DD1244"/>
    <w:rsid w:val="00DD152F"/>
    <w:rsid w:val="00DD1AF3"/>
    <w:rsid w:val="00DD2228"/>
    <w:rsid w:val="00DD3142"/>
    <w:rsid w:val="00DD3325"/>
    <w:rsid w:val="00DD3B45"/>
    <w:rsid w:val="00DD4102"/>
    <w:rsid w:val="00DD4493"/>
    <w:rsid w:val="00DD463C"/>
    <w:rsid w:val="00DD57CF"/>
    <w:rsid w:val="00DD725C"/>
    <w:rsid w:val="00DD7534"/>
    <w:rsid w:val="00DD7B9E"/>
    <w:rsid w:val="00DD7CB6"/>
    <w:rsid w:val="00DE0D96"/>
    <w:rsid w:val="00DE194F"/>
    <w:rsid w:val="00DE1C55"/>
    <w:rsid w:val="00DE1E77"/>
    <w:rsid w:val="00DE23E9"/>
    <w:rsid w:val="00DE2A77"/>
    <w:rsid w:val="00DE2D8D"/>
    <w:rsid w:val="00DE2FCD"/>
    <w:rsid w:val="00DE3585"/>
    <w:rsid w:val="00DE363C"/>
    <w:rsid w:val="00DE3BB2"/>
    <w:rsid w:val="00DE3DAA"/>
    <w:rsid w:val="00DE42C6"/>
    <w:rsid w:val="00DE4ACF"/>
    <w:rsid w:val="00DE5826"/>
    <w:rsid w:val="00DE5D8A"/>
    <w:rsid w:val="00DE67D7"/>
    <w:rsid w:val="00DE6A7A"/>
    <w:rsid w:val="00DE6C56"/>
    <w:rsid w:val="00DE6CCA"/>
    <w:rsid w:val="00DE77B0"/>
    <w:rsid w:val="00DE789B"/>
    <w:rsid w:val="00DE7FE4"/>
    <w:rsid w:val="00DF3943"/>
    <w:rsid w:val="00DF4928"/>
    <w:rsid w:val="00DF4DFC"/>
    <w:rsid w:val="00DF528D"/>
    <w:rsid w:val="00DF5832"/>
    <w:rsid w:val="00DF6324"/>
    <w:rsid w:val="00DF7051"/>
    <w:rsid w:val="00DF7097"/>
    <w:rsid w:val="00DF7413"/>
    <w:rsid w:val="00E006D8"/>
    <w:rsid w:val="00E00EF1"/>
    <w:rsid w:val="00E00FE7"/>
    <w:rsid w:val="00E01F08"/>
    <w:rsid w:val="00E0588A"/>
    <w:rsid w:val="00E0625C"/>
    <w:rsid w:val="00E062A3"/>
    <w:rsid w:val="00E0679A"/>
    <w:rsid w:val="00E0735C"/>
    <w:rsid w:val="00E07485"/>
    <w:rsid w:val="00E07A08"/>
    <w:rsid w:val="00E07DC8"/>
    <w:rsid w:val="00E10F89"/>
    <w:rsid w:val="00E117B7"/>
    <w:rsid w:val="00E12571"/>
    <w:rsid w:val="00E12B63"/>
    <w:rsid w:val="00E13C32"/>
    <w:rsid w:val="00E166C0"/>
    <w:rsid w:val="00E17673"/>
    <w:rsid w:val="00E206B7"/>
    <w:rsid w:val="00E2139E"/>
    <w:rsid w:val="00E21997"/>
    <w:rsid w:val="00E21AA2"/>
    <w:rsid w:val="00E247FC"/>
    <w:rsid w:val="00E24813"/>
    <w:rsid w:val="00E2596B"/>
    <w:rsid w:val="00E25CEF"/>
    <w:rsid w:val="00E25DF2"/>
    <w:rsid w:val="00E2714F"/>
    <w:rsid w:val="00E2791C"/>
    <w:rsid w:val="00E30592"/>
    <w:rsid w:val="00E30F4A"/>
    <w:rsid w:val="00E31457"/>
    <w:rsid w:val="00E31EFC"/>
    <w:rsid w:val="00E324E7"/>
    <w:rsid w:val="00E326B8"/>
    <w:rsid w:val="00E33A3E"/>
    <w:rsid w:val="00E3405E"/>
    <w:rsid w:val="00E35190"/>
    <w:rsid w:val="00E35661"/>
    <w:rsid w:val="00E35E6C"/>
    <w:rsid w:val="00E3614B"/>
    <w:rsid w:val="00E362BD"/>
    <w:rsid w:val="00E3657D"/>
    <w:rsid w:val="00E3720F"/>
    <w:rsid w:val="00E37235"/>
    <w:rsid w:val="00E40C66"/>
    <w:rsid w:val="00E40CC9"/>
    <w:rsid w:val="00E4265D"/>
    <w:rsid w:val="00E43776"/>
    <w:rsid w:val="00E447E6"/>
    <w:rsid w:val="00E450A0"/>
    <w:rsid w:val="00E45103"/>
    <w:rsid w:val="00E45287"/>
    <w:rsid w:val="00E4559D"/>
    <w:rsid w:val="00E4648D"/>
    <w:rsid w:val="00E46CBB"/>
    <w:rsid w:val="00E46DA0"/>
    <w:rsid w:val="00E46EEB"/>
    <w:rsid w:val="00E46FF5"/>
    <w:rsid w:val="00E50AB3"/>
    <w:rsid w:val="00E514A7"/>
    <w:rsid w:val="00E51FCE"/>
    <w:rsid w:val="00E521F6"/>
    <w:rsid w:val="00E52281"/>
    <w:rsid w:val="00E52306"/>
    <w:rsid w:val="00E524CC"/>
    <w:rsid w:val="00E52A4B"/>
    <w:rsid w:val="00E536F5"/>
    <w:rsid w:val="00E53A49"/>
    <w:rsid w:val="00E54541"/>
    <w:rsid w:val="00E54FD3"/>
    <w:rsid w:val="00E55BEE"/>
    <w:rsid w:val="00E56641"/>
    <w:rsid w:val="00E56B7A"/>
    <w:rsid w:val="00E57056"/>
    <w:rsid w:val="00E575B3"/>
    <w:rsid w:val="00E57E8E"/>
    <w:rsid w:val="00E60E23"/>
    <w:rsid w:val="00E60EFD"/>
    <w:rsid w:val="00E611CD"/>
    <w:rsid w:val="00E6183F"/>
    <w:rsid w:val="00E62BED"/>
    <w:rsid w:val="00E63366"/>
    <w:rsid w:val="00E63667"/>
    <w:rsid w:val="00E637F2"/>
    <w:rsid w:val="00E63DCD"/>
    <w:rsid w:val="00E63F19"/>
    <w:rsid w:val="00E63F62"/>
    <w:rsid w:val="00E64014"/>
    <w:rsid w:val="00E6456D"/>
    <w:rsid w:val="00E649F7"/>
    <w:rsid w:val="00E65051"/>
    <w:rsid w:val="00E6529A"/>
    <w:rsid w:val="00E659BA"/>
    <w:rsid w:val="00E65DBE"/>
    <w:rsid w:val="00E6601B"/>
    <w:rsid w:val="00E66B54"/>
    <w:rsid w:val="00E67767"/>
    <w:rsid w:val="00E6787D"/>
    <w:rsid w:val="00E70049"/>
    <w:rsid w:val="00E71766"/>
    <w:rsid w:val="00E71E7E"/>
    <w:rsid w:val="00E727D7"/>
    <w:rsid w:val="00E72BEE"/>
    <w:rsid w:val="00E72D5D"/>
    <w:rsid w:val="00E72F0A"/>
    <w:rsid w:val="00E72F48"/>
    <w:rsid w:val="00E7369A"/>
    <w:rsid w:val="00E739A3"/>
    <w:rsid w:val="00E7442D"/>
    <w:rsid w:val="00E74886"/>
    <w:rsid w:val="00E74DB8"/>
    <w:rsid w:val="00E75262"/>
    <w:rsid w:val="00E75864"/>
    <w:rsid w:val="00E76654"/>
    <w:rsid w:val="00E76D14"/>
    <w:rsid w:val="00E77526"/>
    <w:rsid w:val="00E77729"/>
    <w:rsid w:val="00E8049B"/>
    <w:rsid w:val="00E80EB1"/>
    <w:rsid w:val="00E82B95"/>
    <w:rsid w:val="00E83A28"/>
    <w:rsid w:val="00E83A6D"/>
    <w:rsid w:val="00E84292"/>
    <w:rsid w:val="00E847B0"/>
    <w:rsid w:val="00E85834"/>
    <w:rsid w:val="00E85A66"/>
    <w:rsid w:val="00E8602A"/>
    <w:rsid w:val="00E860F7"/>
    <w:rsid w:val="00E8738D"/>
    <w:rsid w:val="00E87C08"/>
    <w:rsid w:val="00E87F54"/>
    <w:rsid w:val="00E90178"/>
    <w:rsid w:val="00E90758"/>
    <w:rsid w:val="00E917F9"/>
    <w:rsid w:val="00E926A0"/>
    <w:rsid w:val="00E92BF9"/>
    <w:rsid w:val="00E931A3"/>
    <w:rsid w:val="00E93A24"/>
    <w:rsid w:val="00E93DC3"/>
    <w:rsid w:val="00E9425E"/>
    <w:rsid w:val="00E94C1A"/>
    <w:rsid w:val="00E957BE"/>
    <w:rsid w:val="00E960DA"/>
    <w:rsid w:val="00E9641C"/>
    <w:rsid w:val="00E96D48"/>
    <w:rsid w:val="00E9730C"/>
    <w:rsid w:val="00EA09EE"/>
    <w:rsid w:val="00EA1A27"/>
    <w:rsid w:val="00EA2D5C"/>
    <w:rsid w:val="00EA2DD6"/>
    <w:rsid w:val="00EA2F0C"/>
    <w:rsid w:val="00EA3669"/>
    <w:rsid w:val="00EA382C"/>
    <w:rsid w:val="00EA3FDF"/>
    <w:rsid w:val="00EA441A"/>
    <w:rsid w:val="00EA4737"/>
    <w:rsid w:val="00EA47CE"/>
    <w:rsid w:val="00EA4A26"/>
    <w:rsid w:val="00EA626C"/>
    <w:rsid w:val="00EA6972"/>
    <w:rsid w:val="00EA6C46"/>
    <w:rsid w:val="00EB0C68"/>
    <w:rsid w:val="00EB275F"/>
    <w:rsid w:val="00EB322B"/>
    <w:rsid w:val="00EB331F"/>
    <w:rsid w:val="00EB33CC"/>
    <w:rsid w:val="00EB47BB"/>
    <w:rsid w:val="00EB5008"/>
    <w:rsid w:val="00EB5B51"/>
    <w:rsid w:val="00EB609B"/>
    <w:rsid w:val="00EB63D1"/>
    <w:rsid w:val="00EB6856"/>
    <w:rsid w:val="00EB6909"/>
    <w:rsid w:val="00EB6ED2"/>
    <w:rsid w:val="00EC067A"/>
    <w:rsid w:val="00EC0755"/>
    <w:rsid w:val="00EC1699"/>
    <w:rsid w:val="00EC18B2"/>
    <w:rsid w:val="00EC18DA"/>
    <w:rsid w:val="00EC31E7"/>
    <w:rsid w:val="00EC3207"/>
    <w:rsid w:val="00EC4206"/>
    <w:rsid w:val="00EC43DF"/>
    <w:rsid w:val="00EC47AA"/>
    <w:rsid w:val="00EC47EA"/>
    <w:rsid w:val="00EC4FC2"/>
    <w:rsid w:val="00EC5548"/>
    <w:rsid w:val="00EC5ABA"/>
    <w:rsid w:val="00EC620D"/>
    <w:rsid w:val="00EC663E"/>
    <w:rsid w:val="00ED0217"/>
    <w:rsid w:val="00ED0568"/>
    <w:rsid w:val="00ED114F"/>
    <w:rsid w:val="00ED3208"/>
    <w:rsid w:val="00ED33D5"/>
    <w:rsid w:val="00ED37D4"/>
    <w:rsid w:val="00ED524A"/>
    <w:rsid w:val="00ED5923"/>
    <w:rsid w:val="00ED5B42"/>
    <w:rsid w:val="00ED5BFF"/>
    <w:rsid w:val="00ED68FF"/>
    <w:rsid w:val="00ED6B8C"/>
    <w:rsid w:val="00ED794D"/>
    <w:rsid w:val="00ED7F15"/>
    <w:rsid w:val="00EE0C2C"/>
    <w:rsid w:val="00EE0EB1"/>
    <w:rsid w:val="00EE17B1"/>
    <w:rsid w:val="00EE197E"/>
    <w:rsid w:val="00EE26A9"/>
    <w:rsid w:val="00EE30E1"/>
    <w:rsid w:val="00EE495C"/>
    <w:rsid w:val="00EE4E12"/>
    <w:rsid w:val="00EE56AD"/>
    <w:rsid w:val="00EE5B62"/>
    <w:rsid w:val="00EE5EAE"/>
    <w:rsid w:val="00EE679E"/>
    <w:rsid w:val="00EE6917"/>
    <w:rsid w:val="00EE703F"/>
    <w:rsid w:val="00EE7A9F"/>
    <w:rsid w:val="00EF0129"/>
    <w:rsid w:val="00EF0198"/>
    <w:rsid w:val="00EF0A24"/>
    <w:rsid w:val="00EF0BEC"/>
    <w:rsid w:val="00EF10ED"/>
    <w:rsid w:val="00EF15D1"/>
    <w:rsid w:val="00EF1D2F"/>
    <w:rsid w:val="00EF260A"/>
    <w:rsid w:val="00EF27FC"/>
    <w:rsid w:val="00EF3487"/>
    <w:rsid w:val="00EF42AF"/>
    <w:rsid w:val="00EF493C"/>
    <w:rsid w:val="00EF499B"/>
    <w:rsid w:val="00EF55AD"/>
    <w:rsid w:val="00EF5B61"/>
    <w:rsid w:val="00EF6479"/>
    <w:rsid w:val="00EF6E88"/>
    <w:rsid w:val="00F011F6"/>
    <w:rsid w:val="00F0131F"/>
    <w:rsid w:val="00F0179D"/>
    <w:rsid w:val="00F01C2E"/>
    <w:rsid w:val="00F0270F"/>
    <w:rsid w:val="00F027AE"/>
    <w:rsid w:val="00F027C5"/>
    <w:rsid w:val="00F02A15"/>
    <w:rsid w:val="00F02C24"/>
    <w:rsid w:val="00F030BF"/>
    <w:rsid w:val="00F03287"/>
    <w:rsid w:val="00F0398C"/>
    <w:rsid w:val="00F03D84"/>
    <w:rsid w:val="00F0411F"/>
    <w:rsid w:val="00F04217"/>
    <w:rsid w:val="00F043C2"/>
    <w:rsid w:val="00F05102"/>
    <w:rsid w:val="00F05A94"/>
    <w:rsid w:val="00F05CFA"/>
    <w:rsid w:val="00F06275"/>
    <w:rsid w:val="00F06F12"/>
    <w:rsid w:val="00F0777A"/>
    <w:rsid w:val="00F07A41"/>
    <w:rsid w:val="00F10744"/>
    <w:rsid w:val="00F11649"/>
    <w:rsid w:val="00F133D7"/>
    <w:rsid w:val="00F13BF1"/>
    <w:rsid w:val="00F147F4"/>
    <w:rsid w:val="00F1543D"/>
    <w:rsid w:val="00F15926"/>
    <w:rsid w:val="00F16142"/>
    <w:rsid w:val="00F1618B"/>
    <w:rsid w:val="00F16BCD"/>
    <w:rsid w:val="00F1722B"/>
    <w:rsid w:val="00F175B0"/>
    <w:rsid w:val="00F17941"/>
    <w:rsid w:val="00F205B6"/>
    <w:rsid w:val="00F2196D"/>
    <w:rsid w:val="00F21A42"/>
    <w:rsid w:val="00F22094"/>
    <w:rsid w:val="00F2357A"/>
    <w:rsid w:val="00F2537E"/>
    <w:rsid w:val="00F26512"/>
    <w:rsid w:val="00F26DA2"/>
    <w:rsid w:val="00F273EC"/>
    <w:rsid w:val="00F30A6E"/>
    <w:rsid w:val="00F30AF6"/>
    <w:rsid w:val="00F30D07"/>
    <w:rsid w:val="00F319B5"/>
    <w:rsid w:val="00F322EB"/>
    <w:rsid w:val="00F32909"/>
    <w:rsid w:val="00F32F2F"/>
    <w:rsid w:val="00F331BB"/>
    <w:rsid w:val="00F332FD"/>
    <w:rsid w:val="00F33678"/>
    <w:rsid w:val="00F33A94"/>
    <w:rsid w:val="00F34800"/>
    <w:rsid w:val="00F34CDC"/>
    <w:rsid w:val="00F352DF"/>
    <w:rsid w:val="00F3575F"/>
    <w:rsid w:val="00F358CD"/>
    <w:rsid w:val="00F35A3D"/>
    <w:rsid w:val="00F36515"/>
    <w:rsid w:val="00F36806"/>
    <w:rsid w:val="00F36E3B"/>
    <w:rsid w:val="00F3700D"/>
    <w:rsid w:val="00F374BB"/>
    <w:rsid w:val="00F405FB"/>
    <w:rsid w:val="00F40AF7"/>
    <w:rsid w:val="00F410FC"/>
    <w:rsid w:val="00F412F3"/>
    <w:rsid w:val="00F4152E"/>
    <w:rsid w:val="00F41711"/>
    <w:rsid w:val="00F4198E"/>
    <w:rsid w:val="00F43424"/>
    <w:rsid w:val="00F435F6"/>
    <w:rsid w:val="00F439EC"/>
    <w:rsid w:val="00F4422C"/>
    <w:rsid w:val="00F44872"/>
    <w:rsid w:val="00F44A92"/>
    <w:rsid w:val="00F46395"/>
    <w:rsid w:val="00F46408"/>
    <w:rsid w:val="00F466B4"/>
    <w:rsid w:val="00F47073"/>
    <w:rsid w:val="00F471D0"/>
    <w:rsid w:val="00F473E4"/>
    <w:rsid w:val="00F474AE"/>
    <w:rsid w:val="00F47774"/>
    <w:rsid w:val="00F5074C"/>
    <w:rsid w:val="00F515D4"/>
    <w:rsid w:val="00F54AF1"/>
    <w:rsid w:val="00F55D4B"/>
    <w:rsid w:val="00F56604"/>
    <w:rsid w:val="00F5700C"/>
    <w:rsid w:val="00F577DE"/>
    <w:rsid w:val="00F579F5"/>
    <w:rsid w:val="00F57A3A"/>
    <w:rsid w:val="00F60B9D"/>
    <w:rsid w:val="00F61220"/>
    <w:rsid w:val="00F62954"/>
    <w:rsid w:val="00F62B0D"/>
    <w:rsid w:val="00F6346A"/>
    <w:rsid w:val="00F63AEC"/>
    <w:rsid w:val="00F6488D"/>
    <w:rsid w:val="00F64DD0"/>
    <w:rsid w:val="00F676AC"/>
    <w:rsid w:val="00F67790"/>
    <w:rsid w:val="00F67C8F"/>
    <w:rsid w:val="00F702FD"/>
    <w:rsid w:val="00F711BB"/>
    <w:rsid w:val="00F71AD0"/>
    <w:rsid w:val="00F71DEC"/>
    <w:rsid w:val="00F7348B"/>
    <w:rsid w:val="00F73633"/>
    <w:rsid w:val="00F73A2C"/>
    <w:rsid w:val="00F73A2E"/>
    <w:rsid w:val="00F73DC7"/>
    <w:rsid w:val="00F742A6"/>
    <w:rsid w:val="00F74835"/>
    <w:rsid w:val="00F749AC"/>
    <w:rsid w:val="00F74E92"/>
    <w:rsid w:val="00F75E68"/>
    <w:rsid w:val="00F76387"/>
    <w:rsid w:val="00F76CF8"/>
    <w:rsid w:val="00F77257"/>
    <w:rsid w:val="00F77B98"/>
    <w:rsid w:val="00F77BF8"/>
    <w:rsid w:val="00F77EB4"/>
    <w:rsid w:val="00F80762"/>
    <w:rsid w:val="00F810AE"/>
    <w:rsid w:val="00F81BAC"/>
    <w:rsid w:val="00F82363"/>
    <w:rsid w:val="00F82C13"/>
    <w:rsid w:val="00F8381C"/>
    <w:rsid w:val="00F83A7E"/>
    <w:rsid w:val="00F841F4"/>
    <w:rsid w:val="00F8504C"/>
    <w:rsid w:val="00F856E9"/>
    <w:rsid w:val="00F85911"/>
    <w:rsid w:val="00F85C8B"/>
    <w:rsid w:val="00F860E4"/>
    <w:rsid w:val="00F865F6"/>
    <w:rsid w:val="00F867D3"/>
    <w:rsid w:val="00F86F11"/>
    <w:rsid w:val="00F871C4"/>
    <w:rsid w:val="00F900A3"/>
    <w:rsid w:val="00F90A1A"/>
    <w:rsid w:val="00F91C5C"/>
    <w:rsid w:val="00F91ECF"/>
    <w:rsid w:val="00F92D31"/>
    <w:rsid w:val="00F92D33"/>
    <w:rsid w:val="00F92E6A"/>
    <w:rsid w:val="00F93505"/>
    <w:rsid w:val="00F935FE"/>
    <w:rsid w:val="00F938A0"/>
    <w:rsid w:val="00F93F64"/>
    <w:rsid w:val="00F941CC"/>
    <w:rsid w:val="00F95056"/>
    <w:rsid w:val="00F9514D"/>
    <w:rsid w:val="00F95831"/>
    <w:rsid w:val="00F97336"/>
    <w:rsid w:val="00F97A95"/>
    <w:rsid w:val="00FA00A7"/>
    <w:rsid w:val="00FA1BD7"/>
    <w:rsid w:val="00FA1E8C"/>
    <w:rsid w:val="00FA2303"/>
    <w:rsid w:val="00FA28D3"/>
    <w:rsid w:val="00FA352C"/>
    <w:rsid w:val="00FA3670"/>
    <w:rsid w:val="00FA3D9D"/>
    <w:rsid w:val="00FA3F59"/>
    <w:rsid w:val="00FA4C2C"/>
    <w:rsid w:val="00FA4EE3"/>
    <w:rsid w:val="00FA559C"/>
    <w:rsid w:val="00FA6ACB"/>
    <w:rsid w:val="00FA7335"/>
    <w:rsid w:val="00FA7433"/>
    <w:rsid w:val="00FA7AB7"/>
    <w:rsid w:val="00FA7B07"/>
    <w:rsid w:val="00FB00AF"/>
    <w:rsid w:val="00FB023F"/>
    <w:rsid w:val="00FB054B"/>
    <w:rsid w:val="00FB0AC3"/>
    <w:rsid w:val="00FB0EF1"/>
    <w:rsid w:val="00FB3340"/>
    <w:rsid w:val="00FB36C2"/>
    <w:rsid w:val="00FB3ACA"/>
    <w:rsid w:val="00FB4742"/>
    <w:rsid w:val="00FB4BC6"/>
    <w:rsid w:val="00FB53A6"/>
    <w:rsid w:val="00FB56EF"/>
    <w:rsid w:val="00FB5A9E"/>
    <w:rsid w:val="00FB5D06"/>
    <w:rsid w:val="00FB5E3C"/>
    <w:rsid w:val="00FB5EF7"/>
    <w:rsid w:val="00FB665A"/>
    <w:rsid w:val="00FB6BBE"/>
    <w:rsid w:val="00FB704A"/>
    <w:rsid w:val="00FB713E"/>
    <w:rsid w:val="00FB75AD"/>
    <w:rsid w:val="00FC0D75"/>
    <w:rsid w:val="00FC0EA2"/>
    <w:rsid w:val="00FC1246"/>
    <w:rsid w:val="00FC14AB"/>
    <w:rsid w:val="00FC21A9"/>
    <w:rsid w:val="00FC2C13"/>
    <w:rsid w:val="00FC2ED5"/>
    <w:rsid w:val="00FC387B"/>
    <w:rsid w:val="00FC396F"/>
    <w:rsid w:val="00FC39FE"/>
    <w:rsid w:val="00FC3F1C"/>
    <w:rsid w:val="00FC401E"/>
    <w:rsid w:val="00FC5620"/>
    <w:rsid w:val="00FC6168"/>
    <w:rsid w:val="00FC6B7A"/>
    <w:rsid w:val="00FC6FD3"/>
    <w:rsid w:val="00FC712E"/>
    <w:rsid w:val="00FC7C3C"/>
    <w:rsid w:val="00FD0126"/>
    <w:rsid w:val="00FD0506"/>
    <w:rsid w:val="00FD06D4"/>
    <w:rsid w:val="00FD092F"/>
    <w:rsid w:val="00FD0EB6"/>
    <w:rsid w:val="00FD1377"/>
    <w:rsid w:val="00FD2E40"/>
    <w:rsid w:val="00FD2F50"/>
    <w:rsid w:val="00FD2FF7"/>
    <w:rsid w:val="00FD3947"/>
    <w:rsid w:val="00FD3AAA"/>
    <w:rsid w:val="00FD3DFD"/>
    <w:rsid w:val="00FD451F"/>
    <w:rsid w:val="00FD4607"/>
    <w:rsid w:val="00FD4D77"/>
    <w:rsid w:val="00FD504E"/>
    <w:rsid w:val="00FD51B8"/>
    <w:rsid w:val="00FD64D3"/>
    <w:rsid w:val="00FD7A40"/>
    <w:rsid w:val="00FD7FE7"/>
    <w:rsid w:val="00FE205A"/>
    <w:rsid w:val="00FE215B"/>
    <w:rsid w:val="00FE282E"/>
    <w:rsid w:val="00FE40C5"/>
    <w:rsid w:val="00FE44E2"/>
    <w:rsid w:val="00FE4DA2"/>
    <w:rsid w:val="00FE584D"/>
    <w:rsid w:val="00FE6601"/>
    <w:rsid w:val="00FE69F0"/>
    <w:rsid w:val="00FE6BED"/>
    <w:rsid w:val="00FE79AE"/>
    <w:rsid w:val="00FE7FCE"/>
    <w:rsid w:val="00FF0013"/>
    <w:rsid w:val="00FF01E5"/>
    <w:rsid w:val="00FF04C9"/>
    <w:rsid w:val="00FF05CE"/>
    <w:rsid w:val="00FF337B"/>
    <w:rsid w:val="00FF3D44"/>
    <w:rsid w:val="00FF3E16"/>
    <w:rsid w:val="00FF3FB9"/>
    <w:rsid w:val="00FF43AF"/>
    <w:rsid w:val="00FF4414"/>
    <w:rsid w:val="00FF4765"/>
    <w:rsid w:val="00FF59E6"/>
    <w:rsid w:val="00FF6F2E"/>
    <w:rsid w:val="00FF73C9"/>
    <w:rsid w:val="01265251"/>
    <w:rsid w:val="02222BDB"/>
    <w:rsid w:val="03092820"/>
    <w:rsid w:val="03590C54"/>
    <w:rsid w:val="03B92870"/>
    <w:rsid w:val="03C13019"/>
    <w:rsid w:val="03F02040"/>
    <w:rsid w:val="051F776E"/>
    <w:rsid w:val="06A72774"/>
    <w:rsid w:val="0A7F7982"/>
    <w:rsid w:val="0A8B0080"/>
    <w:rsid w:val="0C201F52"/>
    <w:rsid w:val="0E76345F"/>
    <w:rsid w:val="0EE83C31"/>
    <w:rsid w:val="0FE75325"/>
    <w:rsid w:val="108B3005"/>
    <w:rsid w:val="119A7465"/>
    <w:rsid w:val="13147BCC"/>
    <w:rsid w:val="13513F88"/>
    <w:rsid w:val="13546021"/>
    <w:rsid w:val="15205ED3"/>
    <w:rsid w:val="15F73FAF"/>
    <w:rsid w:val="16CF7BB0"/>
    <w:rsid w:val="17D44919"/>
    <w:rsid w:val="19C40760"/>
    <w:rsid w:val="19DD21EC"/>
    <w:rsid w:val="1AFA5EC6"/>
    <w:rsid w:val="1BAC3E3E"/>
    <w:rsid w:val="1BDE03EF"/>
    <w:rsid w:val="1C372233"/>
    <w:rsid w:val="1C430BF5"/>
    <w:rsid w:val="1D3407D2"/>
    <w:rsid w:val="1FF861EE"/>
    <w:rsid w:val="210B6095"/>
    <w:rsid w:val="212C79B0"/>
    <w:rsid w:val="225C0E26"/>
    <w:rsid w:val="23682A13"/>
    <w:rsid w:val="2370706A"/>
    <w:rsid w:val="240224DB"/>
    <w:rsid w:val="25D431B4"/>
    <w:rsid w:val="26C90920"/>
    <w:rsid w:val="27773922"/>
    <w:rsid w:val="2784362E"/>
    <w:rsid w:val="28EB2DDD"/>
    <w:rsid w:val="29C4125E"/>
    <w:rsid w:val="29DF34E3"/>
    <w:rsid w:val="2A21651D"/>
    <w:rsid w:val="2B683CD8"/>
    <w:rsid w:val="2BAC5D42"/>
    <w:rsid w:val="2C697D08"/>
    <w:rsid w:val="2C7F0052"/>
    <w:rsid w:val="2CA32D27"/>
    <w:rsid w:val="2DF93648"/>
    <w:rsid w:val="2EAD09B7"/>
    <w:rsid w:val="2F485362"/>
    <w:rsid w:val="2FAE3612"/>
    <w:rsid w:val="307F49A0"/>
    <w:rsid w:val="31B56285"/>
    <w:rsid w:val="326E1BF0"/>
    <w:rsid w:val="32982B45"/>
    <w:rsid w:val="33316C94"/>
    <w:rsid w:val="333A0B2D"/>
    <w:rsid w:val="36850158"/>
    <w:rsid w:val="37CA0DB4"/>
    <w:rsid w:val="37DE3C9F"/>
    <w:rsid w:val="389C0F00"/>
    <w:rsid w:val="38CC549E"/>
    <w:rsid w:val="391216F8"/>
    <w:rsid w:val="3979539F"/>
    <w:rsid w:val="39DE2A18"/>
    <w:rsid w:val="3AF0581D"/>
    <w:rsid w:val="3BFB745E"/>
    <w:rsid w:val="3D2864D6"/>
    <w:rsid w:val="3DC35A2E"/>
    <w:rsid w:val="3F3C4DFA"/>
    <w:rsid w:val="3FE45BCB"/>
    <w:rsid w:val="40670DFF"/>
    <w:rsid w:val="40DE086C"/>
    <w:rsid w:val="41347C9D"/>
    <w:rsid w:val="418A097F"/>
    <w:rsid w:val="42AE24C0"/>
    <w:rsid w:val="42D02C1F"/>
    <w:rsid w:val="43F556DD"/>
    <w:rsid w:val="444C4518"/>
    <w:rsid w:val="461E56E6"/>
    <w:rsid w:val="462141D2"/>
    <w:rsid w:val="48801B42"/>
    <w:rsid w:val="4AB51E70"/>
    <w:rsid w:val="4B0416D1"/>
    <w:rsid w:val="4D3E7B3B"/>
    <w:rsid w:val="4EC45CDB"/>
    <w:rsid w:val="4F552641"/>
    <w:rsid w:val="4F9219CB"/>
    <w:rsid w:val="4FA56CE7"/>
    <w:rsid w:val="50402779"/>
    <w:rsid w:val="50CE7A9A"/>
    <w:rsid w:val="51280806"/>
    <w:rsid w:val="51C95CC2"/>
    <w:rsid w:val="52175C7F"/>
    <w:rsid w:val="54374116"/>
    <w:rsid w:val="55511345"/>
    <w:rsid w:val="55972B21"/>
    <w:rsid w:val="56ED4312"/>
    <w:rsid w:val="5806664A"/>
    <w:rsid w:val="586531C1"/>
    <w:rsid w:val="59316D82"/>
    <w:rsid w:val="59F00983"/>
    <w:rsid w:val="5A00394B"/>
    <w:rsid w:val="5D0A7F01"/>
    <w:rsid w:val="5E2C38B5"/>
    <w:rsid w:val="5F5046EA"/>
    <w:rsid w:val="5F7B559A"/>
    <w:rsid w:val="5FAE6A89"/>
    <w:rsid w:val="607F1C11"/>
    <w:rsid w:val="623644AE"/>
    <w:rsid w:val="62CF08F6"/>
    <w:rsid w:val="6376489E"/>
    <w:rsid w:val="63B429E0"/>
    <w:rsid w:val="63F32673"/>
    <w:rsid w:val="63FC4110"/>
    <w:rsid w:val="64C5374E"/>
    <w:rsid w:val="65A847F6"/>
    <w:rsid w:val="666C0BC1"/>
    <w:rsid w:val="66B4565D"/>
    <w:rsid w:val="671644FE"/>
    <w:rsid w:val="68A95B1B"/>
    <w:rsid w:val="695F3BF8"/>
    <w:rsid w:val="69F37F30"/>
    <w:rsid w:val="6A7D6CB0"/>
    <w:rsid w:val="6B644D9B"/>
    <w:rsid w:val="6CE82CC6"/>
    <w:rsid w:val="6CF97974"/>
    <w:rsid w:val="6D6376D2"/>
    <w:rsid w:val="6D680E41"/>
    <w:rsid w:val="6F541B76"/>
    <w:rsid w:val="70350A2D"/>
    <w:rsid w:val="7166291F"/>
    <w:rsid w:val="71F333D4"/>
    <w:rsid w:val="72064C5A"/>
    <w:rsid w:val="72433380"/>
    <w:rsid w:val="72F44027"/>
    <w:rsid w:val="736D3DE7"/>
    <w:rsid w:val="736D771B"/>
    <w:rsid w:val="73E15F5C"/>
    <w:rsid w:val="74D75104"/>
    <w:rsid w:val="75986BF5"/>
    <w:rsid w:val="760746EF"/>
    <w:rsid w:val="764F50F8"/>
    <w:rsid w:val="772160A3"/>
    <w:rsid w:val="774F1348"/>
    <w:rsid w:val="77CB2B75"/>
    <w:rsid w:val="789363D6"/>
    <w:rsid w:val="78960636"/>
    <w:rsid w:val="79A369DD"/>
    <w:rsid w:val="79CB512B"/>
    <w:rsid w:val="7AF5552E"/>
    <w:rsid w:val="7CDE290A"/>
    <w:rsid w:val="7CF46D37"/>
    <w:rsid w:val="7D1C7D59"/>
    <w:rsid w:val="7D674CEC"/>
    <w:rsid w:val="7DE37223"/>
    <w:rsid w:val="7E6E1FFC"/>
    <w:rsid w:val="7EC12882"/>
    <w:rsid w:val="7F32355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nhideWhenUsed="0" w:uiPriority="0" w:semiHidden="0" w:name="annotation text"/>
    <w:lsdException w:qFormat="1" w:unhideWhenUsed="0" w:uiPriority="0" w:name="header"/>
    <w:lsdException w:qFormat="1" w:unhideWhenUsed="0"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qFormat="1" w:unhideWhenUsed="0"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tLeas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tabs>
        <w:tab w:val="left" w:pos="0"/>
      </w:tabs>
      <w:topLinePunct/>
      <w:adjustRightInd w:val="0"/>
      <w:snapToGrid w:val="0"/>
      <w:spacing w:line="360" w:lineRule="auto"/>
      <w:ind w:firstLineChars="0"/>
      <w:jc w:val="left"/>
      <w:textAlignment w:val="center"/>
      <w:outlineLvl w:val="0"/>
    </w:pPr>
    <w:rPr>
      <w:b/>
      <w:bCs/>
      <w:snapToGrid w:val="0"/>
      <w:kern w:val="0"/>
      <w:sz w:val="28"/>
      <w:szCs w:val="32"/>
    </w:rPr>
  </w:style>
  <w:style w:type="paragraph" w:styleId="3">
    <w:name w:val="heading 2"/>
    <w:basedOn w:val="1"/>
    <w:next w:val="1"/>
    <w:link w:val="122"/>
    <w:qFormat/>
    <w:uiPriority w:val="0"/>
    <w:pPr>
      <w:keepNext/>
      <w:keepLines/>
      <w:numPr>
        <w:ilvl w:val="1"/>
        <w:numId w:val="2"/>
      </w:numPr>
      <w:tabs>
        <w:tab w:val="left" w:pos="432"/>
      </w:tabs>
      <w:topLinePunct/>
      <w:adjustRightInd w:val="0"/>
      <w:snapToGrid w:val="0"/>
      <w:ind w:firstLineChars="0"/>
      <w:jc w:val="left"/>
      <w:textAlignment w:val="center"/>
      <w:outlineLvl w:val="1"/>
    </w:pPr>
    <w:rPr>
      <w:rFonts w:cs="宋体"/>
      <w:b/>
      <w:bCs/>
      <w:color w:val="000000"/>
      <w:kern w:val="0"/>
      <w:sz w:val="28"/>
      <w:szCs w:val="32"/>
    </w:rPr>
  </w:style>
  <w:style w:type="paragraph" w:styleId="4">
    <w:name w:val="heading 3"/>
    <w:basedOn w:val="1"/>
    <w:next w:val="1"/>
    <w:link w:val="100"/>
    <w:qFormat/>
    <w:uiPriority w:val="0"/>
    <w:pPr>
      <w:keepNext/>
      <w:keepLines/>
      <w:numPr>
        <w:ilvl w:val="2"/>
        <w:numId w:val="3"/>
      </w:numPr>
      <w:tabs>
        <w:tab w:val="left" w:pos="432"/>
        <w:tab w:val="left" w:pos="862"/>
      </w:tabs>
      <w:topLinePunct/>
      <w:adjustRightInd w:val="0"/>
      <w:snapToGrid w:val="0"/>
      <w:ind w:firstLineChars="0"/>
      <w:jc w:val="left"/>
      <w:textAlignment w:val="center"/>
      <w:outlineLvl w:val="2"/>
    </w:pPr>
    <w:rPr>
      <w:b/>
      <w:bCs/>
      <w:sz w:val="28"/>
      <w:szCs w:val="28"/>
      <w:lang w:val="sv-SE"/>
    </w:rPr>
  </w:style>
  <w:style w:type="paragraph" w:styleId="5">
    <w:name w:val="heading 4"/>
    <w:basedOn w:val="1"/>
    <w:next w:val="1"/>
    <w:link w:val="40"/>
    <w:qFormat/>
    <w:uiPriority w:val="9"/>
    <w:pPr>
      <w:keepNext/>
      <w:keepLines/>
      <w:numPr>
        <w:ilvl w:val="0"/>
        <w:numId w:val="4"/>
      </w:numPr>
      <w:tabs>
        <w:tab w:val="left" w:pos="304"/>
      </w:tabs>
      <w:topLinePunct/>
      <w:adjustRightInd w:val="0"/>
      <w:snapToGrid w:val="0"/>
      <w:spacing w:before="120" w:beforeLines="50" w:line="360" w:lineRule="auto"/>
      <w:ind w:firstLineChars="0"/>
      <w:textAlignment w:val="center"/>
      <w:outlineLvl w:val="3"/>
    </w:pPr>
    <w:rPr>
      <w:b/>
      <w:bCs/>
      <w:lang w:val="sv-SE"/>
    </w:rPr>
  </w:style>
  <w:style w:type="paragraph" w:styleId="6">
    <w:name w:val="heading 5"/>
    <w:basedOn w:val="1"/>
    <w:next w:val="1"/>
    <w:qFormat/>
    <w:uiPriority w:val="9"/>
    <w:pPr>
      <w:keepNext/>
      <w:keepLines/>
      <w:topLinePunct/>
      <w:adjustRightInd w:val="0"/>
      <w:snapToGrid w:val="0"/>
      <w:spacing w:line="360" w:lineRule="auto"/>
      <w:ind w:firstLine="0" w:firstLineChars="0"/>
      <w:textAlignment w:val="center"/>
      <w:outlineLvl w:val="4"/>
    </w:pPr>
    <w:rPr>
      <w:b/>
      <w:bCs/>
      <w:szCs w:val="28"/>
    </w:rPr>
  </w:style>
  <w:style w:type="paragraph" w:styleId="7">
    <w:name w:val="heading 6"/>
    <w:basedOn w:val="1"/>
    <w:next w:val="1"/>
    <w:link w:val="41"/>
    <w:qFormat/>
    <w:uiPriority w:val="0"/>
    <w:pPr>
      <w:spacing w:before="60" w:after="60" w:line="360" w:lineRule="auto"/>
      <w:ind w:firstLine="0" w:firstLineChars="0"/>
      <w:outlineLvl w:val="5"/>
    </w:pPr>
    <w:rPr>
      <w:b/>
      <w:bCs/>
    </w:rPr>
  </w:style>
  <w:style w:type="paragraph" w:styleId="8">
    <w:name w:val="heading 7"/>
    <w:basedOn w:val="1"/>
    <w:next w:val="1"/>
    <w:link w:val="70"/>
    <w:qFormat/>
    <w:uiPriority w:val="0"/>
    <w:pPr>
      <w:keepNext/>
      <w:keepLines/>
      <w:spacing w:before="240" w:after="64" w:line="320" w:lineRule="auto"/>
      <w:ind w:firstLine="0" w:firstLineChars="0"/>
      <w:outlineLvl w:val="6"/>
    </w:pPr>
    <w:rPr>
      <w:b/>
      <w:bCs/>
    </w:rPr>
  </w:style>
  <w:style w:type="paragraph" w:styleId="9">
    <w:name w:val="heading 8"/>
    <w:basedOn w:val="1"/>
    <w:next w:val="1"/>
    <w:link w:val="71"/>
    <w:qFormat/>
    <w:uiPriority w:val="0"/>
    <w:pPr>
      <w:keepNext/>
      <w:keepLines/>
      <w:spacing w:before="240" w:after="64" w:line="320" w:lineRule="auto"/>
      <w:ind w:firstLine="0" w:firstLineChars="0"/>
      <w:outlineLvl w:val="7"/>
    </w:pPr>
    <w:rPr>
      <w:rFonts w:ascii="Arial" w:hAnsi="Arial" w:eastAsia="黑体"/>
    </w:rPr>
  </w:style>
  <w:style w:type="paragraph" w:styleId="10">
    <w:name w:val="heading 9"/>
    <w:basedOn w:val="1"/>
    <w:next w:val="1"/>
    <w:link w:val="72"/>
    <w:qFormat/>
    <w:uiPriority w:val="0"/>
    <w:pPr>
      <w:keepNext/>
      <w:keepLines/>
      <w:spacing w:before="240" w:after="64" w:line="320" w:lineRule="auto"/>
      <w:ind w:firstLine="0" w:firstLineChars="0"/>
      <w:outlineLvl w:val="8"/>
    </w:pPr>
    <w:rPr>
      <w:rFonts w:ascii="Arial" w:hAnsi="Arial" w:eastAsia="黑体"/>
      <w:sz w:val="21"/>
      <w:szCs w:val="21"/>
    </w:rPr>
  </w:style>
  <w:style w:type="character" w:default="1" w:styleId="34">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2">
    <w:name w:val="caption"/>
    <w:basedOn w:val="1"/>
    <w:next w:val="1"/>
    <w:link w:val="113"/>
    <w:qFormat/>
    <w:uiPriority w:val="0"/>
    <w:pPr>
      <w:spacing w:before="152" w:after="160" w:line="240" w:lineRule="auto"/>
      <w:ind w:firstLine="0" w:firstLineChars="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97"/>
    <w:qFormat/>
    <w:uiPriority w:val="0"/>
    <w:pPr>
      <w:jc w:val="left"/>
    </w:pPr>
  </w:style>
  <w:style w:type="paragraph" w:styleId="15">
    <w:name w:val="Body Text"/>
    <w:basedOn w:val="1"/>
    <w:link w:val="75"/>
    <w:qFormat/>
    <w:uiPriority w:val="0"/>
    <w:pPr>
      <w:spacing w:after="120"/>
    </w:pPr>
  </w:style>
  <w:style w:type="paragraph" w:styleId="16">
    <w:name w:val="Body Text Indent"/>
    <w:basedOn w:val="1"/>
    <w:qFormat/>
    <w:uiPriority w:val="0"/>
    <w:pPr>
      <w:spacing w:after="120"/>
      <w:ind w:left="420" w:leftChars="200"/>
    </w:pPr>
  </w:style>
  <w:style w:type="paragraph" w:styleId="17">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18">
    <w:name w:val="toc 3"/>
    <w:basedOn w:val="1"/>
    <w:next w:val="1"/>
    <w:qFormat/>
    <w:uiPriority w:val="39"/>
    <w:pPr>
      <w:tabs>
        <w:tab w:val="left" w:pos="1260"/>
        <w:tab w:val="right" w:leader="dot" w:pos="9288"/>
      </w:tabs>
      <w:ind w:firstLine="100" w:firstLineChars="100"/>
      <w:jc w:val="left"/>
    </w:pPr>
    <w:rPr>
      <w:iCs/>
      <w:sz w:val="21"/>
      <w:szCs w:val="20"/>
    </w:rPr>
  </w:style>
  <w:style w:type="paragraph" w:styleId="19">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0">
    <w:name w:val="Balloon Text"/>
    <w:basedOn w:val="1"/>
    <w:link w:val="81"/>
    <w:qFormat/>
    <w:uiPriority w:val="0"/>
    <w:pPr>
      <w:spacing w:line="240" w:lineRule="auto"/>
    </w:pPr>
    <w:rPr>
      <w:sz w:val="18"/>
      <w:szCs w:val="18"/>
    </w:rPr>
  </w:style>
  <w:style w:type="paragraph" w:styleId="21">
    <w:name w:val="footer"/>
    <w:basedOn w:val="1"/>
    <w:link w:val="91"/>
    <w:qFormat/>
    <w:uiPriority w:val="99"/>
    <w:pPr>
      <w:tabs>
        <w:tab w:val="center" w:pos="4153"/>
        <w:tab w:val="right" w:pos="8306"/>
      </w:tabs>
      <w:snapToGrid w:val="0"/>
      <w:spacing w:line="240" w:lineRule="atLeast"/>
      <w:jc w:val="left"/>
    </w:pPr>
    <w:rPr>
      <w:sz w:val="18"/>
      <w:szCs w:val="18"/>
    </w:rPr>
  </w:style>
  <w:style w:type="paragraph" w:styleId="22">
    <w:name w:val="header"/>
    <w:basedOn w:val="1"/>
    <w:semiHidden/>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23">
    <w:name w:val="toc 1"/>
    <w:basedOn w:val="1"/>
    <w:next w:val="1"/>
    <w:qFormat/>
    <w:uiPriority w:val="39"/>
    <w:pPr>
      <w:tabs>
        <w:tab w:val="left" w:pos="426"/>
        <w:tab w:val="left" w:pos="1260"/>
        <w:tab w:val="right" w:leader="dot" w:pos="9288"/>
      </w:tabs>
      <w:spacing w:line="360" w:lineRule="auto"/>
      <w:ind w:firstLine="0" w:firstLineChars="0"/>
      <w:jc w:val="left"/>
    </w:pPr>
    <w:rPr>
      <w:b/>
      <w:bCs/>
      <w:caps/>
      <w:szCs w:val="20"/>
    </w:rPr>
  </w:style>
  <w:style w:type="paragraph" w:styleId="24">
    <w:name w:val="toc 4"/>
    <w:basedOn w:val="1"/>
    <w:next w:val="1"/>
    <w:unhideWhenUsed/>
    <w:qFormat/>
    <w:uiPriority w:val="39"/>
    <w:pPr>
      <w:spacing w:line="240" w:lineRule="auto"/>
      <w:ind w:left="1260" w:leftChars="600" w:firstLine="0" w:firstLineChars="0"/>
    </w:pPr>
    <w:rPr>
      <w:rFonts w:ascii="Calibri" w:hAnsi="Calibri"/>
      <w:sz w:val="21"/>
      <w:szCs w:val="22"/>
    </w:rPr>
  </w:style>
  <w:style w:type="paragraph" w:styleId="25">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26">
    <w:name w:val="toc 2"/>
    <w:basedOn w:val="1"/>
    <w:next w:val="1"/>
    <w:qFormat/>
    <w:uiPriority w:val="39"/>
    <w:pPr>
      <w:tabs>
        <w:tab w:val="left" w:pos="1050"/>
        <w:tab w:val="right" w:leader="dot" w:pos="9288"/>
      </w:tabs>
      <w:ind w:firstLine="100" w:firstLineChars="100"/>
      <w:jc w:val="left"/>
    </w:pPr>
    <w:rPr>
      <w:smallCaps/>
      <w:sz w:val="21"/>
      <w:szCs w:val="20"/>
    </w:rPr>
  </w:style>
  <w:style w:type="paragraph" w:styleId="27">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28">
    <w:name w:val="Normal (Web)"/>
    <w:basedOn w:val="1"/>
    <w:semiHidden/>
    <w:unhideWhenUsed/>
    <w:qFormat/>
    <w:uiPriority w:val="99"/>
    <w:pPr>
      <w:widowControl/>
      <w:spacing w:before="100" w:beforeAutospacing="1" w:after="100" w:afterAutospacing="1" w:line="240" w:lineRule="auto"/>
      <w:ind w:firstLine="0" w:firstLineChars="0"/>
      <w:jc w:val="left"/>
    </w:pPr>
    <w:rPr>
      <w:rFonts w:ascii="宋体" w:hAnsi="宋体" w:cs="宋体"/>
      <w:kern w:val="0"/>
    </w:rPr>
  </w:style>
  <w:style w:type="paragraph" w:styleId="29">
    <w:name w:val="annotation subject"/>
    <w:basedOn w:val="14"/>
    <w:next w:val="14"/>
    <w:qFormat/>
    <w:uiPriority w:val="0"/>
    <w:rPr>
      <w:b/>
      <w:bCs/>
    </w:rPr>
  </w:style>
  <w:style w:type="paragraph" w:styleId="30">
    <w:name w:val="Body Text First Indent"/>
    <w:basedOn w:val="1"/>
    <w:link w:val="77"/>
    <w:qFormat/>
    <w:uiPriority w:val="0"/>
    <w:pPr>
      <w:spacing w:line="360" w:lineRule="auto"/>
    </w:pPr>
  </w:style>
  <w:style w:type="table" w:styleId="32">
    <w:name w:val="Table Grid"/>
    <w:basedOn w:val="31"/>
    <w:semiHidden/>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3">
    <w:name w:val="Table List 1"/>
    <w:basedOn w:val="31"/>
    <w:semiHidden/>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styleId="35">
    <w:name w:val="Strong"/>
    <w:basedOn w:val="34"/>
    <w:qFormat/>
    <w:uiPriority w:val="22"/>
    <w:rPr>
      <w:b/>
      <w:bCs/>
    </w:rPr>
  </w:style>
  <w:style w:type="character" w:styleId="36">
    <w:name w:val="page number"/>
    <w:basedOn w:val="34"/>
    <w:semiHidden/>
    <w:qFormat/>
    <w:uiPriority w:val="0"/>
  </w:style>
  <w:style w:type="character" w:styleId="37">
    <w:name w:val="Emphasis"/>
    <w:basedOn w:val="34"/>
    <w:qFormat/>
    <w:uiPriority w:val="0"/>
    <w:rPr>
      <w:i/>
    </w:rPr>
  </w:style>
  <w:style w:type="character" w:styleId="38">
    <w:name w:val="Hyperlink"/>
    <w:basedOn w:val="34"/>
    <w:qFormat/>
    <w:uiPriority w:val="99"/>
    <w:rPr>
      <w:color w:val="0000FF"/>
      <w:u w:val="single"/>
    </w:rPr>
  </w:style>
  <w:style w:type="character" w:styleId="39">
    <w:name w:val="annotation reference"/>
    <w:basedOn w:val="34"/>
    <w:qFormat/>
    <w:uiPriority w:val="0"/>
    <w:rPr>
      <w:sz w:val="21"/>
      <w:szCs w:val="21"/>
    </w:rPr>
  </w:style>
  <w:style w:type="character" w:customStyle="1" w:styleId="40">
    <w:name w:val="标题 4 字符"/>
    <w:basedOn w:val="34"/>
    <w:link w:val="5"/>
    <w:qFormat/>
    <w:uiPriority w:val="9"/>
    <w:rPr>
      <w:b/>
      <w:bCs/>
      <w:kern w:val="2"/>
      <w:sz w:val="24"/>
      <w:szCs w:val="24"/>
      <w:lang w:val="sv-SE"/>
    </w:rPr>
  </w:style>
  <w:style w:type="character" w:customStyle="1" w:styleId="41">
    <w:name w:val="标题 6 字符"/>
    <w:basedOn w:val="34"/>
    <w:link w:val="7"/>
    <w:qFormat/>
    <w:uiPriority w:val="0"/>
    <w:rPr>
      <w:b/>
      <w:bCs/>
      <w:kern w:val="2"/>
      <w:sz w:val="24"/>
      <w:szCs w:val="24"/>
    </w:rPr>
  </w:style>
  <w:style w:type="character" w:customStyle="1" w:styleId="42">
    <w:name w:val="“上标”样式"/>
    <w:basedOn w:val="34"/>
    <w:qFormat/>
    <w:uiPriority w:val="0"/>
    <w:rPr>
      <w:rFonts w:ascii="Times New Roman" w:hAnsi="Times New Roman" w:eastAsia="宋体"/>
      <w:sz w:val="24"/>
      <w:vertAlign w:val="superscript"/>
    </w:rPr>
  </w:style>
  <w:style w:type="character" w:customStyle="1" w:styleId="43">
    <w:name w:val="“下标”样式"/>
    <w:basedOn w:val="34"/>
    <w:qFormat/>
    <w:uiPriority w:val="0"/>
    <w:rPr>
      <w:vertAlign w:val="subscript"/>
    </w:rPr>
  </w:style>
  <w:style w:type="paragraph" w:customStyle="1" w:styleId="44">
    <w:name w:val="项目符号"/>
    <w:basedOn w:val="1"/>
    <w:qFormat/>
    <w:uiPriority w:val="0"/>
    <w:pPr>
      <w:numPr>
        <w:ilvl w:val="0"/>
        <w:numId w:val="5"/>
      </w:numPr>
      <w:ind w:firstLine="0" w:firstLineChars="0"/>
    </w:pPr>
  </w:style>
  <w:style w:type="paragraph" w:customStyle="1" w:styleId="45">
    <w:name w:val="封面一级标题文字"/>
    <w:basedOn w:val="1"/>
    <w:semiHidden/>
    <w:qFormat/>
    <w:uiPriority w:val="0"/>
    <w:pPr>
      <w:spacing w:line="640" w:lineRule="exact"/>
      <w:ind w:firstLine="0" w:firstLineChars="0"/>
      <w:jc w:val="center"/>
    </w:pPr>
    <w:rPr>
      <w:rFonts w:ascii="黑体" w:hAnsi="黑体" w:eastAsia="黑体"/>
      <w:b/>
      <w:bCs/>
      <w:sz w:val="52"/>
    </w:rPr>
  </w:style>
  <w:style w:type="paragraph" w:customStyle="1" w:styleId="46">
    <w:name w:val="封面二级标题文字"/>
    <w:basedOn w:val="1"/>
    <w:semiHidden/>
    <w:qFormat/>
    <w:uiPriority w:val="0"/>
    <w:pPr>
      <w:ind w:firstLine="0" w:firstLineChars="0"/>
      <w:jc w:val="center"/>
    </w:pPr>
    <w:rPr>
      <w:rFonts w:ascii="黑体" w:eastAsia="黑体"/>
      <w:b/>
      <w:sz w:val="44"/>
      <w:szCs w:val="44"/>
    </w:rPr>
  </w:style>
  <w:style w:type="paragraph" w:customStyle="1" w:styleId="47">
    <w:name w:val="封面文档编号"/>
    <w:basedOn w:val="1"/>
    <w:semiHidden/>
    <w:qFormat/>
    <w:uiPriority w:val="0"/>
    <w:pPr>
      <w:spacing w:line="640" w:lineRule="exact"/>
      <w:ind w:firstLine="0" w:firstLineChars="0"/>
      <w:jc w:val="center"/>
    </w:pPr>
    <w:rPr>
      <w:rFonts w:ascii="黑体" w:eastAsia="黑体"/>
      <w:b/>
      <w:sz w:val="32"/>
      <w:szCs w:val="32"/>
    </w:rPr>
  </w:style>
  <w:style w:type="paragraph" w:customStyle="1" w:styleId="48">
    <w:name w:val="封面“EPC联合体”中文文字"/>
    <w:basedOn w:val="1"/>
    <w:link w:val="49"/>
    <w:semiHidden/>
    <w:qFormat/>
    <w:uiPriority w:val="0"/>
    <w:pPr>
      <w:ind w:firstLine="0" w:firstLineChars="0"/>
      <w:jc w:val="center"/>
    </w:pPr>
    <w:rPr>
      <w:rFonts w:hAnsi="宋体"/>
      <w:b/>
      <w:sz w:val="32"/>
      <w:szCs w:val="32"/>
    </w:rPr>
  </w:style>
  <w:style w:type="character" w:customStyle="1" w:styleId="49">
    <w:name w:val="封面“EPC联合体”中文文字 Char Char"/>
    <w:basedOn w:val="34"/>
    <w:link w:val="48"/>
    <w:qFormat/>
    <w:uiPriority w:val="0"/>
    <w:rPr>
      <w:rFonts w:hAnsi="宋体" w:eastAsia="宋体"/>
      <w:b/>
      <w:kern w:val="2"/>
      <w:sz w:val="32"/>
      <w:szCs w:val="32"/>
      <w:lang w:val="en-US" w:eastAsia="zh-CN" w:bidi="ar-SA"/>
    </w:rPr>
  </w:style>
  <w:style w:type="paragraph" w:customStyle="1" w:styleId="50">
    <w:name w:val="封面日期地点文字"/>
    <w:basedOn w:val="1"/>
    <w:semiHidden/>
    <w:qFormat/>
    <w:uiPriority w:val="0"/>
    <w:pPr>
      <w:spacing w:line="360" w:lineRule="exact"/>
      <w:ind w:firstLine="0" w:firstLineChars="0"/>
      <w:jc w:val="center"/>
    </w:pPr>
    <w:rPr>
      <w:sz w:val="32"/>
      <w:szCs w:val="32"/>
    </w:rPr>
  </w:style>
  <w:style w:type="paragraph" w:customStyle="1" w:styleId="51">
    <w:name w:val="封面“EPC联合体”西文文字"/>
    <w:basedOn w:val="48"/>
    <w:link w:val="52"/>
    <w:semiHidden/>
    <w:qFormat/>
    <w:uiPriority w:val="0"/>
    <w:rPr>
      <w:rFonts w:hAnsi="Times New Roman"/>
    </w:rPr>
  </w:style>
  <w:style w:type="character" w:customStyle="1" w:styleId="52">
    <w:name w:val="封面“EPC联合体”西文文字 Char Char"/>
    <w:basedOn w:val="49"/>
    <w:link w:val="51"/>
    <w:qFormat/>
    <w:uiPriority w:val="0"/>
    <w:rPr>
      <w:rFonts w:hAnsi="宋体" w:eastAsia="宋体"/>
      <w:kern w:val="2"/>
      <w:sz w:val="32"/>
      <w:szCs w:val="32"/>
      <w:lang w:val="en-US" w:eastAsia="zh-CN" w:bidi="ar-SA"/>
    </w:rPr>
  </w:style>
  <w:style w:type="paragraph" w:customStyle="1" w:styleId="53">
    <w:name w:val="签名页文字"/>
    <w:basedOn w:val="1"/>
    <w:qFormat/>
    <w:uiPriority w:val="0"/>
    <w:pPr>
      <w:spacing w:line="600" w:lineRule="exact"/>
      <w:ind w:left="1100" w:leftChars="1100" w:firstLine="0" w:firstLineChars="0"/>
    </w:pPr>
    <w:rPr>
      <w:sz w:val="32"/>
      <w:szCs w:val="32"/>
    </w:rPr>
  </w:style>
  <w:style w:type="paragraph" w:customStyle="1" w:styleId="54">
    <w:name w:val="版本记录标题文字"/>
    <w:basedOn w:val="1"/>
    <w:semiHidden/>
    <w:qFormat/>
    <w:uiPriority w:val="0"/>
    <w:pPr>
      <w:ind w:firstLine="0" w:firstLineChars="0"/>
    </w:pPr>
  </w:style>
  <w:style w:type="paragraph" w:customStyle="1" w:styleId="55">
    <w:name w:val="版本记录表格内文字"/>
    <w:basedOn w:val="1"/>
    <w:semiHidden/>
    <w:qFormat/>
    <w:uiPriority w:val="0"/>
    <w:pPr>
      <w:spacing w:line="360" w:lineRule="auto"/>
      <w:ind w:firstLine="0" w:firstLineChars="0"/>
      <w:jc w:val="center"/>
    </w:pPr>
  </w:style>
  <w:style w:type="paragraph" w:customStyle="1" w:styleId="56">
    <w:name w:val="“目录”"/>
    <w:basedOn w:val="1"/>
    <w:semiHidden/>
    <w:qFormat/>
    <w:uiPriority w:val="0"/>
    <w:pPr>
      <w:ind w:firstLine="0" w:firstLineChars="0"/>
      <w:jc w:val="center"/>
    </w:pPr>
    <w:rPr>
      <w:b/>
      <w:sz w:val="44"/>
    </w:rPr>
  </w:style>
  <w:style w:type="paragraph" w:customStyle="1" w:styleId="57">
    <w:name w:val="1级列项"/>
    <w:basedOn w:val="1"/>
    <w:qFormat/>
    <w:uiPriority w:val="0"/>
    <w:pPr>
      <w:numPr>
        <w:ilvl w:val="0"/>
        <w:numId w:val="6"/>
      </w:numPr>
      <w:ind w:firstLine="0" w:firstLineChars="0"/>
    </w:pPr>
  </w:style>
  <w:style w:type="paragraph" w:customStyle="1" w:styleId="58">
    <w:name w:val="2级列项"/>
    <w:basedOn w:val="57"/>
    <w:qFormat/>
    <w:uiPriority w:val="0"/>
    <w:pPr>
      <w:numPr>
        <w:ilvl w:val="1"/>
      </w:numPr>
    </w:pPr>
  </w:style>
  <w:style w:type="paragraph" w:customStyle="1" w:styleId="59">
    <w:name w:val="图名/表名/表头样式"/>
    <w:basedOn w:val="1"/>
    <w:qFormat/>
    <w:uiPriority w:val="0"/>
    <w:pPr>
      <w:ind w:firstLine="0" w:firstLineChars="0"/>
      <w:jc w:val="center"/>
    </w:pPr>
    <w:rPr>
      <w:b/>
      <w:sz w:val="21"/>
      <w:szCs w:val="21"/>
    </w:rPr>
  </w:style>
  <w:style w:type="paragraph" w:customStyle="1" w:styleId="60">
    <w:name w:val="表格文字样式"/>
    <w:basedOn w:val="1"/>
    <w:qFormat/>
    <w:uiPriority w:val="0"/>
    <w:pPr>
      <w:ind w:firstLine="0" w:firstLineChars="0"/>
    </w:pPr>
    <w:rPr>
      <w:sz w:val="21"/>
      <w:szCs w:val="21"/>
    </w:rPr>
  </w:style>
  <w:style w:type="paragraph" w:customStyle="1" w:styleId="61">
    <w:name w:val="附图标题"/>
    <w:basedOn w:val="1"/>
    <w:next w:val="1"/>
    <w:qFormat/>
    <w:uiPriority w:val="0"/>
    <w:pPr>
      <w:numPr>
        <w:ilvl w:val="1"/>
        <w:numId w:val="7"/>
      </w:numPr>
      <w:tabs>
        <w:tab w:val="left" w:pos="900"/>
        <w:tab w:val="clear" w:pos="845"/>
      </w:tabs>
      <w:spacing w:afterLines="100" w:line="240" w:lineRule="auto"/>
      <w:ind w:left="900" w:firstLine="0" w:firstLineChars="0"/>
      <w:jc w:val="center"/>
    </w:pPr>
    <w:rPr>
      <w:rFonts w:ascii="Arial" w:hAnsi="Arial" w:eastAsia="黑体"/>
      <w:b/>
      <w:sz w:val="18"/>
    </w:rPr>
  </w:style>
  <w:style w:type="paragraph" w:customStyle="1" w:styleId="62">
    <w:name w:val="封面"/>
    <w:basedOn w:val="1"/>
    <w:semiHidden/>
    <w:qFormat/>
    <w:uiPriority w:val="0"/>
    <w:pPr>
      <w:widowControl/>
      <w:spacing w:line="240" w:lineRule="auto"/>
      <w:ind w:firstLine="0" w:firstLineChars="0"/>
      <w:jc w:val="center"/>
    </w:pPr>
    <w:rPr>
      <w:rFonts w:ascii="华文中宋" w:hAnsi="华文中宋" w:eastAsia="华文中宋"/>
      <w:b/>
      <w:bCs/>
      <w:kern w:val="0"/>
      <w:sz w:val="44"/>
      <w:szCs w:val="20"/>
    </w:rPr>
  </w:style>
  <w:style w:type="paragraph" w:customStyle="1" w:styleId="63">
    <w:name w:val="目录标题"/>
    <w:next w:val="23"/>
    <w:semiHidden/>
    <w:qFormat/>
    <w:uiPriority w:val="0"/>
    <w:pPr>
      <w:jc w:val="center"/>
    </w:pPr>
    <w:rPr>
      <w:rFonts w:ascii="Times New Roman" w:hAnsi="Times New Roman" w:eastAsia="宋体" w:cs="Times New Roman"/>
      <w:b/>
      <w:spacing w:val="60"/>
      <w:sz w:val="28"/>
      <w:lang w:val="en-US" w:eastAsia="zh-CN" w:bidi="ar-SA"/>
    </w:rPr>
  </w:style>
  <w:style w:type="paragraph" w:customStyle="1" w:styleId="64">
    <w:name w:val="概述"/>
    <w:basedOn w:val="1"/>
    <w:qFormat/>
    <w:uiPriority w:val="0"/>
    <w:pPr>
      <w:widowControl/>
      <w:spacing w:line="360" w:lineRule="auto"/>
      <w:ind w:firstLine="420"/>
      <w:jc w:val="left"/>
    </w:pPr>
    <w:rPr>
      <w:rFonts w:ascii="Arial" w:hAnsi="Arial"/>
      <w:kern w:val="0"/>
      <w:sz w:val="21"/>
      <w:szCs w:val="20"/>
    </w:rPr>
  </w:style>
  <w:style w:type="paragraph" w:customStyle="1" w:styleId="65">
    <w:name w:val="正文首行缩进2字符"/>
    <w:basedOn w:val="1"/>
    <w:link w:val="66"/>
    <w:qFormat/>
    <w:uiPriority w:val="0"/>
    <w:pPr>
      <w:spacing w:beforeLines="50" w:afterLines="50" w:line="360" w:lineRule="auto"/>
      <w:ind w:firstLine="480"/>
    </w:pPr>
    <w:rPr>
      <w:rFonts w:ascii="Segoe UI" w:hAnsi="宋体" w:cs="宋体"/>
      <w:szCs w:val="20"/>
    </w:rPr>
  </w:style>
  <w:style w:type="character" w:customStyle="1" w:styleId="66">
    <w:name w:val="正文首行缩进2字符 Char"/>
    <w:basedOn w:val="34"/>
    <w:link w:val="65"/>
    <w:qFormat/>
    <w:uiPriority w:val="0"/>
    <w:rPr>
      <w:rFonts w:ascii="Segoe UI" w:hAnsi="宋体" w:cs="宋体"/>
      <w:kern w:val="2"/>
      <w:sz w:val="24"/>
    </w:rPr>
  </w:style>
  <w:style w:type="paragraph" w:customStyle="1" w:styleId="67">
    <w:name w:val="Char Char Char Char Char Char Char Char Char Char Char Char Char Char Char Char"/>
    <w:basedOn w:val="1"/>
    <w:qFormat/>
    <w:uiPriority w:val="0"/>
    <w:pPr>
      <w:tabs>
        <w:tab w:val="left" w:pos="360"/>
      </w:tabs>
      <w:adjustRightInd w:val="0"/>
      <w:spacing w:line="360" w:lineRule="auto"/>
      <w:ind w:left="482"/>
      <w:textAlignment w:val="baseline"/>
    </w:pPr>
    <w:rPr>
      <w:rFonts w:ascii="宋体"/>
      <w:kern w:val="0"/>
      <w:szCs w:val="20"/>
    </w:rPr>
  </w:style>
  <w:style w:type="paragraph" w:customStyle="1" w:styleId="68">
    <w:name w:val="样式 仿宋_GB2312 三号 行距: 1.5 倍行距"/>
    <w:basedOn w:val="1"/>
    <w:link w:val="69"/>
    <w:qFormat/>
    <w:uiPriority w:val="0"/>
    <w:pPr>
      <w:snapToGrid w:val="0"/>
      <w:spacing w:line="360" w:lineRule="auto"/>
      <w:ind w:firstLine="640"/>
    </w:pPr>
    <w:rPr>
      <w:rFonts w:ascii="仿宋_GB2312" w:eastAsia="仿宋_GB2312" w:cs="宋体"/>
      <w:sz w:val="32"/>
      <w:szCs w:val="20"/>
    </w:rPr>
  </w:style>
  <w:style w:type="character" w:customStyle="1" w:styleId="69">
    <w:name w:val="样式 仿宋_GB2312 三号 行距: 1.5 倍行距 Char"/>
    <w:basedOn w:val="34"/>
    <w:link w:val="68"/>
    <w:qFormat/>
    <w:uiPriority w:val="0"/>
    <w:rPr>
      <w:rFonts w:ascii="仿宋_GB2312" w:eastAsia="仿宋_GB2312" w:cs="宋体"/>
      <w:kern w:val="2"/>
      <w:sz w:val="32"/>
    </w:rPr>
  </w:style>
  <w:style w:type="character" w:customStyle="1" w:styleId="70">
    <w:name w:val="标题 7 字符"/>
    <w:basedOn w:val="34"/>
    <w:link w:val="8"/>
    <w:qFormat/>
    <w:uiPriority w:val="0"/>
    <w:rPr>
      <w:b/>
      <w:bCs/>
      <w:kern w:val="2"/>
      <w:sz w:val="24"/>
      <w:szCs w:val="24"/>
    </w:rPr>
  </w:style>
  <w:style w:type="character" w:customStyle="1" w:styleId="71">
    <w:name w:val="标题 8 字符"/>
    <w:basedOn w:val="34"/>
    <w:link w:val="9"/>
    <w:qFormat/>
    <w:uiPriority w:val="0"/>
    <w:rPr>
      <w:rFonts w:ascii="Arial" w:hAnsi="Arial" w:eastAsia="黑体"/>
      <w:kern w:val="2"/>
      <w:sz w:val="24"/>
      <w:szCs w:val="24"/>
    </w:rPr>
  </w:style>
  <w:style w:type="character" w:customStyle="1" w:styleId="72">
    <w:name w:val="标题 9 字符"/>
    <w:basedOn w:val="34"/>
    <w:link w:val="10"/>
    <w:qFormat/>
    <w:uiPriority w:val="0"/>
    <w:rPr>
      <w:rFonts w:ascii="Arial" w:hAnsi="Arial" w:eastAsia="黑体"/>
      <w:kern w:val="2"/>
      <w:sz w:val="21"/>
      <w:szCs w:val="21"/>
    </w:rPr>
  </w:style>
  <w:style w:type="paragraph" w:customStyle="1" w:styleId="73">
    <w:name w:val="Body Indent 1st"/>
    <w:basedOn w:val="1"/>
    <w:link w:val="74"/>
    <w:qFormat/>
    <w:uiPriority w:val="0"/>
    <w:pPr>
      <w:widowControl/>
      <w:spacing w:before="180" w:after="60" w:line="240" w:lineRule="auto"/>
      <w:ind w:firstLine="476" w:firstLineChars="0"/>
    </w:pPr>
    <w:rPr>
      <w:rFonts w:ascii="Book Antiqua" w:hAnsi="Book Antiqua"/>
      <w:kern w:val="0"/>
      <w:szCs w:val="20"/>
    </w:rPr>
  </w:style>
  <w:style w:type="character" w:customStyle="1" w:styleId="74">
    <w:name w:val="Body Indent 1st Char"/>
    <w:basedOn w:val="34"/>
    <w:link w:val="73"/>
    <w:qFormat/>
    <w:uiPriority w:val="0"/>
    <w:rPr>
      <w:rFonts w:ascii="Book Antiqua" w:hAnsi="Book Antiqua"/>
      <w:sz w:val="24"/>
    </w:rPr>
  </w:style>
  <w:style w:type="character" w:customStyle="1" w:styleId="75">
    <w:name w:val="正文文本 字符"/>
    <w:basedOn w:val="34"/>
    <w:link w:val="15"/>
    <w:qFormat/>
    <w:uiPriority w:val="0"/>
    <w:rPr>
      <w:kern w:val="2"/>
      <w:sz w:val="24"/>
      <w:szCs w:val="24"/>
    </w:rPr>
  </w:style>
  <w:style w:type="character" w:customStyle="1" w:styleId="76">
    <w:name w:val="正文首行缩进 Char"/>
    <w:basedOn w:val="75"/>
    <w:qFormat/>
    <w:uiPriority w:val="0"/>
    <w:rPr>
      <w:kern w:val="2"/>
      <w:sz w:val="24"/>
      <w:szCs w:val="24"/>
    </w:rPr>
  </w:style>
  <w:style w:type="character" w:customStyle="1" w:styleId="77">
    <w:name w:val="正文文本首行缩进 字符"/>
    <w:link w:val="30"/>
    <w:qFormat/>
    <w:uiPriority w:val="0"/>
    <w:rPr>
      <w:kern w:val="2"/>
      <w:sz w:val="24"/>
      <w:szCs w:val="24"/>
    </w:rPr>
  </w:style>
  <w:style w:type="paragraph" w:customStyle="1" w:styleId="78">
    <w:name w:val="一级正文"/>
    <w:basedOn w:val="1"/>
    <w:link w:val="79"/>
    <w:qFormat/>
    <w:uiPriority w:val="0"/>
    <w:pPr>
      <w:spacing w:line="360" w:lineRule="auto"/>
      <w:ind w:firstLine="480"/>
    </w:pPr>
  </w:style>
  <w:style w:type="character" w:customStyle="1" w:styleId="79">
    <w:name w:val="一级正文 Char"/>
    <w:link w:val="78"/>
    <w:qFormat/>
    <w:uiPriority w:val="0"/>
    <w:rPr>
      <w:kern w:val="2"/>
      <w:sz w:val="24"/>
      <w:szCs w:val="24"/>
    </w:rPr>
  </w:style>
  <w:style w:type="paragraph" w:customStyle="1" w:styleId="80">
    <w:name w:val="Char Char Char Char Char Char Char Char Char Char Char Char"/>
    <w:basedOn w:val="1"/>
    <w:qFormat/>
    <w:uiPriority w:val="0"/>
    <w:pPr>
      <w:spacing w:line="360" w:lineRule="auto"/>
      <w:ind w:firstLine="0" w:firstLineChars="0"/>
    </w:pPr>
    <w:rPr>
      <w:rFonts w:ascii="Tahoma" w:hAnsi="Tahoma"/>
      <w:szCs w:val="20"/>
    </w:rPr>
  </w:style>
  <w:style w:type="character" w:customStyle="1" w:styleId="81">
    <w:name w:val="批注框文本 字符"/>
    <w:basedOn w:val="34"/>
    <w:link w:val="20"/>
    <w:qFormat/>
    <w:uiPriority w:val="0"/>
    <w:rPr>
      <w:kern w:val="2"/>
      <w:sz w:val="18"/>
      <w:szCs w:val="18"/>
    </w:rPr>
  </w:style>
  <w:style w:type="paragraph" w:customStyle="1" w:styleId="82">
    <w:name w:val="正文无缩进"/>
    <w:basedOn w:val="15"/>
    <w:link w:val="83"/>
    <w:qFormat/>
    <w:uiPriority w:val="0"/>
    <w:pPr>
      <w:spacing w:beforeLines="50" w:afterLines="50" w:line="360" w:lineRule="auto"/>
      <w:ind w:firstLine="0" w:firstLineChars="0"/>
    </w:pPr>
    <w:rPr>
      <w:rFonts w:cs="宋体"/>
      <w:sz w:val="21"/>
      <w:szCs w:val="20"/>
    </w:rPr>
  </w:style>
  <w:style w:type="character" w:customStyle="1" w:styleId="83">
    <w:name w:val="正文无缩进 Char"/>
    <w:basedOn w:val="34"/>
    <w:link w:val="82"/>
    <w:qFormat/>
    <w:uiPriority w:val="0"/>
    <w:rPr>
      <w:rFonts w:cs="宋体"/>
      <w:kern w:val="2"/>
      <w:sz w:val="21"/>
    </w:rPr>
  </w:style>
  <w:style w:type="paragraph" w:customStyle="1" w:styleId="84">
    <w:name w:val="列出段落1"/>
    <w:basedOn w:val="1"/>
    <w:qFormat/>
    <w:uiPriority w:val="0"/>
    <w:pPr>
      <w:spacing w:line="240" w:lineRule="auto"/>
      <w:ind w:firstLine="420"/>
    </w:pPr>
    <w:rPr>
      <w:rFonts w:ascii="Calibri" w:hAnsi="Calibri"/>
      <w:sz w:val="21"/>
      <w:szCs w:val="22"/>
    </w:rPr>
  </w:style>
  <w:style w:type="paragraph" w:customStyle="1" w:styleId="85">
    <w:name w:val="封面副标题"/>
    <w:qFormat/>
    <w:uiPriority w:val="0"/>
    <w:pPr>
      <w:numPr>
        <w:ilvl w:val="0"/>
        <w:numId w:val="8"/>
      </w:numPr>
      <w:tabs>
        <w:tab w:val="clear" w:pos="420"/>
      </w:tabs>
      <w:spacing w:line="360" w:lineRule="auto"/>
      <w:ind w:left="0" w:firstLine="0"/>
      <w:jc w:val="center"/>
    </w:pPr>
    <w:rPr>
      <w:rFonts w:ascii="Arial" w:hAnsi="Arial" w:eastAsia="黑体" w:cs="Times New Roman"/>
      <w:sz w:val="32"/>
      <w:szCs w:val="24"/>
      <w:lang w:val="en-US" w:eastAsia="zh-CN" w:bidi="ar-SA"/>
    </w:rPr>
  </w:style>
  <w:style w:type="paragraph" w:customStyle="1" w:styleId="86">
    <w:name w:val="标准正文"/>
    <w:basedOn w:val="16"/>
    <w:qFormat/>
    <w:uiPriority w:val="0"/>
    <w:pPr>
      <w:spacing w:before="60" w:after="60" w:line="360" w:lineRule="auto"/>
      <w:ind w:left="0" w:leftChars="0" w:firstLine="482" w:firstLineChars="0"/>
    </w:pPr>
    <w:rPr>
      <w:rFonts w:ascii="Arial" w:hAnsi="Arial"/>
      <w:szCs w:val="20"/>
    </w:rPr>
  </w:style>
  <w:style w:type="character" w:customStyle="1" w:styleId="87">
    <w:name w:val="articlebody3"/>
    <w:basedOn w:val="34"/>
    <w:qFormat/>
    <w:uiPriority w:val="0"/>
    <w:rPr>
      <w:sz w:val="21"/>
      <w:szCs w:val="21"/>
    </w:rPr>
  </w:style>
  <w:style w:type="paragraph" w:customStyle="1" w:styleId="88">
    <w:name w:val="正文文字样式"/>
    <w:basedOn w:val="1"/>
    <w:link w:val="89"/>
    <w:qFormat/>
    <w:uiPriority w:val="0"/>
  </w:style>
  <w:style w:type="character" w:customStyle="1" w:styleId="89">
    <w:name w:val="正文文字样式 Char Char"/>
    <w:link w:val="88"/>
    <w:qFormat/>
    <w:uiPriority w:val="0"/>
    <w:rPr>
      <w:kern w:val="2"/>
      <w:sz w:val="24"/>
      <w:szCs w:val="24"/>
    </w:rPr>
  </w:style>
  <w:style w:type="paragraph" w:customStyle="1" w:styleId="90">
    <w:name w:val="p15"/>
    <w:basedOn w:val="1"/>
    <w:qFormat/>
    <w:uiPriority w:val="0"/>
    <w:pPr>
      <w:widowControl/>
      <w:snapToGrid w:val="0"/>
      <w:spacing w:line="400" w:lineRule="atLeast"/>
      <w:ind w:firstLine="0" w:firstLineChars="0"/>
      <w:textAlignment w:val="baseline"/>
    </w:pPr>
    <w:rPr>
      <w:kern w:val="0"/>
    </w:rPr>
  </w:style>
  <w:style w:type="character" w:customStyle="1" w:styleId="91">
    <w:name w:val="页脚 字符"/>
    <w:basedOn w:val="34"/>
    <w:link w:val="21"/>
    <w:qFormat/>
    <w:uiPriority w:val="99"/>
    <w:rPr>
      <w:kern w:val="2"/>
      <w:sz w:val="18"/>
      <w:szCs w:val="18"/>
    </w:rPr>
  </w:style>
  <w:style w:type="paragraph" w:customStyle="1" w:styleId="92">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93">
    <w:name w:val="样式 样式 样式 正文文本缩进 + 首行缩进:  2 字符 + 首行缩进:  2 字符 段前: 0.5 行 + 首行缩进:  2..."/>
    <w:basedOn w:val="1"/>
    <w:qFormat/>
    <w:uiPriority w:val="0"/>
    <w:pPr>
      <w:spacing w:beforeLines="50" w:line="360" w:lineRule="auto"/>
      <w:ind w:firstLine="420"/>
    </w:pPr>
    <w:rPr>
      <w:rFonts w:cs="宋体"/>
      <w:szCs w:val="20"/>
    </w:rPr>
  </w:style>
  <w:style w:type="paragraph" w:customStyle="1" w:styleId="94">
    <w:name w:val="列出段落11"/>
    <w:basedOn w:val="1"/>
    <w:link w:val="95"/>
    <w:qFormat/>
    <w:uiPriority w:val="0"/>
    <w:pPr>
      <w:spacing w:line="240" w:lineRule="auto"/>
      <w:ind w:firstLine="420"/>
    </w:pPr>
    <w:rPr>
      <w:rFonts w:ascii="Calibri" w:hAnsi="Calibri"/>
      <w:sz w:val="21"/>
      <w:szCs w:val="22"/>
    </w:rPr>
  </w:style>
  <w:style w:type="character" w:customStyle="1" w:styleId="95">
    <w:name w:val="列出段落 Char"/>
    <w:link w:val="94"/>
    <w:qFormat/>
    <w:locked/>
    <w:uiPriority w:val="0"/>
    <w:rPr>
      <w:rFonts w:ascii="Calibri" w:hAnsi="Calibri"/>
      <w:kern w:val="2"/>
      <w:sz w:val="21"/>
      <w:szCs w:val="22"/>
    </w:rPr>
  </w:style>
  <w:style w:type="paragraph" w:customStyle="1" w:styleId="96">
    <w:name w:val="text"/>
    <w:basedOn w:val="1"/>
    <w:qFormat/>
    <w:uiPriority w:val="0"/>
    <w:pPr>
      <w:adjustRightInd w:val="0"/>
      <w:spacing w:before="120" w:line="240" w:lineRule="auto"/>
      <w:ind w:firstLine="0" w:firstLineChars="0"/>
      <w:textAlignment w:val="baseline"/>
    </w:pPr>
    <w:rPr>
      <w:kern w:val="0"/>
      <w:sz w:val="26"/>
      <w:szCs w:val="20"/>
    </w:rPr>
  </w:style>
  <w:style w:type="character" w:customStyle="1" w:styleId="97">
    <w:name w:val="批注文字 字符"/>
    <w:link w:val="14"/>
    <w:qFormat/>
    <w:uiPriority w:val="0"/>
    <w:rPr>
      <w:kern w:val="2"/>
      <w:sz w:val="24"/>
      <w:szCs w:val="24"/>
    </w:rPr>
  </w:style>
  <w:style w:type="paragraph" w:customStyle="1" w:styleId="98">
    <w:name w:val="列出段落2"/>
    <w:basedOn w:val="1"/>
    <w:unhideWhenUsed/>
    <w:qFormat/>
    <w:uiPriority w:val="34"/>
    <w:pPr>
      <w:ind w:firstLine="420"/>
    </w:pPr>
  </w:style>
  <w:style w:type="paragraph" w:styleId="99">
    <w:name w:val="List Paragraph"/>
    <w:basedOn w:val="1"/>
    <w:unhideWhenUsed/>
    <w:qFormat/>
    <w:uiPriority w:val="34"/>
    <w:pPr>
      <w:ind w:firstLine="420"/>
    </w:pPr>
  </w:style>
  <w:style w:type="character" w:customStyle="1" w:styleId="100">
    <w:name w:val="标题 3 字符"/>
    <w:basedOn w:val="34"/>
    <w:link w:val="4"/>
    <w:qFormat/>
    <w:uiPriority w:val="0"/>
    <w:rPr>
      <w:b/>
      <w:bCs/>
      <w:kern w:val="2"/>
      <w:sz w:val="28"/>
      <w:szCs w:val="28"/>
      <w:lang w:val="sv-SE"/>
    </w:rPr>
  </w:style>
  <w:style w:type="paragraph" w:customStyle="1" w:styleId="101">
    <w:name w:val="TOC 标题1"/>
    <w:basedOn w:val="2"/>
    <w:next w:val="1"/>
    <w:unhideWhenUsed/>
    <w:qFormat/>
    <w:uiPriority w:val="39"/>
    <w:pPr>
      <w:widowControl/>
      <w:numPr>
        <w:numId w:val="0"/>
      </w:numPr>
      <w:tabs>
        <w:tab w:val="clear" w:pos="0"/>
      </w:tabs>
      <w:topLinePunct w:val="0"/>
      <w:adjustRightInd/>
      <w:snapToGrid/>
      <w:spacing w:before="240" w:line="259" w:lineRule="auto"/>
      <w:textAlignment w:val="auto"/>
      <w:outlineLvl w:val="9"/>
    </w:pPr>
    <w:rPr>
      <w:rFonts w:asciiTheme="majorHAnsi" w:hAnsiTheme="majorHAnsi" w:eastAsiaTheme="majorEastAsia" w:cstheme="majorBidi"/>
      <w:b w:val="0"/>
      <w:bCs w:val="0"/>
      <w:snapToGrid/>
      <w:color w:val="376092" w:themeColor="accent1" w:themeShade="BF"/>
      <w:sz w:val="32"/>
    </w:rPr>
  </w:style>
  <w:style w:type="character" w:customStyle="1" w:styleId="102">
    <w:name w:val="font21"/>
    <w:basedOn w:val="34"/>
    <w:qFormat/>
    <w:uiPriority w:val="0"/>
    <w:rPr>
      <w:rFonts w:hint="eastAsia" w:ascii="宋体" w:hAnsi="宋体" w:eastAsia="宋体"/>
      <w:color w:val="000000"/>
      <w:sz w:val="21"/>
      <w:szCs w:val="21"/>
      <w:u w:val="none"/>
    </w:rPr>
  </w:style>
  <w:style w:type="paragraph" w:customStyle="1" w:styleId="103">
    <w:name w:val="正文1"/>
    <w:qFormat/>
    <w:uiPriority w:val="0"/>
    <w:pPr>
      <w:jc w:val="both"/>
    </w:pPr>
    <w:rPr>
      <w:rFonts w:ascii="Times New Roman" w:hAnsi="Times New Roman" w:eastAsia="宋体" w:cs="Times New Roman"/>
      <w:kern w:val="2"/>
      <w:sz w:val="21"/>
      <w:szCs w:val="21"/>
      <w:lang w:val="en-US" w:eastAsia="zh-CN" w:bidi="ar-SA"/>
    </w:rPr>
  </w:style>
  <w:style w:type="paragraph" w:customStyle="1" w:styleId="104">
    <w:name w:val="段"/>
    <w:basedOn w:val="1"/>
    <w:link w:val="105"/>
    <w:qFormat/>
    <w:uiPriority w:val="0"/>
    <w:pPr>
      <w:widowControl/>
      <w:autoSpaceDE w:val="0"/>
      <w:autoSpaceDN w:val="0"/>
      <w:spacing w:before="100" w:beforeAutospacing="1" w:afterLines="30" w:line="400" w:lineRule="exact"/>
    </w:pPr>
    <w:rPr>
      <w:rFonts w:ascii="宋体"/>
      <w:kern w:val="0"/>
      <w:sz w:val="21"/>
      <w:szCs w:val="21"/>
    </w:rPr>
  </w:style>
  <w:style w:type="character" w:customStyle="1" w:styleId="105">
    <w:name w:val="段 Char"/>
    <w:link w:val="104"/>
    <w:qFormat/>
    <w:uiPriority w:val="0"/>
    <w:rPr>
      <w:rFonts w:ascii="宋体"/>
      <w:sz w:val="21"/>
      <w:szCs w:val="21"/>
    </w:rPr>
  </w:style>
  <w:style w:type="character" w:customStyle="1" w:styleId="106">
    <w:name w:val="图片格式 Char"/>
    <w:link w:val="107"/>
    <w:qFormat/>
    <w:uiPriority w:val="0"/>
    <w:rPr>
      <w:kern w:val="2"/>
      <w:sz w:val="21"/>
      <w:szCs w:val="21"/>
    </w:rPr>
  </w:style>
  <w:style w:type="paragraph" w:customStyle="1" w:styleId="107">
    <w:name w:val="图片格式"/>
    <w:basedOn w:val="1"/>
    <w:link w:val="106"/>
    <w:qFormat/>
    <w:uiPriority w:val="0"/>
    <w:pPr>
      <w:spacing w:beforeLines="10" w:afterLines="50" w:line="240" w:lineRule="auto"/>
      <w:ind w:firstLine="0" w:firstLineChars="0"/>
      <w:jc w:val="center"/>
    </w:pPr>
    <w:rPr>
      <w:sz w:val="21"/>
      <w:szCs w:val="21"/>
    </w:rPr>
  </w:style>
  <w:style w:type="paragraph" w:customStyle="1" w:styleId="108">
    <w:name w:val="五级条标题"/>
    <w:basedOn w:val="109"/>
    <w:next w:val="104"/>
    <w:qFormat/>
    <w:uiPriority w:val="0"/>
    <w:pPr>
      <w:outlineLvl w:val="5"/>
    </w:pPr>
  </w:style>
  <w:style w:type="paragraph" w:customStyle="1" w:styleId="109">
    <w:name w:val="四级条标题"/>
    <w:basedOn w:val="110"/>
    <w:next w:val="104"/>
    <w:qFormat/>
    <w:uiPriority w:val="0"/>
    <w:pPr>
      <w:ind w:left="0"/>
      <w:outlineLvl w:val="4"/>
    </w:pPr>
  </w:style>
  <w:style w:type="paragraph" w:customStyle="1" w:styleId="110">
    <w:name w:val="三级条标题"/>
    <w:basedOn w:val="111"/>
    <w:next w:val="104"/>
    <w:qFormat/>
    <w:uiPriority w:val="0"/>
    <w:pPr>
      <w:ind w:left="852"/>
      <w:outlineLvl w:val="3"/>
    </w:pPr>
  </w:style>
  <w:style w:type="paragraph" w:customStyle="1" w:styleId="111">
    <w:name w:val="二级条标题"/>
    <w:basedOn w:val="112"/>
    <w:next w:val="104"/>
    <w:qFormat/>
    <w:uiPriority w:val="0"/>
    <w:pPr>
      <w:ind w:left="1559"/>
      <w:outlineLvl w:val="2"/>
    </w:pPr>
  </w:style>
  <w:style w:type="paragraph" w:customStyle="1" w:styleId="112">
    <w:name w:val="一级条标题"/>
    <w:next w:val="104"/>
    <w:qFormat/>
    <w:uiPriority w:val="0"/>
    <w:pPr>
      <w:spacing w:beforeLines="50" w:afterLines="50"/>
      <w:outlineLvl w:val="1"/>
    </w:pPr>
    <w:rPr>
      <w:rFonts w:ascii="黑体" w:hAnsi="Times New Roman" w:eastAsia="黑体" w:cs="Times New Roman"/>
      <w:sz w:val="24"/>
      <w:szCs w:val="21"/>
      <w:lang w:val="en-US" w:eastAsia="zh-CN" w:bidi="ar-SA"/>
    </w:rPr>
  </w:style>
  <w:style w:type="character" w:customStyle="1" w:styleId="113">
    <w:name w:val="题注 字符"/>
    <w:link w:val="12"/>
    <w:qFormat/>
    <w:uiPriority w:val="0"/>
    <w:rPr>
      <w:rFonts w:ascii="Arial" w:hAnsi="Arial" w:eastAsia="黑体" w:cs="Arial"/>
      <w:kern w:val="2"/>
    </w:rPr>
  </w:style>
  <w:style w:type="paragraph" w:customStyle="1" w:styleId="114">
    <w:name w:val="Char1"/>
    <w:basedOn w:val="1"/>
    <w:link w:val="115"/>
    <w:qFormat/>
    <w:uiPriority w:val="0"/>
    <w:pPr>
      <w:spacing w:line="240" w:lineRule="auto"/>
      <w:ind w:firstLine="0" w:firstLineChars="0"/>
    </w:pPr>
    <w:rPr>
      <w:rFonts w:ascii="Calibri" w:hAnsi="Calibri"/>
      <w:sz w:val="21"/>
    </w:rPr>
  </w:style>
  <w:style w:type="character" w:customStyle="1" w:styleId="115">
    <w:name w:val="Char Char"/>
    <w:link w:val="114"/>
    <w:qFormat/>
    <w:uiPriority w:val="0"/>
    <w:rPr>
      <w:rFonts w:ascii="Calibri" w:hAnsi="Calibri"/>
      <w:kern w:val="2"/>
      <w:sz w:val="21"/>
      <w:szCs w:val="24"/>
    </w:rPr>
  </w:style>
  <w:style w:type="paragraph" w:customStyle="1" w:styleId="116">
    <w:name w:val="Lincer表格样式"/>
    <w:basedOn w:val="1"/>
    <w:qFormat/>
    <w:uiPriority w:val="0"/>
    <w:pPr>
      <w:ind w:left="344" w:hanging="344" w:hangingChars="164"/>
    </w:pPr>
    <w:rPr>
      <w:sz w:val="21"/>
    </w:rPr>
  </w:style>
  <w:style w:type="paragraph" w:customStyle="1" w:styleId="117">
    <w:name w:val="Char"/>
    <w:basedOn w:val="1"/>
    <w:qFormat/>
    <w:uiPriority w:val="0"/>
    <w:pPr>
      <w:ind w:firstLine="0"/>
    </w:pPr>
    <w:rPr>
      <w:sz w:val="21"/>
    </w:rPr>
  </w:style>
  <w:style w:type="paragraph" w:customStyle="1" w:styleId="118">
    <w:name w:val="标准书眉_奇数页"/>
    <w:next w:val="1"/>
    <w:qFormat/>
    <w:uiPriority w:val="0"/>
    <w:pPr>
      <w:tabs>
        <w:tab w:val="center" w:pos="4154"/>
        <w:tab w:val="right" w:pos="8306"/>
      </w:tabs>
      <w:spacing w:after="220"/>
      <w:jc w:val="right"/>
    </w:pPr>
    <w:rPr>
      <w:rFonts w:ascii="黑体" w:hAnsi="Times New Roman" w:eastAsia="黑体" w:cs="Times New Roman"/>
      <w:sz w:val="21"/>
      <w:szCs w:val="21"/>
      <w:lang w:val="en-US" w:eastAsia="zh-CN" w:bidi="ar-SA"/>
    </w:rPr>
  </w:style>
  <w:style w:type="paragraph" w:customStyle="1" w:styleId="119">
    <w:name w:val="标准书眉_偶数页"/>
    <w:basedOn w:val="118"/>
    <w:next w:val="1"/>
    <w:qFormat/>
    <w:uiPriority w:val="0"/>
    <w:pPr>
      <w:jc w:val="left"/>
    </w:pPr>
  </w:style>
  <w:style w:type="character" w:customStyle="1" w:styleId="120">
    <w:name w:val="font01"/>
    <w:basedOn w:val="34"/>
    <w:qFormat/>
    <w:uiPriority w:val="0"/>
    <w:rPr>
      <w:rFonts w:hint="eastAsia" w:ascii="宋体" w:hAnsi="宋体" w:eastAsia="宋体" w:cs="宋体"/>
      <w:color w:val="000000"/>
      <w:sz w:val="22"/>
      <w:szCs w:val="22"/>
      <w:u w:val="none"/>
    </w:rPr>
  </w:style>
  <w:style w:type="character" w:customStyle="1" w:styleId="121">
    <w:name w:val="font11"/>
    <w:basedOn w:val="34"/>
    <w:qFormat/>
    <w:uiPriority w:val="0"/>
    <w:rPr>
      <w:rFonts w:hint="eastAsia" w:ascii="宋体" w:hAnsi="宋体" w:eastAsia="宋体" w:cs="宋体"/>
      <w:b/>
      <w:bCs/>
      <w:color w:val="FF0000"/>
      <w:sz w:val="22"/>
      <w:szCs w:val="22"/>
      <w:u w:val="none"/>
    </w:rPr>
  </w:style>
  <w:style w:type="character" w:customStyle="1" w:styleId="122">
    <w:name w:val="标题 2 字符"/>
    <w:basedOn w:val="34"/>
    <w:link w:val="3"/>
    <w:qFormat/>
    <w:uiPriority w:val="0"/>
    <w:rPr>
      <w:rFonts w:cs="宋体"/>
      <w:b/>
      <w:bCs/>
      <w:color w:val="000000"/>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2.emf"/><Relationship Id="rId36" Type="http://schemas.openxmlformats.org/officeDocument/2006/relationships/package" Target="embeddings/Microsoft_Visio___1.vsdx"/><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emf"/><Relationship Id="rId31" Type="http://schemas.openxmlformats.org/officeDocument/2006/relationships/oleObject" Target="embeddings/oleObject2.bin"/><Relationship Id="rId30" Type="http://schemas.openxmlformats.org/officeDocument/2006/relationships/image" Target="media/image17.e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32593;&#32476;&#20449;&#24687;&#37096;&#25991;&#26723;&#27169;&#26495;-0802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584C5-C4D7-4812-9FB5-D361F7E59449}">
  <ds:schemaRefs/>
</ds:datastoreItem>
</file>

<file path=docProps/app.xml><?xml version="1.0" encoding="utf-8"?>
<Properties xmlns="http://schemas.openxmlformats.org/officeDocument/2006/extended-properties" xmlns:vt="http://schemas.openxmlformats.org/officeDocument/2006/docPropsVTypes">
  <Template>网络信息部文档模板-080222.dot</Template>
  <Company>GEDI</Company>
  <Pages>27</Pages>
  <Words>1903</Words>
  <Characters>10852</Characters>
  <Lines>90</Lines>
  <Paragraphs>25</Paragraphs>
  <TotalTime>38</TotalTime>
  <ScaleCrop>false</ScaleCrop>
  <LinksUpToDate>false</LinksUpToDate>
  <CharactersWithSpaces>12730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2020-09-15T02:34:00Z</dcterms:created>
  <dc:creator>.</dc:creator>
  <cp:lastModifiedBy>WPS_1581524485</cp:lastModifiedBy>
  <cp:lastPrinted>2008-02-04T07:41:00Z</cp:lastPrinted>
  <dcterms:modified xsi:type="dcterms:W3CDTF">2023-09-15T07:58:27Z</dcterms:modified>
  <dc:title>文档模板</dc:title>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-877139630</vt:i4>
  </property>
  <property fmtid="{D5CDD505-2E9C-101B-9397-08002B2CF9AE}" pid="3" name="_NewReviewCycle">
    <vt:lpwstr/>
  </property>
  <property fmtid="{D5CDD505-2E9C-101B-9397-08002B2CF9AE}" pid="4" name="_EmailSubject">
    <vt:lpwstr>可研模板，请补充EA规范要求，并于本周五前发给我。</vt:lpwstr>
  </property>
  <property fmtid="{D5CDD505-2E9C-101B-9397-08002B2CF9AE}" pid="5" name="_AuthorEmail">
    <vt:lpwstr>wei.x.zhang@accenture.com</vt:lpwstr>
  </property>
  <property fmtid="{D5CDD505-2E9C-101B-9397-08002B2CF9AE}" pid="6" name="_AuthorEmailDisplayName">
    <vt:lpwstr>Zhang, Wei X.</vt:lpwstr>
  </property>
  <property fmtid="{D5CDD505-2E9C-101B-9397-08002B2CF9AE}" pid="7" name="_ReviewingToolsShownOnce">
    <vt:lpwstr/>
  </property>
  <property fmtid="{D5CDD505-2E9C-101B-9397-08002B2CF9AE}" pid="8" name="KSOProductBuildVer">
    <vt:lpwstr>2052-12.1.0.15374</vt:lpwstr>
  </property>
  <property fmtid="{D5CDD505-2E9C-101B-9397-08002B2CF9AE}" pid="9" name="ICV">
    <vt:lpwstr>8C21A81AC0634AC5B8C4AC3F2D1548A3_13</vt:lpwstr>
  </property>
</Properties>
</file>