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Times New Roman" w:cs="Times New Roman" w:eastAsia="Times New Roman" w:hAnsi="Times New Roman"/>
          <w:b/>
          <w:bCs/>
          <w:sz w:val="34"/>
          <w:szCs w:val="34"/>
        </w:rPr>
        <w:t xml:space="preserve">InsightForge: A Data-Driven Student Performance Analysis and Reporting Workflow</w:t>
      </w:r>
    </w:p>
    <w:p>
      <w:pPr>
        <w:spacing w:after="40"/>
        <w:jc w:val="center"/>
      </w:pPr>
      <w:r>
        <w:rPr>
          <w:rFonts w:ascii="Times New Roman" w:cs="Times New Roman" w:eastAsia="Times New Roman" w:hAnsi="Times New Roman"/>
          <w:sz w:val="22"/>
          <w:szCs w:val="22"/>
        </w:rPr>
        <w:t xml:space="preserve">Author Name(s)</w:t>
      </w:r>
    </w:p>
    <w:p>
      <w:pPr>
        <w:spacing w:after="160"/>
        <w:jc w:val="center"/>
      </w:pPr>
      <w:r>
        <w:rPr>
          <w:rFonts w:ascii="Times New Roman" w:cs="Times New Roman" w:eastAsia="Times New Roman" w:hAnsi="Times New Roman"/>
          <w:i/>
          <w:iCs/>
          <w:color w:val="555555"/>
          <w:sz w:val="18"/>
          <w:szCs w:val="18"/>
        </w:rPr>
        <w:t xml:space="preserve">Department / Institution, City, Country  |  author email(s)</w:t>
      </w:r>
    </w:p>
    <w:p>
      <w:pPr>
        <w:spacing w:after="80" w:before="20" w:line="220"/>
        <w:jc w:val="both"/>
      </w:pPr>
      <w:r>
        <w:rPr>
          <w:rFonts w:ascii="Times New Roman" w:cs="Times New Roman" w:eastAsia="Times New Roman" w:hAnsi="Times New Roman"/>
          <w:b/>
          <w:bCs/>
          <w:sz w:val="18"/>
          <w:szCs w:val="18"/>
        </w:rPr>
        <w:t xml:space="preserve">Abstract—</w:t>
      </w:r>
      <w:r>
        <w:rPr>
          <w:rFonts w:ascii="Times New Roman" w:cs="Times New Roman" w:eastAsia="Times New Roman" w:hAnsi="Times New Roman"/>
          <w:sz w:val="18"/>
          <w:szCs w:val="18"/>
        </w:rPr>
        <w:t xml:space="preserve">Student-result spreadsheets combine identifiers, subject scores, totals, and outcomes but are often analyzed with one-off manual steps. This paper presents InsightForge, a user-scoped upload, analysis, and reporting workflow that recognizes student-result schemas and computes deterministic cohort and student metrics. A 62-student workbook with 17 fields and nine subject-total measures is used for descriptive evaluation. The observed mean total is 768.4 (median 778.0; maximum 846). Student-level pass rate is 93.5%, whereas pass rate over subject attempts is 99.3%; the two values differ because their denominators differ. An anonymized worked record sums to 731 and ranks 50th of 62. The system provides all-student search/filter/selection, aggregate charts, selection-specific insights, and PDF/DOCX reports. Attendance and historical trends are marked unavailable because the source workbook contains neither an attendance field nor multiple periods. The results demonstrate a reproducible descriptive workflow, not a predictive or causal model.</w:t>
      </w:r>
    </w:p>
    <w:p>
      <w:pPr>
        <w:spacing w:after="150" w:line="21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i/>
          <w:iCs/>
          <w:sz w:val="18"/>
          <w:szCs w:val="18"/>
        </w:rPr>
        <w:t xml:space="preserve">student performance, learning analytics, spreadsheet analysis, cohort statistics, interactive dashboard, report generation.</w:t>
      </w:r>
    </w:p>
    <w:p>
      <w:pPr>
        <w:sectPr>
          <w:pgSz w:w="12240" w:h="15840" w:orient="portrait"/>
          <w:pgMar w:top="930" w:right="900" w:bottom="900" w:left="900" w:header="420" w:footer="420" w:gutter="0"/>
          <w:pgNumType/>
          <w:cols w:num="1"/>
          <w:docGrid w:linePitch="360"/>
        </w:sectPr>
      </w:pPr>
    </w:p>
    <w:p>
      <w:pPr>
        <w:pStyle w:val="Heading1"/>
        <w:keepNext/>
        <w:spacing w:after="45" w:before="120"/>
      </w:pPr>
      <w:r>
        <w:rPr>
          <w:rFonts w:ascii="Times New Roman" w:cs="Times New Roman" w:eastAsia="Times New Roman" w:hAnsi="Times New Roman"/>
          <w:b/>
          <w:bCs/>
          <w:sz w:val="20"/>
          <w:szCs w:val="20"/>
        </w:rPr>
        <w:t xml:space="preserve">I. INTRODUCTION</w:t>
      </w:r>
    </w:p>
    <w:p>
      <w:pPr>
        <w:spacing w:after="70" w:before="0" w:line="230"/>
      </w:pPr>
      <w:r>
        <w:rPr>
          <w:rFonts w:ascii="Times New Roman" w:cs="Times New Roman" w:eastAsia="Times New Roman" w:hAnsi="Times New Roman"/>
          <w:b w:val="false"/>
          <w:bCs w:val="false"/>
          <w:i w:val="false"/>
          <w:iCs w:val="false"/>
          <w:color w:val="111111"/>
          <w:sz w:val="20"/>
          <w:szCs w:val="20"/>
        </w:rPr>
        <w:t xml:space="preserve">Learning analytics applies measurement and data processing to information generated in educational settings [1]. In a practical results workflow, the first challenge is often not a predictive model but dependable ingestion: a workbook may encode identifiers as USN, subjects as suffixed columns, and outcome counts as numeric fields. Misclassifying these fields can omit students from search or produce misleading charts.</w:t>
      </w:r>
    </w:p>
    <w:p>
      <w:pPr>
        <w:spacing w:after="70" w:before="0" w:line="230"/>
      </w:pPr>
      <w:r>
        <w:rPr>
          <w:rFonts w:ascii="Times New Roman" w:cs="Times New Roman" w:eastAsia="Times New Roman" w:hAnsi="Times New Roman"/>
          <w:b w:val="false"/>
          <w:bCs w:val="false"/>
          <w:i w:val="false"/>
          <w:iCs w:val="false"/>
          <w:color w:val="111111"/>
          <w:sz w:val="20"/>
          <w:szCs w:val="20"/>
        </w:rPr>
        <w:t xml:space="preserve">InsightForge addresses this operational problem with a per-user upload and analysis path. A spreadsheet is stored under authenticated ownership, parsed with pandas, summarized by deterministic functions, and exposed through a student-aware dashboard. Search and cohort filters select any returned record; the report view derives personal details, marks, cohort rank, insights, and exports from that same selection. Optional LLM chat is separate from the numerical pipeline, so reported values remain traceable to computed context.</w:t>
      </w:r>
    </w:p>
    <w:p>
      <w:pPr>
        <w:pStyle w:val="Heading1"/>
        <w:keepNext/>
        <w:spacing w:after="45" w:before="120"/>
      </w:pPr>
      <w:r>
        <w:rPr>
          <w:rFonts w:ascii="Times New Roman" w:cs="Times New Roman" w:eastAsia="Times New Roman" w:hAnsi="Times New Roman"/>
          <w:b/>
          <w:bCs/>
          <w:sz w:val="20"/>
          <w:szCs w:val="20"/>
        </w:rPr>
        <w:t xml:space="preserve">II. SYSTEM ARCHITECTURE</w:t>
      </w:r>
    </w:p>
    <w:p>
      <w:pPr>
        <w:spacing w:after="70" w:before="0" w:line="230"/>
      </w:pPr>
      <w:r>
        <w:rPr>
          <w:rFonts w:ascii="Times New Roman" w:cs="Times New Roman" w:eastAsia="Times New Roman" w:hAnsi="Times New Roman"/>
          <w:b w:val="false"/>
          <w:bCs w:val="false"/>
          <w:i w:val="false"/>
          <w:iCs w:val="false"/>
          <w:color w:val="111111"/>
          <w:sz w:val="20"/>
          <w:szCs w:val="20"/>
        </w:rPr>
        <w:t xml:space="preserve">The application uses a React/Vite client, a FastAPI service, JWT authentication, SQLite dataset metadata, and user-scoped file storage. Spreadsheet parsing and calculations use pandas and NumPy; Plotly renders interactive charts. The academic workflow is represented in Fig. 1.</w:t>
      </w:r>
    </w:p>
    <w:p>
      <w:pPr>
        <w:spacing w:after="35" w:before="70"/>
        <w:jc w:val="center"/>
      </w:pPr>
      <w:r>
        <w:drawing>
          <wp:inline distT="0" distB="0" distL="0" distR="0">
            <wp:extent cx="3000375" cy="657225"/>
            <wp:effectExtent t="0" r="0" b="0" l="0"/>
            <wp:docPr id="1" descr="Authenticated upload, schema-aware analysis, interactive student dashboard, and report export" title="InsightForge student-analysis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extLst>
                        <a:ext uri="{96DAC541-7B7A-43D3-8B79-37D633B846F1}">
                          <asvg:svgBlip xmlns:asvg="http://schemas.microsoft.com/office/drawing/2016/SVG/main" r:embed="rId7"/>
                        </a:ext>
                      </a:extLst>
                    </a:blip>
                    <a:srcRect/>
                    <a:stretch>
                      <a:fillRect/>
                    </a:stretch>
                  </pic:blipFill>
                  <pic:spPr bwMode="auto">
                    <a:xfrm>
                      <a:off x="0" y="0"/>
                      <a:ext cx="3000375" cy="657225"/>
                    </a:xfrm>
                    <a:prstGeom prst="rect">
                      <a:avLst/>
                    </a:prstGeom>
                  </pic:spPr>
                </pic:pic>
              </a:graphicData>
            </a:graphic>
          </wp:inline>
        </w:drawing>
      </w:r>
    </w:p>
    <w:p>
      <w:pPr>
        <w:spacing w:after="90" w:before="0" w:line="200"/>
        <w:jc w:val="center"/>
      </w:pPr>
      <w:r>
        <w:rPr>
          <w:rFonts w:ascii="Times New Roman" w:cs="Times New Roman" w:eastAsia="Times New Roman" w:hAnsi="Times New Roman"/>
          <w:b w:val="false"/>
          <w:bCs w:val="false"/>
          <w:i w:val="false"/>
          <w:iCs w:val="false"/>
          <w:color w:val="111111"/>
          <w:sz w:val="16"/>
          <w:szCs w:val="16"/>
        </w:rPr>
        <w:t xml:space="preserve">Fig. 1. Data flow from a user-owned workbook to an interactive analysis and report.</w:t>
      </w:r>
    </w:p>
    <w:p>
      <w:pPr>
        <w:spacing w:after="70" w:before="0" w:line="230"/>
      </w:pPr>
      <w:r>
        <w:rPr>
          <w:rFonts w:ascii="Times New Roman" w:cs="Times New Roman" w:eastAsia="Times New Roman" w:hAnsi="Times New Roman"/>
          <w:b w:val="false"/>
          <w:bCs w:val="false"/>
          <w:i w:val="false"/>
          <w:iCs w:val="false"/>
          <w:color w:val="111111"/>
          <w:sz w:val="20"/>
          <w:szCs w:val="20"/>
        </w:rPr>
        <w:t xml:space="preserve">The API associates each dataset with an owner and checks ownership before analysis. The workbook is loaded from the stored path, and analysis returns both a general profile and, when the columns match a student-results schema, an academic summary. The frontend builds the record selector from all returned student rows. Selecting another student recomputes the displayed details and subject chart from the selected row; the report uses the same state.</w:t>
      </w:r>
    </w:p>
    <w:p>
      <w:pPr>
        <w:pStyle w:val="Heading1"/>
        <w:keepNext/>
        <w:spacing w:after="45" w:before="120"/>
      </w:pPr>
      <w:r>
        <w:rPr>
          <w:rFonts w:ascii="Times New Roman" w:cs="Times New Roman" w:eastAsia="Times New Roman" w:hAnsi="Times New Roman"/>
          <w:b/>
          <w:bCs/>
          <w:sz w:val="20"/>
          <w:szCs w:val="20"/>
        </w:rPr>
        <w:t xml:space="preserve">III. DATA AND CASE STUDY</w:t>
      </w:r>
    </w:p>
    <w:p>
      <w:pPr>
        <w:spacing w:after="70" w:before="0" w:line="230"/>
      </w:pPr>
      <w:r>
        <w:rPr>
          <w:rFonts w:ascii="Times New Roman" w:cs="Times New Roman" w:eastAsia="Times New Roman" w:hAnsi="Times New Roman"/>
          <w:b w:val="false"/>
          <w:bCs w:val="false"/>
          <w:i w:val="false"/>
          <w:iCs w:val="false"/>
          <w:color w:val="111111"/>
          <w:sz w:val="20"/>
          <w:szCs w:val="20"/>
        </w:rPr>
        <w:t xml:space="preserve">The case study uses the first uploaded copy of the project workbook, sheet Student View. It contains N = 62 students and 17 columns: USN, Student Name, Batch, Branch, Semester, Total_Marks, Subjects_Passed, Subjects_Failed, and nine fields ending in _Total. The workbook has no missing cells and no exact duplicate rows. Its single observed semester cannot support a historical time trend, and it contains no attendance field.</w:t>
      </w:r>
    </w:p>
    <w:p>
      <w:pPr>
        <w:spacing w:after="70" w:before="0" w:line="230"/>
      </w:pPr>
      <w:r>
        <w:rPr>
          <w:rFonts w:ascii="Times New Roman" w:cs="Times New Roman" w:eastAsia="Times New Roman" w:hAnsi="Times New Roman"/>
          <w:b w:val="false"/>
          <w:bCs w:val="false"/>
          <w:i w:val="false"/>
          <w:iCs w:val="false"/>
          <w:color w:val="111111"/>
          <w:sz w:val="20"/>
          <w:szCs w:val="20"/>
        </w:rPr>
        <w:t xml:space="preserve">To protect student privacy, this paper reports cohort aggregates and a pseudonymous worked record only. Names and USNs are not reproduced. The analysis is descriptive: the cohort is a single uploaded workbook and does not establish causal effects or population-wide generalizability.</w:t>
      </w:r>
    </w:p>
    <w:p>
      <w:pPr>
        <w:pStyle w:val="Heading1"/>
        <w:keepNext/>
        <w:spacing w:after="45" w:before="120"/>
      </w:pPr>
      <w:r>
        <w:rPr>
          <w:rFonts w:ascii="Times New Roman" w:cs="Times New Roman" w:eastAsia="Times New Roman" w:hAnsi="Times New Roman"/>
          <w:b/>
          <w:bCs/>
          <w:sz w:val="20"/>
          <w:szCs w:val="20"/>
        </w:rPr>
        <w:t xml:space="preserve">IV. METHODOLOGY</w:t>
      </w:r>
    </w:p>
    <w:p>
      <w:pPr>
        <w:pStyle w:val="Heading2"/>
        <w:keepNext/>
        <w:spacing w:after="45" w:before="120"/>
      </w:pPr>
      <w:r>
        <w:rPr>
          <w:rFonts w:ascii="Times New Roman" w:cs="Times New Roman" w:eastAsia="Times New Roman" w:hAnsi="Times New Roman"/>
          <w:b/>
          <w:bCs/>
          <w:sz w:val="18"/>
          <w:szCs w:val="18"/>
        </w:rPr>
        <w:t xml:space="preserve">A. Ingestion and schema recognition</w:t>
      </w:r>
    </w:p>
    <w:p>
      <w:pPr>
        <w:spacing w:after="70" w:before="0" w:line="230"/>
      </w:pPr>
      <w:r>
        <w:rPr>
          <w:rFonts w:ascii="Times New Roman" w:cs="Times New Roman" w:eastAsia="Times New Roman" w:hAnsi="Times New Roman"/>
          <w:b w:val="false"/>
          <w:bCs w:val="false"/>
          <w:i w:val="false"/>
          <w:iCs w:val="false"/>
          <w:color w:val="111111"/>
          <w:sz w:val="20"/>
          <w:szCs w:val="20"/>
        </w:rPr>
        <w:t xml:space="preserve">The user authenticates before upload. Supported files include CSV, TSV, XLSX, XLS, and JSON; Excel is read from its first worksheet. The analyzer normalizes header text for matching while retaining original column names in output. Student identity is detected from a name-like field and an identifier such as USN. Subject measures are numeric fields excluding identifiers, totals, semester/cohort fields, attendance, grade, and passed/failed-count fields. In this workbook the recognized student field is Student Name, identifier is USN, and subject measures are the nine *_Total columns.</w:t>
      </w:r>
    </w:p>
    <w:p>
      <w:pPr>
        <w:spacing w:after="70" w:before="0" w:line="230"/>
      </w:pPr>
      <w:r>
        <w:rPr>
          <w:rFonts w:ascii="Times New Roman" w:cs="Times New Roman" w:eastAsia="Times New Roman" w:hAnsi="Times New Roman"/>
          <w:b w:val="false"/>
          <w:bCs w:val="false"/>
          <w:i w:val="false"/>
          <w:iCs w:val="false"/>
          <w:color w:val="111111"/>
          <w:sz w:val="20"/>
          <w:szCs w:val="20"/>
        </w:rPr>
        <w:t xml:space="preserve">General profiling counts rows, fields, numeric/categorical columns, missing cells, duplicates, and numeric correlations. A cleaned copy drops duplicate rows and fills numeric missing values with medians and categorical missing values with modes for general EDA. The academic summary is computed from the original workbook rows so published totals and outcome counts are not silently altered.</w:t>
      </w:r>
    </w:p>
    <w:p>
      <w:pPr>
        <w:pStyle w:val="Heading2"/>
        <w:keepNext/>
        <w:spacing w:after="45" w:before="120"/>
      </w:pPr>
      <w:r>
        <w:rPr>
          <w:rFonts w:ascii="Times New Roman" w:cs="Times New Roman" w:eastAsia="Times New Roman" w:hAnsi="Times New Roman"/>
          <w:b/>
          <w:bCs/>
          <w:sz w:val="18"/>
          <w:szCs w:val="18"/>
        </w:rPr>
        <w:t xml:space="preserve">B. Student total and cohort statistics</w:t>
      </w:r>
    </w:p>
    <w:p>
      <w:pPr>
        <w:spacing w:after="70" w:before="0" w:line="230"/>
      </w:pPr>
      <w:r>
        <w:rPr>
          <w:rFonts w:ascii="Times New Roman" w:cs="Times New Roman" w:eastAsia="Times New Roman" w:hAnsi="Times New Roman"/>
          <w:b w:val="false"/>
          <w:bCs w:val="false"/>
          <w:i w:val="false"/>
          <w:iCs w:val="false"/>
          <w:color w:val="111111"/>
          <w:sz w:val="20"/>
          <w:szCs w:val="20"/>
        </w:rPr>
        <w:t xml:space="preserve">Let xᵢⱼ denote student i's mark for subject j and let Tᵢ be the workbook's Total_Marks field. The system uses the explicit total where present; otherwise it sums available subject marks:</w:t>
      </w:r>
    </w:p>
    <w:p>
      <w:pPr>
        <w:spacing w:after="75" w:before="45"/>
        <w:jc w:val="center"/>
      </w:pPr>
      <w:r>
        <w:rPr>
          <w:rFonts w:ascii="Cambria Math" w:cs="Cambria Math" w:eastAsia="Cambria Math" w:hAnsi="Cambria Math"/>
          <w:sz w:val="17"/>
          <w:szCs w:val="17"/>
        </w:rPr>
        <w:t xml:space="preserve">Sᵢ = Tᵢ, if Tᵢ is present; otherwise Sᵢ = Σⱼ xᵢⱼ                                      (1)</w:t>
      </w:r>
    </w:p>
    <w:p>
      <w:pPr>
        <w:spacing w:after="70" w:before="0" w:line="230"/>
      </w:pPr>
      <w:r>
        <w:rPr>
          <w:rFonts w:ascii="Times New Roman" w:cs="Times New Roman" w:eastAsia="Times New Roman" w:hAnsi="Times New Roman"/>
          <w:b w:val="false"/>
          <w:bCs w:val="false"/>
          <w:i w:val="false"/>
          <w:iCs w:val="false"/>
          <w:color w:val="111111"/>
          <w:sz w:val="20"/>
          <w:szCs w:val="20"/>
        </w:rPr>
        <w:t xml:space="preserve">For N students with valid totals, the cohort mean and sample standard deviation are:</w:t>
      </w:r>
    </w:p>
    <w:p>
      <w:pPr>
        <w:spacing w:after="75" w:before="45"/>
        <w:jc w:val="center"/>
      </w:pPr>
      <w:r>
        <w:rPr>
          <w:rFonts w:ascii="Cambria Math" w:cs="Cambria Math" w:eastAsia="Cambria Math" w:hAnsi="Cambria Math"/>
          <w:sz w:val="17"/>
          <w:szCs w:val="17"/>
        </w:rPr>
        <w:t xml:space="preserve">μ = (1/N) Σᵢ Sᵢ;   s = sqrt(Σᵢ(Sᵢ − μ)²/(N − 1))                                      (2)</w:t>
      </w:r>
    </w:p>
    <w:p>
      <w:pPr>
        <w:spacing w:after="70" w:before="0" w:line="230"/>
      </w:pPr>
      <w:r>
        <w:rPr>
          <w:rFonts w:ascii="Times New Roman" w:cs="Times New Roman" w:eastAsia="Times New Roman" w:hAnsi="Times New Roman"/>
          <w:b w:val="false"/>
          <w:bCs w:val="false"/>
          <w:i w:val="false"/>
          <w:iCs w:val="false"/>
          <w:color w:val="111111"/>
          <w:sz w:val="20"/>
          <w:szCs w:val="20"/>
        </w:rPr>
        <w:t xml:space="preserve">The cohort median is the middle ordered score (or mean of the two middle scores when N is even). The maximum is maxᵢ Sᵢ. Subject j's mean uses only valid values for that subject:</w:t>
      </w:r>
    </w:p>
    <w:p>
      <w:pPr>
        <w:spacing w:after="75" w:before="45"/>
        <w:jc w:val="center"/>
      </w:pPr>
      <w:r>
        <w:rPr>
          <w:rFonts w:ascii="Cambria Math" w:cs="Cambria Math" w:eastAsia="Cambria Math" w:hAnsi="Cambria Math"/>
          <w:sz w:val="17"/>
          <w:szCs w:val="17"/>
        </w:rPr>
        <w:t xml:space="preserve">μⱼ = (1/nⱼ) Σᵢ:xᵢⱼ valid xᵢⱼ                                      (3)</w:t>
      </w:r>
    </w:p>
    <w:p>
      <w:pPr>
        <w:pStyle w:val="Heading2"/>
        <w:keepNext/>
        <w:spacing w:after="45" w:before="120"/>
      </w:pPr>
      <w:r>
        <w:rPr>
          <w:rFonts w:ascii="Times New Roman" w:cs="Times New Roman" w:eastAsia="Times New Roman" w:hAnsi="Times New Roman"/>
          <w:b/>
          <w:bCs/>
          <w:sz w:val="18"/>
          <w:szCs w:val="18"/>
        </w:rPr>
        <w:t xml:space="preserve">C. Ranking and pass-rate definitions</w:t>
      </w:r>
    </w:p>
    <w:p>
      <w:pPr>
        <w:spacing w:after="70" w:before="0" w:line="230"/>
      </w:pPr>
      <w:r>
        <w:rPr>
          <w:rFonts w:ascii="Times New Roman" w:cs="Times New Roman" w:eastAsia="Times New Roman" w:hAnsi="Times New Roman"/>
          <w:b w:val="false"/>
          <w:bCs w:val="false"/>
          <w:i w:val="false"/>
          <w:iCs w:val="false"/>
          <w:color w:val="111111"/>
          <w:sz w:val="20"/>
          <w:szCs w:val="20"/>
        </w:rPr>
        <w:t xml:space="preserve">Competition rank is one plus the number of students with a strictly higher total; equal totals therefore share rank:</w:t>
      </w:r>
    </w:p>
    <w:p>
      <w:pPr>
        <w:spacing w:after="75" w:before="45"/>
        <w:jc w:val="center"/>
      </w:pPr>
      <w:r>
        <w:rPr>
          <w:rFonts w:ascii="Cambria Math" w:cs="Cambria Math" w:eastAsia="Cambria Math" w:hAnsi="Cambria Math"/>
          <w:sz w:val="17"/>
          <w:szCs w:val="17"/>
        </w:rPr>
        <w:t xml:space="preserve">Rᵢ = 1 + Σⱼ I(Sⱼ &gt; Sᵢ)                                      (4)</w:t>
      </w:r>
    </w:p>
    <w:p>
      <w:pPr>
        <w:spacing w:after="70" w:before="0" w:line="230"/>
      </w:pPr>
      <w:r>
        <w:rPr>
          <w:rFonts w:ascii="Times New Roman" w:cs="Times New Roman" w:eastAsia="Times New Roman" w:hAnsi="Times New Roman"/>
          <w:b w:val="false"/>
          <w:bCs w:val="false"/>
          <w:i w:val="false"/>
          <w:iCs w:val="false"/>
          <w:color w:val="111111"/>
          <w:sz w:val="20"/>
          <w:szCs w:val="20"/>
        </w:rPr>
        <w:t xml:space="preserve">Two pass rates answer different questions and must not be conflated. Student-level pass rate counts students with no failed subjects. Attempt-level pass rate counts passed subject attempts divided by all recorded attempts:</w:t>
      </w:r>
    </w:p>
    <w:p>
      <w:pPr>
        <w:spacing w:after="75" w:before="45"/>
        <w:jc w:val="center"/>
      </w:pPr>
      <w:r>
        <w:rPr>
          <w:rFonts w:ascii="Cambria Math" w:cs="Cambria Math" w:eastAsia="Cambria Math" w:hAnsi="Cambria Math"/>
          <w:sz w:val="17"/>
          <w:szCs w:val="17"/>
        </w:rPr>
        <w:t xml:space="preserve">Pstudent = 100 × #{i : Failedᵢ = 0}/N                                      (5)</w:t>
      </w:r>
    </w:p>
    <w:p>
      <w:pPr>
        <w:spacing w:after="75" w:before="45"/>
        <w:jc w:val="center"/>
      </w:pPr>
      <w:r>
        <w:rPr>
          <w:rFonts w:ascii="Cambria Math" w:cs="Cambria Math" w:eastAsia="Cambria Math" w:hAnsi="Cambria Math"/>
          <w:sz w:val="17"/>
          <w:szCs w:val="17"/>
        </w:rPr>
        <w:t xml:space="preserve">Pattempt = 100 × Σᵢ Passedᵢ/(Σᵢ Passedᵢ + Σᵢ Failedᵢ)                                      (6)</w:t>
      </w:r>
    </w:p>
    <w:p>
      <w:pPr>
        <w:spacing w:after="70" w:before="0" w:line="230"/>
      </w:pPr>
      <w:r>
        <w:rPr>
          <w:rFonts w:ascii="Times New Roman" w:cs="Times New Roman" w:eastAsia="Times New Roman" w:hAnsi="Times New Roman"/>
          <w:b w:val="false"/>
          <w:bCs w:val="false"/>
          <w:i w:val="false"/>
          <w:iCs w:val="false"/>
          <w:color w:val="111111"/>
          <w:sz w:val="20"/>
          <w:szCs w:val="20"/>
        </w:rPr>
        <w:t xml:space="preserve">For the case study, 58/62 students have zero failed subjects, giving 93.5%. Across all subject attempts, 554 passed and 4 failed, giving 554/558 = 99.3%. When passed/failed counts or an explicit pass/fail status are absent, the corresponding rate is unavailable rather than inferred from an undocumented threshold.</w:t>
      </w:r>
    </w:p>
    <w:p>
      <w:pPr>
        <w:pStyle w:val="Heading2"/>
        <w:keepNext/>
        <w:spacing w:after="45" w:before="120"/>
      </w:pPr>
      <w:r>
        <w:rPr>
          <w:rFonts w:ascii="Times New Roman" w:cs="Times New Roman" w:eastAsia="Times New Roman" w:hAnsi="Times New Roman"/>
          <w:b/>
          <w:bCs/>
          <w:sz w:val="18"/>
          <w:szCs w:val="18"/>
        </w:rPr>
        <w:t xml:space="preserve">D. Distribution, subject comparison, and trend handling</w:t>
      </w:r>
    </w:p>
    <w:p>
      <w:pPr>
        <w:spacing w:after="70" w:before="0" w:line="230"/>
      </w:pPr>
      <w:r>
        <w:rPr>
          <w:rFonts w:ascii="Times New Roman" w:cs="Times New Roman" w:eastAsia="Times New Roman" w:hAnsi="Times New Roman"/>
          <w:b w:val="false"/>
          <w:bCs w:val="false"/>
          <w:i w:val="false"/>
          <w:iCs w:val="false"/>
          <w:color w:val="111111"/>
          <w:sz w:val="20"/>
          <w:szCs w:val="20"/>
        </w:rPr>
        <w:t xml:space="preserve">The total-mark histogram uses B = min(8, max(1, ceil(sqrt(N)))) bins; NumPy determines the edges over the observed score range. With N = 62, B = 8. Subject averages are presented as horizontal bars. For each selected student, the report displays each available subject score and the cohort rank. If a period field varies within the dataset, records for that student are grouped by period and their mean total is plotted. A single-period dataset does not produce a historical trend. Attendance is displayed only when an attendance column exists.</w:t>
      </w:r>
    </w:p>
    <w:p>
      <w:pPr>
        <w:pStyle w:val="Heading2"/>
        <w:keepNext/>
        <w:spacing w:after="45" w:before="120"/>
      </w:pPr>
      <w:r>
        <w:rPr>
          <w:rFonts w:ascii="Times New Roman" w:cs="Times New Roman" w:eastAsia="Times New Roman" w:hAnsi="Times New Roman"/>
          <w:b/>
          <w:bCs/>
          <w:sz w:val="18"/>
          <w:szCs w:val="18"/>
        </w:rPr>
        <w:t xml:space="preserve">E. Interactive reporting</w:t>
      </w:r>
    </w:p>
    <w:p>
      <w:pPr>
        <w:spacing w:after="70" w:before="0" w:line="230"/>
      </w:pPr>
      <w:r>
        <w:rPr>
          <w:rFonts w:ascii="Times New Roman" w:cs="Times New Roman" w:eastAsia="Times New Roman" w:hAnsi="Times New Roman"/>
          <w:b w:val="false"/>
          <w:bCs w:val="false"/>
          <w:i w:val="false"/>
          <w:iCs w:val="false"/>
          <w:color w:val="111111"/>
          <w:sz w:val="20"/>
          <w:szCs w:val="20"/>
        </w:rPr>
        <w:t xml:space="preserve">The dashboard exposes batch and branch filters, free-text search across student fields, and a selected-student control. All records returned by the analysis are available in the selector. The report view includes available personal details, subject marks, overall total, cohort mean/rank, attendance status, passed/failed counts, and evidence-based insights such as strongest/weakest subject. PDF and DOCX exports are generated from the current report model; therefore a change in selection changes both on-screen values and subsequent exports.</w:t>
      </w:r>
    </w:p>
    <w:p>
      <w:pPr>
        <w:pStyle w:val="Heading1"/>
        <w:keepNext/>
        <w:spacing w:after="45" w:before="120"/>
      </w:pPr>
      <w:r>
        <w:rPr>
          <w:rFonts w:ascii="Times New Roman" w:cs="Times New Roman" w:eastAsia="Times New Roman" w:hAnsi="Times New Roman"/>
          <w:b/>
          <w:bCs/>
          <w:sz w:val="20"/>
          <w:szCs w:val="20"/>
        </w:rPr>
        <w:t xml:space="preserve">V. RESULTS</w:t>
      </w:r>
    </w:p>
    <w:p>
      <w:pPr>
        <w:spacing w:after="70" w:before="0" w:line="230"/>
      </w:pPr>
      <w:r>
        <w:rPr>
          <w:rFonts w:ascii="Times New Roman" w:cs="Times New Roman" w:eastAsia="Times New Roman" w:hAnsi="Times New Roman"/>
          <w:b w:val="false"/>
          <w:bCs w:val="false"/>
          <w:i w:val="false"/>
          <w:iCs w:val="false"/>
          <w:color w:val="111111"/>
          <w:sz w:val="20"/>
          <w:szCs w:val="20"/>
        </w:rPr>
        <w:t xml:space="preserve">The cohort total sum is 47,640. Consequently μ = 47,640/62 = 768.387…, reported as 768.4. The median is 778.0, sample standard deviation is 47.2, minimum is 668, and maximum is 846. The score histogram is shown in Fig. 2. The subject means in Fig. 3 show the highest cohort mean for BIKS609 (96.4) and the lowest for BAI613 (74.1); these are descriptive cohort comparisons, not measures of difficulty.</w:t>
      </w:r>
    </w:p>
    <w:p>
      <w:pPr>
        <w:spacing w:after="35" w:before="70"/>
        <w:jc w:val="center"/>
      </w:pPr>
      <w:r>
        <w:drawing>
          <wp:inline distT="0" distB="0" distL="0" distR="0">
            <wp:extent cx="3000375" cy="1657350"/>
            <wp:effectExtent t="0" r="0" b="0" l="0"/>
            <wp:docPr id="1" descr="Eight-bin histogram of 62 student totals, with anonymized aggregate counts" title="Distribution of student total ma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extLst>
                        <a:ext uri="{96DAC541-7B7A-43D3-8B79-37D633B846F1}">
                          <asvg:svgBlip xmlns:asvg="http://schemas.microsoft.com/office/drawing/2016/SVG/main" r:embed="rId9"/>
                        </a:ext>
                      </a:extLst>
                    </a:blip>
                    <a:srcRect/>
                    <a:stretch>
                      <a:fillRect/>
                    </a:stretch>
                  </pic:blipFill>
                  <pic:spPr bwMode="auto">
                    <a:xfrm>
                      <a:off x="0" y="0"/>
                      <a:ext cx="3000375" cy="1657350"/>
                    </a:xfrm>
                    <a:prstGeom prst="rect">
                      <a:avLst/>
                    </a:prstGeom>
                  </pic:spPr>
                </pic:pic>
              </a:graphicData>
            </a:graphic>
          </wp:inline>
        </w:drawing>
      </w:r>
    </w:p>
    <w:p>
      <w:pPr>
        <w:spacing w:after="90" w:before="0" w:line="200"/>
        <w:jc w:val="center"/>
      </w:pPr>
      <w:r>
        <w:rPr>
          <w:rFonts w:ascii="Times New Roman" w:cs="Times New Roman" w:eastAsia="Times New Roman" w:hAnsi="Times New Roman"/>
          <w:b w:val="false"/>
          <w:bCs w:val="false"/>
          <w:i w:val="false"/>
          <w:iCs w:val="false"/>
          <w:color w:val="111111"/>
          <w:sz w:val="16"/>
          <w:szCs w:val="16"/>
        </w:rPr>
        <w:t xml:space="preserve">Fig. 2. Total-mark distribution (bin counts sum to 62).</w:t>
      </w:r>
    </w:p>
    <w:p>
      <w:pPr>
        <w:spacing w:after="35" w:before="70"/>
        <w:jc w:val="center"/>
      </w:pPr>
      <w:r>
        <w:drawing>
          <wp:inline distT="0" distB="0" distL="0" distR="0">
            <wp:extent cx="3000375" cy="1914525"/>
            <wp:effectExtent t="0" r="0" b="0" l="0"/>
            <wp:docPr id="1" descr="Anonymized cohort mean marks across nine subject-total columns" title="Mean marks by su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extLst>
                        <a:ext uri="{96DAC541-7B7A-43D3-8B79-37D633B846F1}">
                          <asvg:svgBlip xmlns:asvg="http://schemas.microsoft.com/office/drawing/2016/SVG/main" r:embed="rId10"/>
                        </a:ext>
                      </a:extLst>
                    </a:blip>
                    <a:srcRect/>
                    <a:stretch>
                      <a:fillRect/>
                    </a:stretch>
                  </pic:blipFill>
                  <pic:spPr bwMode="auto">
                    <a:xfrm>
                      <a:off x="0" y="0"/>
                      <a:ext cx="3000375" cy="1914525"/>
                    </a:xfrm>
                    <a:prstGeom prst="rect">
                      <a:avLst/>
                    </a:prstGeom>
                  </pic:spPr>
                </pic:pic>
              </a:graphicData>
            </a:graphic>
          </wp:inline>
        </w:drawing>
      </w:r>
    </w:p>
    <w:p>
      <w:pPr>
        <w:spacing w:after="90" w:before="0" w:line="200"/>
        <w:jc w:val="center"/>
      </w:pPr>
      <w:r>
        <w:rPr>
          <w:rFonts w:ascii="Times New Roman" w:cs="Times New Roman" w:eastAsia="Times New Roman" w:hAnsi="Times New Roman"/>
          <w:b w:val="false"/>
          <w:bCs w:val="false"/>
          <w:i w:val="false"/>
          <w:iCs w:val="false"/>
          <w:color w:val="111111"/>
          <w:sz w:val="16"/>
          <w:szCs w:val="16"/>
        </w:rPr>
        <w:t xml:space="preserve">Fig. 3. Mean subject marks across the cohort.</w:t>
      </w:r>
    </w:p>
    <w:p>
      <w:pPr>
        <w:pStyle w:val="Heading1"/>
        <w:keepNext/>
        <w:spacing w:after="45" w:before="120"/>
      </w:pPr>
      <w:r>
        <w:rPr>
          <w:rFonts w:ascii="Times New Roman" w:cs="Times New Roman" w:eastAsia="Times New Roman" w:hAnsi="Times New Roman"/>
          <w:b/>
          <w:bCs/>
          <w:sz w:val="20"/>
          <w:szCs w:val="20"/>
        </w:rPr>
        <w:t xml:space="preserve">VI. WORKED EXAMPLE</w:t>
      </w:r>
    </w:p>
    <w:p>
      <w:pPr>
        <w:spacing w:after="70" w:before="0" w:line="230"/>
      </w:pPr>
      <w:r>
        <w:rPr>
          <w:rFonts w:ascii="Times New Roman" w:cs="Times New Roman" w:eastAsia="Times New Roman" w:hAnsi="Times New Roman"/>
          <w:b w:val="false"/>
          <w:bCs w:val="false"/>
          <w:i w:val="false"/>
          <w:iCs w:val="false"/>
          <w:color w:val="111111"/>
          <w:sz w:val="20"/>
          <w:szCs w:val="20"/>
        </w:rPr>
        <w:t xml:space="preserve">Consider an anonymized row from the workbook. In the subject-column order BAD601, BCS602, BAD685, BCSL606, BNSK658, BIKS609, BAI613, BEE654, and BCSL657, its marks are [74, 60, 80, 95, 96, 98, 77, 53, 98]. Their sum is 731, matching the stored Total_Marks value. The row records 9 passed subjects and 0 failed subjects. Applying (4), 49 cohort totals are greater than 731, so the student's competition rank is 50 of 62. This example shows how the displayed record can be independently checked without exposing the student's name or USN.</w:t>
      </w:r>
    </w:p>
    <w:p>
      <w:pPr>
        <w:spacing w:after="70" w:before="0" w:line="230"/>
      </w:pPr>
      <w:r>
        <w:rPr>
          <w:rFonts w:ascii="Times New Roman" w:cs="Times New Roman" w:eastAsia="Times New Roman" w:hAnsi="Times New Roman"/>
          <w:b w:val="false"/>
          <w:bCs w:val="false"/>
          <w:i w:val="false"/>
          <w:iCs w:val="false"/>
          <w:color w:val="111111"/>
          <w:sz w:val="20"/>
          <w:szCs w:val="20"/>
        </w:rPr>
        <w:t xml:space="preserve">For an individual subject such as BIKS609, the cohort average is 96.435…, reported as 96.4. For the student-level outcome rate, 58 students with zero failures divided by 62 gives 0.93548…, or 93.5%. For attempt-level outcomes, 554/(554 + 4) gives 0.99283…, or 99.3%. The distinct denominators explain the difference between the rates.</w:t>
      </w:r>
    </w:p>
    <w:p>
      <w:pPr>
        <w:pStyle w:val="Heading1"/>
        <w:keepNext/>
        <w:spacing w:after="45" w:before="120"/>
      </w:pPr>
      <w:r>
        <w:rPr>
          <w:rFonts w:ascii="Times New Roman" w:cs="Times New Roman" w:eastAsia="Times New Roman" w:hAnsi="Times New Roman"/>
          <w:b/>
          <w:bCs/>
          <w:sz w:val="20"/>
          <w:szCs w:val="20"/>
        </w:rPr>
        <w:t xml:space="preserve">VII. LIMITATIONS AND VALIDITY</w:t>
      </w:r>
    </w:p>
    <w:p>
      <w:pPr>
        <w:spacing w:after="70" w:before="0" w:line="230"/>
      </w:pPr>
      <w:r>
        <w:rPr>
          <w:rFonts w:ascii="Times New Roman" w:cs="Times New Roman" w:eastAsia="Times New Roman" w:hAnsi="Times New Roman"/>
          <w:b w:val="false"/>
          <w:bCs w:val="false"/>
          <w:i w:val="false"/>
          <w:iCs w:val="false"/>
          <w:color w:val="111111"/>
          <w:sz w:val="20"/>
          <w:szCs w:val="20"/>
        </w:rPr>
        <w:t xml:space="preserve">The case study contains one 62-student, single-semester workbook, all under one branch code. No attendance values or repeated periods are available; corresponding dashboard values are reported as unavailable. Subject labels and totals are inferred from column names and numeric types, so heterogeneous workbooks should be checked against their institutional schema. The current descriptive analysis does not normalize subjects to maximum possible marks because no per-subject maximum field is present. It does not infer grades from marks or make predictions. Results characterize this workbook snapshot only.</w:t>
      </w:r>
    </w:p>
    <w:p>
      <w:pPr>
        <w:pStyle w:val="Heading1"/>
        <w:keepNext/>
        <w:spacing w:after="45" w:before="120"/>
      </w:pPr>
      <w:r>
        <w:rPr>
          <w:rFonts w:ascii="Times New Roman" w:cs="Times New Roman" w:eastAsia="Times New Roman" w:hAnsi="Times New Roman"/>
          <w:b/>
          <w:bCs/>
          <w:sz w:val="20"/>
          <w:szCs w:val="20"/>
        </w:rPr>
        <w:t xml:space="preserve">VIII. CONCLUSION</w:t>
      </w:r>
    </w:p>
    <w:p>
      <w:pPr>
        <w:spacing w:after="70" w:before="0" w:line="230"/>
      </w:pPr>
      <w:r>
        <w:rPr>
          <w:rFonts w:ascii="Times New Roman" w:cs="Times New Roman" w:eastAsia="Times New Roman" w:hAnsi="Times New Roman"/>
          <w:b w:val="false"/>
          <w:bCs w:val="false"/>
          <w:i w:val="false"/>
          <w:iCs w:val="false"/>
          <w:color w:val="111111"/>
          <w:sz w:val="20"/>
          <w:szCs w:val="20"/>
        </w:rPr>
        <w:t xml:space="preserve">InsightForge implements a reproducible upload-to-report workflow for student-result spreadsheets. Schema-aware recognition recovers the USN and nine subject-total fields in the observed workbook, and deterministic calculations expose the full 62-student roster, cohort statistics, two explicitly defined pass rates, distribution, subject means, rank, and selection-specific report. The worked example reconciles to the stored total. Missing attendance and historical data remain explicit limitations. Future work includes validating configurable schemas, importing attendance and multi-semester records, and adding institution-defined grading thresholds with provenance.</w:t>
      </w:r>
    </w:p>
    <w:p>
      <w:pPr>
        <w:pStyle w:val="Heading1"/>
        <w:keepNext/>
        <w:spacing w:after="45" w:before="120"/>
      </w:pPr>
      <w:r>
        <w:rPr>
          <w:rFonts w:ascii="Times New Roman" w:cs="Times New Roman" w:eastAsia="Times New Roman" w:hAnsi="Times New Roman"/>
          <w:b/>
          <w:bCs/>
          <w:sz w:val="20"/>
          <w:szCs w:val="20"/>
        </w:rPr>
        <w:t xml:space="preserve">REFERENCES</w:t>
      </w:r>
    </w:p>
    <w:p>
      <w:pPr>
        <w:spacing w:after="70" w:before="0" w:line="230"/>
      </w:pPr>
      <w:r>
        <w:rPr>
          <w:rFonts w:ascii="Times New Roman" w:cs="Times New Roman" w:eastAsia="Times New Roman" w:hAnsi="Times New Roman"/>
          <w:b w:val="false"/>
          <w:bCs w:val="false"/>
          <w:i w:val="false"/>
          <w:iCs w:val="false"/>
          <w:color w:val="111111"/>
          <w:sz w:val="16"/>
          <w:szCs w:val="16"/>
        </w:rPr>
        <w:t xml:space="preserve">[1] G. Siemens and P. Long, “Penetrating the fog: Analytics in learning and education,” EDUCAUSE Review, vol. 46, no. 5, pp. 30–40, 2011.</w:t>
      </w:r>
    </w:p>
    <w:p>
      <w:pPr>
        <w:spacing w:after="70" w:before="0" w:line="230"/>
      </w:pPr>
      <w:r>
        <w:rPr>
          <w:rFonts w:ascii="Times New Roman" w:cs="Times New Roman" w:eastAsia="Times New Roman" w:hAnsi="Times New Roman"/>
          <w:b w:val="false"/>
          <w:bCs w:val="false"/>
          <w:i w:val="false"/>
          <w:iCs w:val="false"/>
          <w:color w:val="111111"/>
          <w:sz w:val="16"/>
          <w:szCs w:val="16"/>
        </w:rPr>
        <w:t xml:space="preserve">[2] W. McKinney, “Data structures for statistical computing in Python,” in Proc. 9th Python in Science Conf. (SciPy 2010), 2010, pp. 56–61, doi: 10.25080/Majora-92bf1922-00a.</w:t>
      </w:r>
    </w:p>
    <w:p>
      <w:pPr>
        <w:spacing w:after="70" w:before="0" w:line="230"/>
      </w:pPr>
      <w:r>
        <w:rPr>
          <w:rFonts w:ascii="Times New Roman" w:cs="Times New Roman" w:eastAsia="Times New Roman" w:hAnsi="Times New Roman"/>
          <w:b w:val="false"/>
          <w:bCs w:val="false"/>
          <w:i w:val="false"/>
          <w:iCs w:val="false"/>
          <w:color w:val="111111"/>
          <w:sz w:val="16"/>
          <w:szCs w:val="16"/>
        </w:rPr>
        <w:t xml:space="preserve">[3] The pandas development team, “pandas documentation.” [Online]. Available: https://pandas.pydata.org/docs/ (accessed Sep. 26, 2026).</w:t>
      </w:r>
    </w:p>
    <w:p>
      <w:pPr>
        <w:spacing w:after="70" w:before="0" w:line="230"/>
      </w:pPr>
      <w:r>
        <w:rPr>
          <w:rFonts w:ascii="Times New Roman" w:cs="Times New Roman" w:eastAsia="Times New Roman" w:hAnsi="Times New Roman"/>
          <w:b w:val="false"/>
          <w:bCs w:val="false"/>
          <w:i w:val="false"/>
          <w:iCs w:val="false"/>
          <w:color w:val="111111"/>
          <w:sz w:val="16"/>
          <w:szCs w:val="16"/>
        </w:rPr>
        <w:t xml:space="preserve">[4] Plotly Technologies Inc., “Plotly.js open-source graphing library.” [Online]. Available: https://plotly.com/javascript/ (accessed Sep. 26, 2026).</w:t>
      </w:r>
    </w:p>
    <w:p>
      <w:pPr>
        <w:spacing w:after="70" w:before="0" w:line="230"/>
      </w:pPr>
      <w:r>
        <w:rPr>
          <w:rFonts w:ascii="Times New Roman" w:cs="Times New Roman" w:eastAsia="Times New Roman" w:hAnsi="Times New Roman"/>
          <w:b w:val="false"/>
          <w:bCs w:val="false"/>
          <w:i w:val="false"/>
          <w:iCs w:val="false"/>
          <w:color w:val="111111"/>
          <w:sz w:val="16"/>
          <w:szCs w:val="16"/>
        </w:rPr>
        <w:t xml:space="preserve">[5] FastAPI, “FastAPI documentation.” [Online]. Available: https://fastapi.tiangolo.com/ (accessed Sep. 26, 2026).</w:t>
      </w:r>
    </w:p>
    <w:sectPr>
      <w:type w:val="continuous"/>
      <w:pgSz w:w="12240" w:h="15840" w:orient="portrait"/>
      <w:pgMar w:top="900" w:right="900" w:bottom="900" w:left="900" w:header="420" w:footer="420"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5d835c5a56cfe6d076e10c68b9a285b6f7f922e.svg"/><Relationship Id="rId8" Type="http://schemas.openxmlformats.org/officeDocument/2006/relationships/image" Target="media/82a6908ae1d23b7599d0a1686fce2641e8a1eca6.png"/><Relationship Id="rId9" Type="http://schemas.openxmlformats.org/officeDocument/2006/relationships/image" Target="media/75a999d3e77044ee7cc70441aa19814e43562111.svg"/><Relationship Id="rId10" Type="http://schemas.openxmlformats.org/officeDocument/2006/relationships/image" Target="media/ff9b2c778120088f630b4fdbbb02a8eb79aaffdc.sv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InsightForge Student Performance Analysis Workflow</dc:title>
  <dc:subject>IEEE-style conference paper describing the implemented student-results analytics workflow</dc:subject>
  <dc:creator>InsightForge project team</dc:creator>
  <cp:keywords>student analytics, cohort analysis, spreadsheet workflow, InsightForge</cp:keywords>
  <cp:lastModifiedBy>Un-named</cp:lastModifiedBy>
  <cp:revision>1</cp:revision>
  <dcterms:created xsi:type="dcterms:W3CDTF">2026-09-26T07:21:28.472Z</dcterms:created>
  <dcterms:modified xsi:type="dcterms:W3CDTF">2026-09-26T07:21:28.473Z</dcterms:modified>
</cp:coreProperties>
</file>

<file path=docProps/custom.xml><?xml version="1.0" encoding="utf-8"?>
<Properties xmlns="http://schemas.openxmlformats.org/officeDocument/2006/custom-properties" xmlns:vt="http://schemas.openxmlformats.org/officeDocument/2006/docPropsVTypes"/>
</file>