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drawing>
          <wp:inline distT="0" distB="0" distL="0" distR="0">
            <wp:extent cx="1428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238250"/>
                    </a:xfrm>
                    <a:prstGeom prst="rect">
                      <a:avLst/>
                    </a:prstGeom>
                  </pic:spPr>
                </pic:pic>
              </a:graphicData>
            </a:graphic>
          </wp:inline>
        </w:drawing>
      </w:r>
    </w:p>
    <w:p>
      <w:pPr>
        <w:spacing w:after="0" w:before="0"/>
      </w:pPr>
      <w:r>
        <w:rPr>
          <w:rFonts w:ascii="Century Gothic" w:cs="Century Gothic" w:eastAsia="Century Gothic" w:hAnsi="Century Gothic"/>
          <w:b/>
          <w:bCs/>
          <w:caps/>
          <w:color w:val="3F9488"/>
          <w:sz w:val="24"/>
          <w:szCs w:val="24"/>
        </w:rPr>
        <w:t xml:space="preserve">TEACHING EXCELLENCE PROGRAMME</w:t>
      </w:r>
    </w:p>
    <w:p>
      <w:pPr>
        <w:spacing w:after="40"/>
      </w:pPr>
      <w:r>
        <w:rPr>
          <w:rFonts w:ascii="Century Gothic" w:cs="Century Gothic" w:eastAsia="Century Gothic" w:hAnsi="Century Gothic"/>
          <w:color w:val="555F5A"/>
          <w:sz w:val="18"/>
          <w:szCs w:val="18"/>
        </w:rPr>
        <w:t xml:space="preserve">A professional development programme developed by Nishkam Schools</w:t>
      </w:r>
    </w:p>
    <w:p>
      <w:pPr>
        <w:pBdr>
          <w:bottom w:val="single" w:color="B07D2B" w:sz="12" w:space="6"/>
        </w:pBdr>
      </w:pPr>
      <w:r>
        <w:rPr>
          <w:rFonts w:ascii="Century Gothic" w:cs="Century Gothic" w:eastAsia="Century Gothic" w:hAnsi="Century Gothic"/>
          <w:color w:val="1A1F1D"/>
        </w:rPr>
        <w:t xml:space="preserve"/>
      </w:r>
    </w:p>
    <w:p>
      <w:pPr>
        <w:spacing w:after="260"/>
      </w:pPr>
      <w:r>
        <w:rPr>
          <w:rFonts w:ascii="Century Gothic" w:cs="Century Gothic" w:eastAsia="Century Gothic" w:hAnsi="Century Gothic"/>
          <w:color w:val="1A1F1D"/>
        </w:rPr>
        <w:t xml:space="preserve"/>
      </w:r>
    </w:p>
    <w:p>
      <w:pPr>
        <w:spacing w:after="0"/>
      </w:pPr>
      <w:r>
        <w:rPr>
          <w:rFonts w:ascii="Century Gothic" w:cs="Century Gothic" w:eastAsia="Century Gothic" w:hAnsi="Century Gothic"/>
          <w:b/>
          <w:bCs/>
          <w:color w:val="B07D2B"/>
          <w:sz w:val="26"/>
          <w:szCs w:val="26"/>
        </w:rPr>
        <w:t xml:space="preserve">Pillar One</w:t>
      </w:r>
    </w:p>
    <w:p>
      <w:pPr>
        <w:spacing w:after="60"/>
      </w:pPr>
      <w:r>
        <w:rPr>
          <w:rFonts w:ascii="Century Gothic" w:cs="Century Gothic" w:eastAsia="Century Gothic" w:hAnsi="Century Gothic"/>
          <w:b/>
          <w:bCs/>
          <w:color w:val="14322D"/>
          <w:sz w:val="50"/>
          <w:szCs w:val="50"/>
        </w:rPr>
        <w:t xml:space="preserve">Behaviour &amp; Climate</w:t>
      </w:r>
    </w:p>
    <w:p>
      <w:pPr>
        <w:spacing w:after="300"/>
      </w:pPr>
      <w:r>
        <w:rPr>
          <w:rFonts w:ascii="Century Gothic" w:cs="Century Gothic" w:eastAsia="Century Gothic" w:hAnsi="Century Gothic"/>
          <w:color w:val="1A1F1D"/>
          <w:sz w:val="36"/>
          <w:szCs w:val="36"/>
        </w:rPr>
        <w:t xml:space="preserve">The routines that make a calm, purposeful room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FFFFF" w:val="clear"/>
            <w:tcMar>
              <w:top w:type="dxa" w:w="140"/>
              <w:left w:type="dxa" w:w="220"/>
              <w:bottom w:type="dxa" w:w="140"/>
              <w:right w:type="dxa" w:w="200"/>
            </w:tcMar>
          </w:tcPr>
          <w:p>
            <w:r>
              <w:rPr>
                <w:rFonts w:ascii="Century Gothic" w:cs="Century Gothic" w:eastAsia="Century Gothic" w:hAnsi="Century Gothic"/>
                <w:i/>
                <w:iCs/>
                <w:color w:val="14322D"/>
                <w:sz w:val="26"/>
                <w:szCs w:val="26"/>
              </w:rPr>
              <w:t xml:space="preserve">“A lesson that opens with calm purpose almost never goes off the rails.”</w:t>
            </w:r>
          </w:p>
          <w:p>
            <w:pPr>
              <w:spacing w:before="40"/>
            </w:pPr>
            <w:r>
              <w:rPr>
                <w:rFonts w:ascii="Century Gothic" w:cs="Century Gothic" w:eastAsia="Century Gothic" w:hAnsi="Century Gothic"/>
                <w:color w:val="555F5A"/>
                <w:sz w:val="20"/>
                <w:szCs w:val="20"/>
              </w:rPr>
              <w:t xml:space="preserve">— Pillar 1, Teaching Excellence Programme</w:t>
            </w:r>
          </w:p>
        </w:tc>
      </w:tr>
    </w:tbl>
    <w:p>
      <w:pPr>
        <w:spacing w:after="30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Work through this booklet </w:t>
      </w:r>
      <w:r>
        <w:rPr>
          <w:rFonts w:ascii="Century Gothic" w:cs="Century Gothic" w:eastAsia="Century Gothic" w:hAnsi="Century Gothic"/>
          <w:b/>
          <w:bCs/>
          <w:color w:val="1A1F1D"/>
        </w:rPr>
        <w:t xml:space="preserve">on your own</w:t>
      </w:r>
      <w:r>
        <w:rPr>
          <w:rFonts w:ascii="Century Gothic" w:cs="Century Gothic" w:eastAsia="Century Gothic" w:hAnsi="Century Gothic"/>
          <w:color w:val="1A1F1D"/>
        </w:rPr>
        <w:t xml:space="preserve">, in a </w:t>
      </w:r>
      <w:r>
        <w:rPr>
          <w:rFonts w:ascii="Century Gothic" w:cs="Century Gothic" w:eastAsia="Century Gothic" w:hAnsi="Century Gothic"/>
          <w:b/>
          <w:bCs/>
          <w:color w:val="1A1F1D"/>
        </w:rPr>
        <w:t xml:space="preserve">coaching group of three or four</w:t>
      </w:r>
      <w:r>
        <w:rPr>
          <w:rFonts w:ascii="Century Gothic" w:cs="Century Gothic" w:eastAsia="Century Gothic" w:hAnsi="Century Gothic"/>
          <w:color w:val="1A1F1D"/>
        </w:rPr>
        <w:t xml:space="preserve">, or as a </w:t>
      </w:r>
      <w:r>
        <w:rPr>
          <w:rFonts w:ascii="Century Gothic" w:cs="Century Gothic" w:eastAsia="Century Gothic" w:hAnsi="Century Gothic"/>
          <w:b/>
          <w:bCs/>
          <w:color w:val="1A1F1D"/>
        </w:rPr>
        <w:t xml:space="preserve">subject team</w:t>
      </w:r>
      <w:r>
        <w:rPr>
          <w:rFonts w:ascii="Century Gothic" w:cs="Century Gothic" w:eastAsia="Century Gothic" w:hAnsi="Century Gothic"/>
          <w:color w:val="1A1F1D"/>
        </w:rPr>
        <w:t xml:space="preserve">. It is designed to be used alongside the session that accompanies it, and the self‑guided pages online.</w:t>
      </w:r>
    </w:p>
    <w:p>
      <w:pPr>
        <w:spacing w:after="12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b/>
          <w:bCs/>
          <w:color w:val="1A1F1D"/>
          <w:sz w:val="24"/>
          <w:szCs w:val="24"/>
        </w:rPr>
        <w:t xml:space="preserve">Name: </w:t>
      </w:r>
      <w:r>
        <w:rPr>
          <w:rFonts w:ascii="Century Gothic" w:cs="Century Gothic" w:eastAsia="Century Gothic" w:hAnsi="Century Gothic"/>
          <w:color w:val="1A1F1D"/>
          <w:u w:val="single"/>
        </w:rPr>
        <w:t xml:space="preserve">              </w:t>
      </w:r>
    </w:p>
    <w:p>
      <w:pPr>
        <w:pStyle w:val="Heading1"/>
        <w:pageBreakBefore/>
        <w:spacing w:after="120" w:before="0"/>
      </w:pPr>
      <w:r>
        <w:rPr>
          <w:rFonts w:ascii="Century Gothic" w:cs="Century Gothic" w:eastAsia="Century Gothic" w:hAnsi="Century Gothic"/>
          <w:b/>
          <w:bCs/>
          <w:color w:val="14322D"/>
          <w:sz w:val="30"/>
          <w:szCs w:val="30"/>
        </w:rPr>
        <w:t xml:space="preserve">In this booklet</w:t>
      </w:r>
    </w:p>
    <w:p>
      <w:pPr>
        <w:spacing w:after="120" w:line="276"/>
      </w:pPr>
      <w:r>
        <w:rPr>
          <w:rFonts w:ascii="Century Gothic" w:cs="Century Gothic" w:eastAsia="Century Gothic" w:hAnsi="Century Gothic"/>
          <w:color w:val="1A1F1D"/>
          <w:sz w:val="24"/>
          <w:szCs w:val="24"/>
        </w:rPr>
        <w:t xml:space="preserve">Reading — climate is built, not wished for</w:t>
      </w:r>
    </w:p>
    <w:p>
      <w:pPr>
        <w:spacing w:after="120" w:line="276"/>
      </w:pPr>
      <w:r>
        <w:rPr>
          <w:rFonts w:ascii="Century Gothic" w:cs="Century Gothic" w:eastAsia="Century Gothic" w:hAnsi="Century Gothic"/>
          <w:color w:val="1A1F1D"/>
          <w:sz w:val="24"/>
          <w:szCs w:val="24"/>
        </w:rPr>
        <w:t xml:space="preserve">Part one · Before the lesson</w:t>
      </w:r>
    </w:p>
    <w:p>
      <w:pPr>
        <w:spacing w:after="120" w:line="276"/>
      </w:pPr>
      <w:r>
        <w:rPr>
          <w:rFonts w:ascii="Century Gothic" w:cs="Century Gothic" w:eastAsia="Century Gothic" w:hAnsi="Century Gothic"/>
          <w:color w:val="1A1F1D"/>
          <w:sz w:val="24"/>
          <w:szCs w:val="24"/>
        </w:rPr>
        <w:t xml:space="preserve">Part two · Starting the lesson</w:t>
      </w:r>
    </w:p>
    <w:p>
      <w:pPr>
        <w:spacing w:after="120" w:line="276"/>
      </w:pPr>
      <w:r>
        <w:rPr>
          <w:rFonts w:ascii="Century Gothic" w:cs="Century Gothic" w:eastAsia="Century Gothic" w:hAnsi="Century Gothic"/>
          <w:color w:val="1A1F1D"/>
          <w:sz w:val="24"/>
          <w:szCs w:val="24"/>
        </w:rPr>
        <w:t xml:space="preserve">Part three · During the lesson</w:t>
      </w:r>
    </w:p>
    <w:p>
      <w:pPr>
        <w:spacing w:after="120" w:line="276"/>
      </w:pPr>
      <w:r>
        <w:rPr>
          <w:rFonts w:ascii="Century Gothic" w:cs="Century Gothic" w:eastAsia="Century Gothic" w:hAnsi="Century Gothic"/>
          <w:color w:val="1A1F1D"/>
          <w:sz w:val="24"/>
          <w:szCs w:val="24"/>
        </w:rPr>
        <w:t xml:space="preserve">Part four · Ending the lesson</w:t>
      </w:r>
    </w:p>
    <w:p>
      <w:pPr>
        <w:spacing w:after="120" w:line="276"/>
      </w:pPr>
      <w:r>
        <w:rPr>
          <w:rFonts w:ascii="Century Gothic" w:cs="Century Gothic" w:eastAsia="Century Gothic" w:hAnsi="Century Gothic"/>
          <w:color w:val="1A1F1D"/>
          <w:sz w:val="24"/>
          <w:szCs w:val="24"/>
        </w:rPr>
        <w:t xml:space="preserve">Your climate, this term</w:t>
      </w:r>
    </w:p>
    <w:p>
      <w:pPr>
        <w:spacing w:after="8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How to use this booklet</w:t>
      </w:r>
    </w:p>
    <w:p>
      <w:pPr>
        <w:spacing w:after="120" w:line="276"/>
      </w:pPr>
      <w:r>
        <w:rPr>
          <w:rFonts w:ascii="Century Gothic" w:cs="Century Gothic" w:eastAsia="Century Gothic" w:hAnsi="Century Gothic"/>
          <w:color w:val="1A1F1D"/>
        </w:rPr>
        <w:t xml:space="preserve">This is one of six booklets in the programme, each building expertise in a different area of classroom practice. It is a starting point, not the finish line: pair it with video footage of your own teaching, with coaching and deliberate practice, and with the checklists that sit behind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Three ways to work</w:t>
            </w:r>
          </w:p>
          <w:p>
            <w:pPr>
              <w:pStyle w:val="ListParagraph"/>
              <w:numPr>
                <w:ilvl w:val="0"/>
                <w:numId w:val="2"/>
              </w:numPr>
              <w:spacing w:after="60" w:line="264"/>
            </w:pPr>
            <w:r>
              <w:rPr>
                <w:rFonts w:ascii="Century Gothic" w:cs="Century Gothic" w:eastAsia="Century Gothic" w:hAnsi="Century Gothic"/>
                <w:b/>
                <w:bCs/>
                <w:color w:val="1A1F1D"/>
              </w:rPr>
              <w:t xml:space="preserve">On your own. </w:t>
            </w:r>
            <w:r>
              <w:rPr>
                <w:rFonts w:ascii="Century Gothic" w:cs="Century Gothic" w:eastAsia="Century Gothic" w:hAnsi="Century Gothic"/>
                <w:color w:val="1A1F1D"/>
              </w:rPr>
              <w:t xml:space="preserve">Read, audit your current practice, and complete the independent tasks.</w:t>
            </w:r>
          </w:p>
          <w:p>
            <w:pPr>
              <w:pStyle w:val="ListParagraph"/>
              <w:numPr>
                <w:ilvl w:val="0"/>
                <w:numId w:val="2"/>
              </w:numPr>
              <w:spacing w:after="60" w:line="264"/>
            </w:pPr>
            <w:r>
              <w:rPr>
                <w:rFonts w:ascii="Century Gothic" w:cs="Century Gothic" w:eastAsia="Century Gothic" w:hAnsi="Century Gothic"/>
                <w:b/>
                <w:bCs/>
                <w:color w:val="1A1F1D"/>
              </w:rPr>
              <w:t xml:space="preserve">In a coaching group. </w:t>
            </w:r>
            <w:r>
              <w:rPr>
                <w:rFonts w:ascii="Century Gothic" w:cs="Century Gothic" w:eastAsia="Century Gothic" w:hAnsi="Century Gothic"/>
                <w:color w:val="1A1F1D"/>
              </w:rPr>
              <w:t xml:space="preserve">Three or four colleagues rehearse the practice, observe, and coach one another.</w:t>
            </w:r>
          </w:p>
          <w:p>
            <w:pPr>
              <w:pStyle w:val="ListParagraph"/>
              <w:numPr>
                <w:ilvl w:val="0"/>
                <w:numId w:val="2"/>
              </w:numPr>
              <w:spacing w:after="60" w:line="264"/>
            </w:pPr>
            <w:r>
              <w:rPr>
                <w:rFonts w:ascii="Century Gothic" w:cs="Century Gothic" w:eastAsia="Century Gothic" w:hAnsi="Century Gothic"/>
                <w:b/>
                <w:bCs/>
                <w:color w:val="1A1F1D"/>
              </w:rPr>
              <w:t xml:space="preserve">As a subject team. </w:t>
            </w:r>
            <w:r>
              <w:rPr>
                <w:rFonts w:ascii="Century Gothic" w:cs="Century Gothic" w:eastAsia="Century Gothic" w:hAnsi="Century Gothic"/>
                <w:color w:val="1A1F1D"/>
              </w:rPr>
              <w:t xml:space="preserve">Adapt each method to your subject and agree what ‘water‑tight’ looks like for you.</w:t>
            </w:r>
          </w:p>
        </w:tc>
      </w:tr>
    </w:tbl>
    <w:p>
      <w:pPr>
        <w:spacing w:after="6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This programme is faith‑inspired and virtues‑led, and the practice below is anchored in the virtues of </w:t>
            </w:r>
            <w:r>
              <w:rPr>
                <w:rFonts w:ascii="Century Gothic" w:cs="Century Gothic" w:eastAsia="Century Gothic" w:hAnsi="Century Gothic"/>
                <w:b/>
                <w:bCs/>
                <w:color w:val="1A1F1D"/>
              </w:rPr>
              <w:t xml:space="preserve">Peacefulness, Diligence and Determination</w:t>
            </w:r>
            <w:r>
              <w:rPr>
                <w:rFonts w:ascii="Century Gothic" w:cs="Century Gothic" w:eastAsia="Century Gothic" w:hAnsi="Century Gothic"/>
                <w:color w:val="1A1F1D"/>
              </w:rPr>
              <w:t xml:space="preserve">. Throughout, boxes like this one show the Nishkam version of a practice. Everything else is written to be lifted straight into any classroom — keep the method, give it the language that fits your setting.</w:t>
            </w:r>
          </w:p>
        </w:tc>
      </w:tr>
    </w:tbl>
    <w:p>
      <w:pPr>
        <w:pStyle w:val="Heading1"/>
        <w:pageBreakBefore/>
        <w:spacing w:after="120" w:before="0"/>
      </w:pPr>
      <w:r>
        <w:rPr>
          <w:rFonts w:ascii="Century Gothic" w:cs="Century Gothic" w:eastAsia="Century Gothic" w:hAnsi="Century Gothic"/>
          <w:b/>
          <w:bCs/>
          <w:color w:val="14322D"/>
          <w:sz w:val="30"/>
          <w:szCs w:val="30"/>
        </w:rPr>
        <w:t xml:space="preserve">Reading: climate is built, not wished for</w:t>
      </w:r>
    </w:p>
    <w:p>
      <w:pPr>
        <w:spacing w:after="120" w:line="276"/>
      </w:pPr>
      <w:r>
        <w:rPr>
          <w:rFonts w:ascii="Century Gothic" w:cs="Century Gothic" w:eastAsia="Century Gothic" w:hAnsi="Century Gothic"/>
          <w:color w:val="1A1F1D"/>
        </w:rPr>
        <w:t xml:space="preserve">It is tempting to treat behaviour as something that happens to a teacher — a matter of the class they were given, or the weather, or the time of day. The writers who have shaped behaviour practice over the last twenty years argue almost the opposite: that a calm, purposeful climate is built deliberately, taught like any other content, and held in place by routines.</w:t>
      </w:r>
    </w:p>
    <w:p>
      <w:pPr>
        <w:spacing w:after="120" w:line="276"/>
      </w:pPr>
      <w:r>
        <w:rPr>
          <w:rFonts w:ascii="Century Gothic" w:cs="Century Gothic" w:eastAsia="Century Gothic" w:hAnsi="Century Gothic"/>
          <w:color w:val="1A1F1D"/>
        </w:rPr>
        <w:t xml:space="preserve">Tom Bennett, in his review of behaviour for the Department for Education and in Running the Room, makes the case plainly. Good behaviour is not the absence of trouble; it is the presence of a culture, and culture is created by what is explicitly taught, modelled and maintained. Pupils do not arrive knowing the routines of a particular room. They are taught them, practised in them, and reminded of them until they become the ordinary way the room runs.</w:t>
      </w:r>
    </w:p>
    <w:p>
      <w:pPr>
        <w:spacing w:after="120" w:line="276"/>
      </w:pPr>
      <w:r>
        <w:rPr>
          <w:rFonts w:ascii="Century Gothic" w:cs="Century Gothic" w:eastAsia="Century Gothic" w:hAnsi="Century Gothic"/>
          <w:color w:val="1A1F1D"/>
        </w:rPr>
        <w:t xml:space="preserve">Doug Lemov supplies the mechanism. Routines work because they reduce the number of decisions a pupil has to make, and because they are predictable: the same entry, the same signal for attention, the same response to drift, every lesson. His often‑quoted principle — that what a teacher permits, they promote — is the warning behind it. A routine that is taught but not maintained quietly teaches the class that the routine is optional.</w:t>
      </w:r>
    </w:p>
    <w:p>
      <w:pPr>
        <w:spacing w:after="120" w:line="276"/>
      </w:pPr>
      <w:r>
        <w:rPr>
          <w:rFonts w:ascii="Century Gothic" w:cs="Century Gothic" w:eastAsia="Century Gothic" w:hAnsi="Century Gothic"/>
          <w:color w:val="1A1F1D"/>
        </w:rPr>
        <w:t xml:space="preserve">Bill Rogers adds the manner: correction that is calm, that names the behaviour rather than the child, and that refuses to escalate. Paul Dix adds the consistency: it is the adults, acting the same way as one another, who set the climate of a school. The Education Endowment Foundation’s guidance draws the threads together — know the pupils, teach the routines explicitly, and use consistent, low‑key responses before formal ones.</w:t>
      </w:r>
    </w:p>
    <w:p>
      <w:pPr>
        <w:spacing w:after="120" w:line="276"/>
      </w:pPr>
      <w:r>
        <w:rPr>
          <w:rFonts w:ascii="Century Gothic" w:cs="Century Gothic" w:eastAsia="Century Gothic" w:hAnsi="Century Gothic"/>
          <w:color w:val="1A1F1D"/>
        </w:rPr>
        <w:t xml:space="preserve">Pillar 1 turns that body of thinking into a set of specific Nishkam routines: the language of virtues, the lesson‑start sequence, the Diligence Routine, the strategy ladder, and the controlled close. Each is taught here as a method you can rehearse, not a personality you either have or lack.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First reflections</w:t>
            </w:r>
          </w:p>
          <w:p>
            <w:pPr>
              <w:spacing w:after="120" w:line="276"/>
            </w:pPr>
            <w:r>
              <w:rPr>
                <w:rFonts w:ascii="Century Gothic" w:cs="Century Gothic" w:eastAsia="Century Gothic" w:hAnsi="Century Gothic"/>
                <w:color w:val="1A1F1D"/>
              </w:rPr>
              <w:t xml:space="preserve">Where in your day is the climate strongest, and where does it most often slip? As you read, note which routines you already run by instinct, and which you have never explicitly taught your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Part one: before the lesson</w:t>
      </w:r>
    </w:p>
    <w:p>
      <w:pPr>
        <w:pStyle w:val="Heading2"/>
        <w:spacing w:after="80" w:before="240"/>
      </w:pPr>
      <w:r>
        <w:rPr>
          <w:rFonts w:ascii="Century Gothic" w:cs="Century Gothic" w:eastAsia="Century Gothic" w:hAnsi="Century Gothic"/>
          <w:b/>
          <w:bCs/>
          <w:color w:val="14322D"/>
          <w:sz w:val="24"/>
          <w:szCs w:val="24"/>
        </w:rPr>
        <w:t xml:space="preserve">1.6 · Pre-lesson strategies</w:t>
      </w:r>
    </w:p>
    <w:p>
      <w:pPr>
        <w:spacing w:after="120" w:line="276"/>
      </w:pPr>
      <w:r>
        <w:rPr>
          <w:rFonts w:ascii="Century Gothic" w:cs="Century Gothic" w:eastAsia="Century Gothic" w:hAnsi="Century Gothic"/>
          <w:color w:val="1A1F1D"/>
        </w:rPr>
        <w:t xml:space="preserve">The lesson is shaped in the five minutes before any pupil arrives. The teacher who is ready — resources prepared, starter on the board, room set — can give their full attention to the class as it comes in, rather than scrambling while the climate sets itself.</w:t>
      </w:r>
    </w:p>
    <w:p>
      <w:pPr>
        <w:pStyle w:val="ListParagraph"/>
        <w:numPr>
          <w:ilvl w:val="0"/>
          <w:numId w:val="2"/>
        </w:numPr>
        <w:spacing w:after="60" w:line="264"/>
      </w:pPr>
      <w:r>
        <w:rPr>
          <w:rFonts w:ascii="Century Gothic" w:cs="Century Gothic" w:eastAsia="Century Gothic" w:hAnsi="Century Gothic"/>
          <w:b/>
          <w:bCs/>
          <w:color w:val="1A1F1D"/>
        </w:rPr>
        <w:t xml:space="preserve">Be ready before they arrive. </w:t>
      </w:r>
      <w:r>
        <w:rPr>
          <w:rFonts w:ascii="Century Gothic" w:cs="Century Gothic" w:eastAsia="Century Gothic" w:hAnsi="Century Gothic"/>
          <w:color w:val="1A1F1D"/>
        </w:rPr>
        <w:t xml:space="preserve">Starter on the board, resources to hand, nothing left to find.</w:t>
      </w:r>
    </w:p>
    <w:p>
      <w:pPr>
        <w:pStyle w:val="ListParagraph"/>
        <w:numPr>
          <w:ilvl w:val="0"/>
          <w:numId w:val="2"/>
        </w:numPr>
        <w:spacing w:after="60" w:line="264"/>
      </w:pPr>
      <w:r>
        <w:rPr>
          <w:rFonts w:ascii="Century Gothic" w:cs="Century Gothic" w:eastAsia="Century Gothic" w:hAnsi="Century Gothic"/>
          <w:b/>
          <w:bCs/>
          <w:color w:val="1A1F1D"/>
        </w:rPr>
        <w:t xml:space="preserve">Take the threshold. </w:t>
      </w:r>
      <w:r>
        <w:rPr>
          <w:rFonts w:ascii="Century Gothic" w:cs="Century Gothic" w:eastAsia="Century Gothic" w:hAnsi="Century Gothic"/>
          <w:color w:val="1A1F1D"/>
        </w:rPr>
        <w:t xml:space="preserve">Stand at the door as pupils arrive, visible and settled.</w:t>
      </w:r>
    </w:p>
    <w:p>
      <w:pPr>
        <w:pStyle w:val="ListParagraph"/>
        <w:numPr>
          <w:ilvl w:val="0"/>
          <w:numId w:val="2"/>
        </w:numPr>
        <w:spacing w:after="60" w:line="264"/>
      </w:pPr>
      <w:r>
        <w:rPr>
          <w:rFonts w:ascii="Century Gothic" w:cs="Century Gothic" w:eastAsia="Century Gothic" w:hAnsi="Century Gothic"/>
          <w:b/>
          <w:bCs/>
          <w:color w:val="1A1F1D"/>
        </w:rPr>
        <w:t xml:space="preserve">Greet and direct. </w:t>
      </w:r>
      <w:r>
        <w:rPr>
          <w:rFonts w:ascii="Century Gothic" w:cs="Century Gothic" w:eastAsia="Century Gothic" w:hAnsi="Century Gothic"/>
          <w:color w:val="1A1F1D"/>
        </w:rPr>
        <w:t xml:space="preserve">A greeting by name, and a clear direction to the starter task, sets the tone before the lesson formally begins.</w:t>
      </w:r>
    </w:p>
    <w:p>
      <w:pPr>
        <w:spacing w:after="120" w:line="276"/>
      </w:pPr>
      <w:r>
        <w:rPr>
          <w:rFonts w:ascii="Century Gothic" w:cs="Century Gothic" w:eastAsia="Century Gothic" w:hAnsi="Century Gothic"/>
          <w:b/>
          <w:bCs/>
          <w:color w:val="3F9488"/>
        </w:rPr>
        <w:t xml:space="preserve">What good looks like: </w:t>
      </w:r>
      <w:r>
        <w:rPr>
          <w:rFonts w:ascii="Century Gothic" w:cs="Century Gothic" w:eastAsia="Century Gothic" w:hAnsi="Century Gothic"/>
          <w:color w:val="1A1F1D"/>
        </w:rPr>
        <w:t xml:space="preserve">the teacher is at the door as pupils arrive (LS1), and the starter is on the board before they enter (LS6).</w:t>
      </w:r>
    </w:p>
    <w:p>
      <w:pPr>
        <w:pStyle w:val="Heading1"/>
        <w:pageBreakBefore/>
        <w:spacing w:after="120" w:before="0"/>
      </w:pPr>
      <w:r>
        <w:rPr>
          <w:rFonts w:ascii="Century Gothic" w:cs="Century Gothic" w:eastAsia="Century Gothic" w:hAnsi="Century Gothic"/>
          <w:b/>
          <w:bCs/>
          <w:color w:val="14322D"/>
          <w:sz w:val="30"/>
          <w:szCs w:val="30"/>
        </w:rPr>
        <w:t xml:space="preserve">Part two: starting the lesson</w:t>
      </w:r>
    </w:p>
    <w:p>
      <w:pPr>
        <w:pStyle w:val="Heading2"/>
        <w:spacing w:after="80" w:before="240"/>
      </w:pPr>
      <w:r>
        <w:rPr>
          <w:rFonts w:ascii="Century Gothic" w:cs="Century Gothic" w:eastAsia="Century Gothic" w:hAnsi="Century Gothic"/>
          <w:b/>
          <w:bCs/>
          <w:color w:val="14322D"/>
          <w:sz w:val="24"/>
          <w:szCs w:val="24"/>
        </w:rPr>
        <w:t xml:space="preserve">1.2 · Lesson starts</w:t>
      </w:r>
    </w:p>
    <w:p>
      <w:pPr>
        <w:spacing w:after="120" w:line="276"/>
      </w:pPr>
      <w:r>
        <w:rPr>
          <w:rFonts w:ascii="Century Gothic" w:cs="Century Gothic" w:eastAsia="Century Gothic" w:hAnsi="Century Gothic"/>
          <w:color w:val="1A1F1D"/>
        </w:rPr>
        <w:t xml:space="preserve">A lesson that opens with calm purpose almost never goes off the rails; a lesson that opens with drift almost never recovers. The Lesson Starts sequence is six stages, from settling the class through to the 30‑Second Reflection, that turn arrival into focused work.</w:t>
      </w:r>
    </w:p>
    <w:p>
      <w:pPr>
        <w:pStyle w:val="ListParagraph"/>
        <w:numPr>
          <w:ilvl w:val="0"/>
          <w:numId w:val="2"/>
        </w:numPr>
        <w:spacing w:after="60" w:line="264"/>
      </w:pPr>
      <w:r>
        <w:rPr>
          <w:rFonts w:ascii="Century Gothic" w:cs="Century Gothic" w:eastAsia="Century Gothic" w:hAnsi="Century Gothic"/>
          <w:b/>
          <w:bCs/>
          <w:color w:val="1A1F1D"/>
        </w:rPr>
        <w:t xml:space="preserve">Settle at the door, then in. </w:t>
      </w:r>
      <w:r>
        <w:rPr>
          <w:rFonts w:ascii="Century Gothic" w:cs="Century Gothic" w:eastAsia="Century Gothic" w:hAnsi="Century Gothic"/>
          <w:color w:val="1A1F1D"/>
        </w:rPr>
        <w:t xml:space="preserve">The greeting and the starter mean pupils are working within moments of entering.</w:t>
      </w:r>
    </w:p>
    <w:p>
      <w:pPr>
        <w:pStyle w:val="ListParagraph"/>
        <w:numPr>
          <w:ilvl w:val="0"/>
          <w:numId w:val="2"/>
        </w:numPr>
        <w:spacing w:after="60" w:line="264"/>
      </w:pPr>
      <w:r>
        <w:rPr>
          <w:rFonts w:ascii="Century Gothic" w:cs="Century Gothic" w:eastAsia="Century Gothic" w:hAnsi="Century Gothic"/>
          <w:b/>
          <w:bCs/>
          <w:color w:val="1A1F1D"/>
        </w:rPr>
        <w:t xml:space="preserve">Gain attention with the Diligence trigger. </w:t>
      </w:r>
      <w:r>
        <w:rPr>
          <w:rFonts w:ascii="Century Gothic" w:cs="Century Gothic" w:eastAsia="Century Gothic" w:hAnsi="Century Gothic"/>
          <w:color w:val="1A1F1D"/>
        </w:rPr>
        <w:t xml:space="preserve">A single, taught signal, given from a strong position into a pause.</w:t>
      </w:r>
    </w:p>
    <w:p>
      <w:pPr>
        <w:pStyle w:val="ListParagraph"/>
        <w:numPr>
          <w:ilvl w:val="0"/>
          <w:numId w:val="2"/>
        </w:numPr>
        <w:spacing w:after="60" w:line="264"/>
      </w:pPr>
      <w:r>
        <w:rPr>
          <w:rFonts w:ascii="Century Gothic" w:cs="Century Gothic" w:eastAsia="Century Gothic" w:hAnsi="Century Gothic"/>
          <w:b/>
          <w:bCs/>
          <w:color w:val="1A1F1D"/>
        </w:rPr>
        <w:t xml:space="preserve">Move through to the 30‑Second Reflection. </w:t>
      </w:r>
      <w:r>
        <w:rPr>
          <w:rFonts w:ascii="Century Gothic" w:cs="Century Gothic" w:eastAsia="Century Gothic" w:hAnsi="Century Gothic"/>
          <w:color w:val="1A1F1D"/>
        </w:rPr>
        <w:t xml:space="preserve">The sequence ends in a short, settling reflection that sets the standard for the lesson.</w:t>
      </w:r>
    </w:p>
    <w:p>
      <w:pPr>
        <w:pStyle w:val="Heading2"/>
        <w:spacing w:after="80" w:before="240"/>
      </w:pPr>
      <w:r>
        <w:rPr>
          <w:rFonts w:ascii="Century Gothic" w:cs="Century Gothic" w:eastAsia="Century Gothic" w:hAnsi="Century Gothic"/>
          <w:b/>
          <w:bCs/>
          <w:color w:val="14322D"/>
          <w:sz w:val="24"/>
          <w:szCs w:val="24"/>
        </w:rPr>
        <w:t xml:space="preserve">1.1 · The language of virtues</w:t>
      </w:r>
    </w:p>
    <w:p>
      <w:pPr>
        <w:spacing w:after="120" w:line="276"/>
      </w:pPr>
      <w:r>
        <w:rPr>
          <w:rFonts w:ascii="Century Gothic" w:cs="Century Gothic" w:eastAsia="Century Gothic" w:hAnsi="Century Gothic"/>
          <w:color w:val="1A1F1D"/>
        </w:rPr>
        <w:t xml:space="preserve">A school that names virtues, day in and day out, builds a different kind of classroom from one that simply asks pupils to ‘behave’. The language of virtues replaces bare commands with the standard the school holds: Peacefulness, Diligence and Determination. It runs through the whole lesson in six moves.</w:t>
      </w:r>
    </w:p>
    <w:p>
      <w:pPr>
        <w:pStyle w:val="ListParagraph"/>
        <w:numPr>
          <w:ilvl w:val="0"/>
          <w:numId w:val="3"/>
        </w:numPr>
        <w:spacing w:after="60" w:line="264"/>
      </w:pPr>
      <w:r>
        <w:rPr>
          <w:rFonts w:ascii="Century Gothic" w:cs="Century Gothic" w:eastAsia="Century Gothic" w:hAnsi="Century Gothic"/>
          <w:color w:val="1A1F1D"/>
        </w:rPr>
        <w:t xml:space="preserve">Open with virtues. In the first minute, the words peacefulness, diligence or determination set the standard.</w:t>
      </w:r>
    </w:p>
    <w:p>
      <w:pPr>
        <w:pStyle w:val="ListParagraph"/>
        <w:numPr>
          <w:ilvl w:val="0"/>
          <w:numId w:val="3"/>
        </w:numPr>
        <w:spacing w:after="60" w:line="264"/>
      </w:pPr>
      <w:r>
        <w:rPr>
          <w:rFonts w:ascii="Century Gothic" w:cs="Century Gothic" w:eastAsia="Century Gothic" w:hAnsi="Century Gothic"/>
          <w:color w:val="1A1F1D"/>
        </w:rPr>
        <w:t xml:space="preserve">Praise by naming. When a pupil does the right thing, name the virtue it shows.</w:t>
      </w:r>
    </w:p>
    <w:p>
      <w:pPr>
        <w:pStyle w:val="ListParagraph"/>
        <w:numPr>
          <w:ilvl w:val="0"/>
          <w:numId w:val="3"/>
        </w:numPr>
        <w:spacing w:after="60" w:line="264"/>
      </w:pPr>
      <w:r>
        <w:rPr>
          <w:rFonts w:ascii="Century Gothic" w:cs="Century Gothic" w:eastAsia="Century Gothic" w:hAnsi="Century Gothic"/>
          <w:color w:val="1A1F1D"/>
        </w:rPr>
        <w:t xml:space="preserve">Correct by asking. When a pupil falls short, ask for the virtue rather than narrating the failure.</w:t>
      </w:r>
    </w:p>
    <w:p>
      <w:pPr>
        <w:pStyle w:val="ListParagraph"/>
        <w:numPr>
          <w:ilvl w:val="0"/>
          <w:numId w:val="3"/>
        </w:numPr>
        <w:spacing w:after="60" w:line="264"/>
      </w:pPr>
      <w:r>
        <w:rPr>
          <w:rFonts w:ascii="Century Gothic" w:cs="Century Gothic" w:eastAsia="Century Gothic" w:hAnsi="Century Gothic"/>
          <w:color w:val="1A1F1D"/>
        </w:rPr>
        <w:t xml:space="preserve">Reflect with silence. The 30‑Second Reflection opens the lesson in stillness.</w:t>
      </w:r>
    </w:p>
    <w:p>
      <w:pPr>
        <w:pStyle w:val="ListParagraph"/>
        <w:numPr>
          <w:ilvl w:val="0"/>
          <w:numId w:val="3"/>
        </w:numPr>
        <w:spacing w:after="60" w:line="264"/>
      </w:pPr>
      <w:r>
        <w:rPr>
          <w:rFonts w:ascii="Century Gothic" w:cs="Century Gothic" w:eastAsia="Century Gothic" w:hAnsi="Century Gothic"/>
          <w:color w:val="1A1F1D"/>
        </w:rPr>
        <w:t xml:space="preserve">Reset by returning. When a class drifts, return to the virtue rather than raising the voice.</w:t>
      </w:r>
    </w:p>
    <w:p>
      <w:pPr>
        <w:pStyle w:val="ListParagraph"/>
        <w:numPr>
          <w:ilvl w:val="0"/>
          <w:numId w:val="3"/>
        </w:numPr>
        <w:spacing w:after="60" w:line="264"/>
      </w:pPr>
      <w:r>
        <w:rPr>
          <w:rFonts w:ascii="Century Gothic" w:cs="Century Gothic" w:eastAsia="Century Gothic" w:hAnsi="Century Gothic"/>
          <w:color w:val="1A1F1D"/>
        </w:rPr>
        <w:t xml:space="preserve">Close with a thank-you. End by naming what the class showed.</w:t>
      </w:r>
    </w:p>
    <w:p>
      <w:pPr>
        <w:pStyle w:val="Heading2"/>
        <w:spacing w:after="80" w:before="240"/>
      </w:pPr>
      <w:r>
        <w:rPr>
          <w:rFonts w:ascii="Century Gothic" w:cs="Century Gothic" w:eastAsia="Century Gothic" w:hAnsi="Century Gothic"/>
          <w:b/>
          <w:bCs/>
          <w:color w:val="14322D"/>
          <w:sz w:val="24"/>
          <w:szCs w:val="24"/>
        </w:rPr>
        <w:t xml:space="preserve">1.4 · The 30-Second Reflection</w:t>
      </w:r>
    </w:p>
    <w:p>
      <w:pPr>
        <w:spacing w:after="120" w:line="276"/>
      </w:pPr>
      <w:r>
        <w:rPr>
          <w:rFonts w:ascii="Century Gothic" w:cs="Century Gothic" w:eastAsia="Century Gothic" w:hAnsi="Century Gothic"/>
          <w:color w:val="1A1F1D"/>
        </w:rPr>
        <w:t xml:space="preserve">The thirty seconds of silent reflection that open a lesson are, in practice, the most‑violated moment in the day and one of the deepest skills in the pillar. The discipline is simple and hard: hold the full thirty seconds in genuine silence, every time, so that the class learns the room can be still.</w:t>
      </w:r>
    </w:p>
    <w:p>
      <w:pPr>
        <w:pStyle w:val="ListParagraph"/>
        <w:numPr>
          <w:ilvl w:val="0"/>
          <w:numId w:val="2"/>
        </w:numPr>
        <w:spacing w:after="60" w:line="264"/>
      </w:pPr>
      <w:r>
        <w:rPr>
          <w:rFonts w:ascii="Century Gothic" w:cs="Century Gothic" w:eastAsia="Century Gothic" w:hAnsi="Century Gothic"/>
          <w:b/>
          <w:bCs/>
          <w:color w:val="1A1F1D"/>
        </w:rPr>
        <w:t xml:space="preserve">Hold the clock. </w:t>
      </w:r>
      <w:r>
        <w:rPr>
          <w:rFonts w:ascii="Century Gothic" w:cs="Century Gothic" w:eastAsia="Century Gothic" w:hAnsi="Century Gothic"/>
          <w:color w:val="1A1F1D"/>
        </w:rPr>
        <w:t xml:space="preserve">Thirty seconds means thirty seconds, not the ten the teacher can bear.</w:t>
      </w:r>
    </w:p>
    <w:p>
      <w:pPr>
        <w:pStyle w:val="ListParagraph"/>
        <w:numPr>
          <w:ilvl w:val="0"/>
          <w:numId w:val="2"/>
        </w:numPr>
        <w:spacing w:after="60" w:line="264"/>
      </w:pPr>
      <w:r>
        <w:rPr>
          <w:rFonts w:ascii="Century Gothic" w:cs="Century Gothic" w:eastAsia="Century Gothic" w:hAnsi="Century Gothic"/>
          <w:b/>
          <w:bCs/>
          <w:color w:val="1A1F1D"/>
        </w:rPr>
        <w:t xml:space="preserve">Protect the silence. </w:t>
      </w:r>
      <w:r>
        <w:rPr>
          <w:rFonts w:ascii="Century Gothic" w:cs="Century Gothic" w:eastAsia="Century Gothic" w:hAnsi="Century Gothic"/>
          <w:color w:val="1A1F1D"/>
        </w:rPr>
        <w:t xml:space="preserve">When it collapses, reset calmly rather than abandoning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Reflection — the start of your lessons</w:t>
            </w:r>
          </w:p>
          <w:p>
            <w:pPr>
              <w:spacing w:after="120" w:line="276"/>
            </w:pPr>
            <w:r>
              <w:rPr>
                <w:rFonts w:ascii="Century Gothic" w:cs="Century Gothic" w:eastAsia="Century Gothic" w:hAnsi="Century Gothic"/>
                <w:color w:val="1A1F1D"/>
              </w:rPr>
              <w:t xml:space="preserve">Which of the six moves of the language of virtues do you already make? Which would change your room most if you made it consistently? And honestly: how long does your 30‑Second Reflection actually last?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Part three: during the lesson</w:t>
      </w:r>
    </w:p>
    <w:p>
      <w:pPr>
        <w:pStyle w:val="Heading2"/>
        <w:spacing w:after="80" w:before="240"/>
      </w:pPr>
      <w:r>
        <w:rPr>
          <w:rFonts w:ascii="Century Gothic" w:cs="Century Gothic" w:eastAsia="Century Gothic" w:hAnsi="Century Gothic"/>
          <w:b/>
          <w:bCs/>
          <w:color w:val="14322D"/>
          <w:sz w:val="24"/>
          <w:szCs w:val="24"/>
        </w:rPr>
        <w:t xml:space="preserve">1.3 · The Diligence Routine</w:t>
      </w:r>
    </w:p>
    <w:p>
      <w:pPr>
        <w:spacing w:after="120" w:line="276"/>
      </w:pPr>
      <w:r>
        <w:rPr>
          <w:rFonts w:ascii="Century Gothic" w:cs="Century Gothic" w:eastAsia="Century Gothic" w:hAnsi="Century Gothic"/>
          <w:color w:val="1A1F1D"/>
        </w:rPr>
        <w:t xml:space="preserve">The Diligence Routine is the in‑lesson sequence that moves a class from independent work back to attention. It is run many times in a lesson — before a new instruction, before a worked example, before a transition — and its power is in its sameness.</w:t>
      </w:r>
    </w:p>
    <w:p>
      <w:pPr>
        <w:pStyle w:val="ListParagraph"/>
        <w:numPr>
          <w:ilvl w:val="0"/>
          <w:numId w:val="4"/>
        </w:numPr>
        <w:spacing w:after="60" w:line="264"/>
      </w:pPr>
      <w:r>
        <w:rPr>
          <w:rFonts w:ascii="Century Gothic" w:cs="Century Gothic" w:eastAsia="Century Gothic" w:hAnsi="Century Gothic"/>
          <w:color w:val="1A1F1D"/>
        </w:rPr>
        <w:t xml:space="preserve">Stand in a strong position and wait two seconds before speaking.</w:t>
      </w:r>
    </w:p>
    <w:p>
      <w:pPr>
        <w:pStyle w:val="ListParagraph"/>
        <w:numPr>
          <w:ilvl w:val="0"/>
          <w:numId w:val="4"/>
        </w:numPr>
        <w:spacing w:after="60" w:line="264"/>
      </w:pPr>
      <w:r>
        <w:rPr>
          <w:rFonts w:ascii="Century Gothic" w:cs="Century Gothic" w:eastAsia="Century Gothic" w:hAnsi="Century Gothic"/>
          <w:color w:val="1A1F1D"/>
        </w:rPr>
        <w:t xml:space="preserve">Deliver the attention word — ‘Diligence’ — at normal volume, then stop speaking.</w:t>
      </w:r>
    </w:p>
    <w:p>
      <w:pPr>
        <w:pStyle w:val="ListParagraph"/>
        <w:numPr>
          <w:ilvl w:val="0"/>
          <w:numId w:val="4"/>
        </w:numPr>
        <w:spacing w:after="60" w:line="264"/>
      </w:pPr>
      <w:r>
        <w:rPr>
          <w:rFonts w:ascii="Century Gothic" w:cs="Century Gothic" w:eastAsia="Century Gothic" w:hAnsi="Century Gothic"/>
          <w:color w:val="1A1F1D"/>
        </w:rPr>
        <w:t xml:space="preserve">Pause and scan for full compliance before going on.</w:t>
      </w:r>
    </w:p>
    <w:p>
      <w:pPr>
        <w:spacing w:after="120" w:line="276"/>
      </w:pPr>
      <w:r>
        <w:rPr>
          <w:rFonts w:ascii="Century Gothic" w:cs="Century Gothic" w:eastAsia="Century Gothic" w:hAnsi="Century Gothic"/>
          <w:b/>
          <w:bCs/>
          <w:color w:val="3F9488"/>
        </w:rPr>
        <w:t xml:space="preserve">What good looks like: </w:t>
      </w:r>
      <w:r>
        <w:rPr>
          <w:rFonts w:ascii="Century Gothic" w:cs="Century Gothic" w:eastAsia="Century Gothic" w:hAnsi="Century Gothic"/>
          <w:color w:val="1A1F1D"/>
        </w:rPr>
        <w:t xml:space="preserve">‘Diligence’ is used as the attention mantra (BFL3), the teacher pauses and scans for full compliance (BFL4), instructions are clear and at most three steps (BFL5), and pupils act on the first instruction (BFL6).</w:t>
      </w:r>
    </w:p>
    <w:p>
      <w:pPr>
        <w:pStyle w:val="Heading2"/>
        <w:spacing w:after="80" w:before="240"/>
      </w:pPr>
      <w:r>
        <w:rPr>
          <w:rFonts w:ascii="Century Gothic" w:cs="Century Gothic" w:eastAsia="Century Gothic" w:hAnsi="Century Gothic"/>
          <w:b/>
          <w:bCs/>
          <w:color w:val="14322D"/>
          <w:sz w:val="24"/>
          <w:szCs w:val="24"/>
        </w:rPr>
        <w:t xml:space="preserve">1.7 · In-lesson strategies</w:t>
      </w:r>
    </w:p>
    <w:p>
      <w:pPr>
        <w:spacing w:after="120" w:line="276"/>
      </w:pPr>
      <w:r>
        <w:rPr>
          <w:rFonts w:ascii="Century Gothic" w:cs="Century Gothic" w:eastAsia="Century Gothic" w:hAnsi="Century Gothic"/>
          <w:color w:val="1A1F1D"/>
        </w:rPr>
        <w:t xml:space="preserve">Between the everyday routine and the formal warning sits a ladder of low‑key interventions a skilled teacher uses ten or fifteen times a lesson, before anything escalates. They work because they are quiet, and because they preserve the lesson and the pupil’s dignity.</w:t>
      </w:r>
    </w:p>
    <w:p>
      <w:pPr>
        <w:pStyle w:val="ListParagraph"/>
        <w:numPr>
          <w:ilvl w:val="0"/>
          <w:numId w:val="5"/>
        </w:numPr>
        <w:spacing w:after="60" w:line="264"/>
      </w:pPr>
      <w:r>
        <w:rPr>
          <w:rFonts w:ascii="Century Gothic" w:cs="Century Gothic" w:eastAsia="Century Gothic" w:hAnsi="Century Gothic"/>
          <w:color w:val="1A1F1D"/>
        </w:rPr>
        <w:t xml:space="preserve">Positioning — stand where the drift is.</w:t>
      </w:r>
    </w:p>
    <w:p>
      <w:pPr>
        <w:pStyle w:val="ListParagraph"/>
        <w:numPr>
          <w:ilvl w:val="0"/>
          <w:numId w:val="5"/>
        </w:numPr>
        <w:spacing w:after="60" w:line="264"/>
      </w:pPr>
      <w:r>
        <w:rPr>
          <w:rFonts w:ascii="Century Gothic" w:cs="Century Gothic" w:eastAsia="Century Gothic" w:hAnsi="Century Gothic"/>
          <w:color w:val="1A1F1D"/>
        </w:rPr>
        <w:t xml:space="preserve">Proximity — move calmly towards it.</w:t>
      </w:r>
    </w:p>
    <w:p>
      <w:pPr>
        <w:pStyle w:val="ListParagraph"/>
        <w:numPr>
          <w:ilvl w:val="0"/>
          <w:numId w:val="5"/>
        </w:numPr>
        <w:spacing w:after="60" w:line="264"/>
      </w:pPr>
      <w:r>
        <w:rPr>
          <w:rFonts w:ascii="Century Gothic" w:cs="Century Gothic" w:eastAsia="Century Gothic" w:hAnsi="Century Gothic"/>
          <w:color w:val="1A1F1D"/>
        </w:rPr>
        <w:t xml:space="preserve">Eye-meet — a look that says you have seen it.</w:t>
      </w:r>
    </w:p>
    <w:p>
      <w:pPr>
        <w:pStyle w:val="ListParagraph"/>
        <w:numPr>
          <w:ilvl w:val="0"/>
          <w:numId w:val="5"/>
        </w:numPr>
        <w:spacing w:after="60" w:line="264"/>
      </w:pPr>
      <w:r>
        <w:rPr>
          <w:rFonts w:ascii="Century Gothic" w:cs="Century Gothic" w:eastAsia="Century Gothic" w:hAnsi="Century Gothic"/>
          <w:color w:val="1A1F1D"/>
        </w:rPr>
        <w:t xml:space="preserve">Strong-position reset — a still, settled stance.</w:t>
      </w:r>
    </w:p>
    <w:p>
      <w:pPr>
        <w:pStyle w:val="ListParagraph"/>
        <w:numPr>
          <w:ilvl w:val="0"/>
          <w:numId w:val="5"/>
        </w:numPr>
        <w:spacing w:after="60" w:line="264"/>
      </w:pPr>
      <w:r>
        <w:rPr>
          <w:rFonts w:ascii="Century Gothic" w:cs="Century Gothic" w:eastAsia="Century Gothic" w:hAnsi="Century Gothic"/>
          <w:color w:val="1A1F1D"/>
        </w:rPr>
        <w:t xml:space="preserve">Named virtue — the quiet reminder of the standard.</w:t>
      </w:r>
    </w:p>
    <w:p>
      <w:pPr>
        <w:pStyle w:val="Heading2"/>
        <w:spacing w:after="80" w:before="240"/>
      </w:pPr>
      <w:r>
        <w:rPr>
          <w:rFonts w:ascii="Century Gothic" w:cs="Century Gothic" w:eastAsia="Century Gothic" w:hAnsi="Century Gothic"/>
          <w:b/>
          <w:bCs/>
          <w:color w:val="14322D"/>
          <w:sz w:val="24"/>
          <w:szCs w:val="24"/>
        </w:rPr>
        <w:t xml:space="preserve">1.5 · Behaviour for learning in class</w:t>
      </w:r>
    </w:p>
    <w:p>
      <w:pPr>
        <w:spacing w:after="120" w:line="276"/>
      </w:pPr>
      <w:r>
        <w:rPr>
          <w:rFonts w:ascii="Century Gothic" w:cs="Century Gothic" w:eastAsia="Century Gothic" w:hAnsi="Century Gothic"/>
          <w:color w:val="1A1F1D"/>
        </w:rPr>
        <w:t xml:space="preserve">Much of behaviour is the handling of ordinary mid‑lesson moments — the request, the question, the small drift — through a calm verbal exchange that acknowledges the pupil and returns them to the task without breaking the flow of the lesson.</w:t>
      </w:r>
    </w:p>
    <w:p>
      <w:pPr>
        <w:pStyle w:val="ListParagraph"/>
        <w:numPr>
          <w:ilvl w:val="0"/>
          <w:numId w:val="2"/>
        </w:numPr>
        <w:spacing w:after="60" w:line="264"/>
      </w:pPr>
      <w:r>
        <w:rPr>
          <w:rFonts w:ascii="Century Gothic" w:cs="Century Gothic" w:eastAsia="Century Gothic" w:hAnsi="Century Gothic"/>
          <w:b/>
          <w:bCs/>
          <w:color w:val="1A1F1D"/>
        </w:rPr>
        <w:t xml:space="preserve">Acknowledge, then redirect. </w:t>
      </w:r>
      <w:r>
        <w:rPr>
          <w:rFonts w:ascii="Century Gothic" w:cs="Century Gothic" w:eastAsia="Century Gothic" w:hAnsi="Century Gothic"/>
          <w:color w:val="1A1F1D"/>
        </w:rPr>
        <w:t xml:space="preserve">Hear the request, and return the pupil to the work in the same breath.</w:t>
      </w:r>
    </w:p>
    <w:p>
      <w:pPr>
        <w:pStyle w:val="ListParagraph"/>
        <w:numPr>
          <w:ilvl w:val="0"/>
          <w:numId w:val="2"/>
        </w:numPr>
        <w:spacing w:after="60" w:line="264"/>
      </w:pPr>
      <w:r>
        <w:rPr>
          <w:rFonts w:ascii="Century Gothic" w:cs="Century Gothic" w:eastAsia="Century Gothic" w:hAnsi="Century Gothic"/>
          <w:b/>
          <w:bCs/>
          <w:color w:val="1A1F1D"/>
        </w:rPr>
        <w:t xml:space="preserve">Keep it low‑key. </w:t>
      </w:r>
      <w:r>
        <w:rPr>
          <w:rFonts w:ascii="Century Gothic" w:cs="Century Gothic" w:eastAsia="Century Gothic" w:hAnsi="Century Gothic"/>
          <w:color w:val="1A1F1D"/>
        </w:rPr>
        <w:t xml:space="preserve">The exchange settles the moment without making it an event.</w:t>
      </w:r>
    </w:p>
    <w:p>
      <w:pPr>
        <w:pStyle w:val="Heading2"/>
        <w:spacing w:after="80" w:before="240"/>
      </w:pPr>
      <w:r>
        <w:rPr>
          <w:rFonts w:ascii="Century Gothic" w:cs="Century Gothic" w:eastAsia="Century Gothic" w:hAnsi="Century Gothic"/>
          <w:b/>
          <w:bCs/>
          <w:color w:val="14322D"/>
          <w:sz w:val="24"/>
          <w:szCs w:val="24"/>
        </w:rPr>
        <w:t xml:space="preserve">1.8 · Direct intervention</w:t>
      </w:r>
    </w:p>
    <w:p>
      <w:pPr>
        <w:spacing w:after="120" w:line="276"/>
      </w:pPr>
      <w:r>
        <w:rPr>
          <w:rFonts w:ascii="Century Gothic" w:cs="Century Gothic" w:eastAsia="Century Gothic" w:hAnsi="Century Gothic"/>
          <w:color w:val="1A1F1D"/>
        </w:rPr>
        <w:t xml:space="preserve">When the low‑key ladder has not worked, the formal warning begins. It is delivered in the school’s standard wording, names the behaviour clearly, states the consequence, and is given in the same calm register as everything else. Consistency here is what makes it fair and what makes it work.</w:t>
      </w:r>
    </w:p>
    <w:p>
      <w:pPr>
        <w:pStyle w:val="ListParagraph"/>
        <w:numPr>
          <w:ilvl w:val="0"/>
          <w:numId w:val="2"/>
        </w:numPr>
        <w:spacing w:after="60" w:line="264"/>
      </w:pPr>
      <w:r>
        <w:rPr>
          <w:rFonts w:ascii="Century Gothic" w:cs="Century Gothic" w:eastAsia="Century Gothic" w:hAnsi="Century Gothic"/>
          <w:b/>
          <w:bCs/>
          <w:color w:val="1A1F1D"/>
        </w:rPr>
        <w:t xml:space="preserve">Name the behaviour, not the pupil. </w:t>
      </w:r>
      <w:r>
        <w:rPr>
          <w:rFonts w:ascii="Century Gothic" w:cs="Century Gothic" w:eastAsia="Century Gothic" w:hAnsi="Century Gothic"/>
          <w:color w:val="1A1F1D"/>
        </w:rPr>
        <w:t xml:space="preserve">The warning describes what was done, plainly.</w:t>
      </w:r>
    </w:p>
    <w:p>
      <w:pPr>
        <w:pStyle w:val="ListParagraph"/>
        <w:numPr>
          <w:ilvl w:val="0"/>
          <w:numId w:val="2"/>
        </w:numPr>
        <w:spacing w:after="60" w:line="264"/>
      </w:pPr>
      <w:r>
        <w:rPr>
          <w:rFonts w:ascii="Century Gothic" w:cs="Century Gothic" w:eastAsia="Century Gothic" w:hAnsi="Century Gothic"/>
          <w:b/>
          <w:bCs/>
          <w:color w:val="1A1F1D"/>
        </w:rPr>
        <w:t xml:space="preserve">Standard wording, calm register. </w:t>
      </w:r>
      <w:r>
        <w:rPr>
          <w:rFonts w:ascii="Century Gothic" w:cs="Century Gothic" w:eastAsia="Century Gothic" w:hAnsi="Century Gothic"/>
          <w:color w:val="1A1F1D"/>
        </w:rPr>
        <w:t xml:space="preserve">The same words and tone every time, so the warning carries weight.</w:t>
      </w:r>
    </w:p>
    <w:p>
      <w:pPr>
        <w:pStyle w:val="ListParagraph"/>
        <w:numPr>
          <w:ilvl w:val="0"/>
          <w:numId w:val="2"/>
        </w:numPr>
        <w:spacing w:after="60" w:line="264"/>
      </w:pPr>
      <w:r>
        <w:rPr>
          <w:rFonts w:ascii="Century Gothic" w:cs="Century Gothic" w:eastAsia="Century Gothic" w:hAnsi="Century Gothic"/>
          <w:b/>
          <w:bCs/>
          <w:color w:val="1A1F1D"/>
        </w:rPr>
        <w:t xml:space="preserve">State the next step. </w:t>
      </w:r>
      <w:r>
        <w:rPr>
          <w:rFonts w:ascii="Century Gothic" w:cs="Century Gothic" w:eastAsia="Century Gothic" w:hAnsi="Century Gothic"/>
          <w:color w:val="1A1F1D"/>
        </w:rPr>
        <w:t xml:space="preserve">The consequence is named, and then followed through.</w:t>
      </w:r>
    </w:p>
    <w:p>
      <w:pPr>
        <w:pStyle w:val="Heading2"/>
        <w:spacing w:after="80" w:before="240"/>
      </w:pPr>
      <w:r>
        <w:rPr>
          <w:rFonts w:ascii="Century Gothic" w:cs="Century Gothic" w:eastAsia="Century Gothic" w:hAnsi="Century Gothic"/>
          <w:b/>
          <w:bCs/>
          <w:color w:val="14322D"/>
          <w:sz w:val="24"/>
          <w:szCs w:val="24"/>
        </w:rPr>
        <w:t xml:space="preserve">1.10 · Other routines</w:t>
      </w:r>
    </w:p>
    <w:p>
      <w:pPr>
        <w:spacing w:after="120" w:line="276"/>
      </w:pPr>
      <w:r>
        <w:rPr>
          <w:rFonts w:ascii="Century Gothic" w:cs="Century Gothic" w:eastAsia="Century Gothic" w:hAnsi="Century Gothic"/>
          <w:color w:val="1A1F1D"/>
        </w:rPr>
        <w:t xml:space="preserve">A lesson is also the small moments around its edges. Four micro‑routines, taught and rehearsed, keep those moments from becoming friction points.</w:t>
      </w:r>
    </w:p>
    <w:p>
      <w:pPr>
        <w:pStyle w:val="ListParagraph"/>
        <w:numPr>
          <w:ilvl w:val="0"/>
          <w:numId w:val="2"/>
        </w:numPr>
        <w:spacing w:after="60" w:line="264"/>
      </w:pPr>
      <w:r>
        <w:rPr>
          <w:rFonts w:ascii="Century Gothic" w:cs="Century Gothic" w:eastAsia="Century Gothic" w:hAnsi="Century Gothic"/>
          <w:b/>
          <w:bCs/>
          <w:color w:val="1A1F1D"/>
        </w:rPr>
        <w:t xml:space="preserve">Equipment handling. </w:t>
      </w:r>
      <w:r>
        <w:rPr>
          <w:rFonts w:ascii="Century Gothic" w:cs="Century Gothic" w:eastAsia="Century Gothic" w:hAnsi="Century Gothic"/>
          <w:color w:val="1A1F1D"/>
        </w:rPr>
        <w:t xml:space="preserve">On desks at the start; collected calmly (OR‑A).</w:t>
      </w:r>
    </w:p>
    <w:p>
      <w:pPr>
        <w:pStyle w:val="ListParagraph"/>
        <w:numPr>
          <w:ilvl w:val="0"/>
          <w:numId w:val="2"/>
        </w:numPr>
        <w:spacing w:after="60" w:line="264"/>
      </w:pPr>
      <w:r>
        <w:rPr>
          <w:rFonts w:ascii="Century Gothic" w:cs="Century Gothic" w:eastAsia="Century Gothic" w:hAnsi="Century Gothic"/>
          <w:b/>
          <w:bCs/>
          <w:color w:val="1A1F1D"/>
        </w:rPr>
        <w:t xml:space="preserve">Transitions. </w:t>
      </w:r>
      <w:r>
        <w:rPr>
          <w:rFonts w:ascii="Century Gothic" w:cs="Century Gothic" w:eastAsia="Century Gothic" w:hAnsi="Century Gothic"/>
          <w:color w:val="1A1F1D"/>
        </w:rPr>
        <w:t xml:space="preserve">Named with the Diligence trigger so the class moves together (OR‑B).</w:t>
      </w:r>
    </w:p>
    <w:p>
      <w:pPr>
        <w:pStyle w:val="ListParagraph"/>
        <w:numPr>
          <w:ilvl w:val="0"/>
          <w:numId w:val="2"/>
        </w:numPr>
        <w:spacing w:after="60" w:line="264"/>
      </w:pPr>
      <w:r>
        <w:rPr>
          <w:rFonts w:ascii="Century Gothic" w:cs="Century Gothic" w:eastAsia="Century Gothic" w:hAnsi="Century Gothic"/>
          <w:b/>
          <w:bCs/>
          <w:color w:val="1A1F1D"/>
        </w:rPr>
        <w:t xml:space="preserve">Reading aloud. </w:t>
      </w:r>
      <w:r>
        <w:rPr>
          <w:rFonts w:ascii="Century Gothic" w:cs="Century Gothic" w:eastAsia="Century Gothic" w:hAnsi="Century Gothic"/>
          <w:color w:val="1A1F1D"/>
        </w:rPr>
        <w:t xml:space="preserve">Uses cold‑call, with a route planned for non‑readers (OR‑C).</w:t>
      </w:r>
    </w:p>
    <w:p>
      <w:pPr>
        <w:pStyle w:val="ListParagraph"/>
        <w:numPr>
          <w:ilvl w:val="0"/>
          <w:numId w:val="2"/>
        </w:numPr>
        <w:spacing w:after="60" w:line="264"/>
      </w:pPr>
      <w:r>
        <w:rPr>
          <w:rFonts w:ascii="Century Gothic" w:cs="Century Gothic" w:eastAsia="Century Gothic" w:hAnsi="Century Gothic"/>
          <w:b/>
          <w:bCs/>
          <w:color w:val="1A1F1D"/>
        </w:rPr>
        <w:t xml:space="preserve">Hand signals. </w:t>
      </w:r>
      <w:r>
        <w:rPr>
          <w:rFonts w:ascii="Century Gothic" w:cs="Century Gothic" w:eastAsia="Century Gothic" w:hAnsi="Century Gothic"/>
          <w:color w:val="1A1F1D"/>
        </w:rPr>
        <w:t xml:space="preserve">Used consistently, so verbal interruption falls away (OR‑D).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Reflection — the body of the lesson</w:t>
            </w:r>
          </w:p>
          <w:p>
            <w:pPr>
              <w:spacing w:after="120" w:line="276"/>
            </w:pPr>
            <w:r>
              <w:rPr>
                <w:rFonts w:ascii="Century Gothic" w:cs="Century Gothic" w:eastAsia="Century Gothic" w:hAnsi="Century Gothic"/>
                <w:color w:val="1A1F1D"/>
              </w:rPr>
              <w:t xml:space="preserve">Which rung of the in‑lesson ladder do you reach for most, and which do you skip? Where do small routines — equipment, transitions, reading aloud — currently cost you time and calm?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Part four: ending the lesson</w:t>
      </w:r>
    </w:p>
    <w:p>
      <w:pPr>
        <w:pStyle w:val="Heading2"/>
        <w:spacing w:after="80" w:before="240"/>
      </w:pPr>
      <w:r>
        <w:rPr>
          <w:rFonts w:ascii="Century Gothic" w:cs="Century Gothic" w:eastAsia="Century Gothic" w:hAnsi="Century Gothic"/>
          <w:b/>
          <w:bCs/>
          <w:color w:val="14322D"/>
          <w:sz w:val="24"/>
          <w:szCs w:val="24"/>
        </w:rPr>
        <w:t xml:space="preserve">1.9 · Lesson endings</w:t>
      </w:r>
    </w:p>
    <w:p>
      <w:pPr>
        <w:spacing w:after="120" w:line="276"/>
      </w:pPr>
      <w:r>
        <w:rPr>
          <w:rFonts w:ascii="Century Gothic" w:cs="Century Gothic" w:eastAsia="Century Gothic" w:hAnsi="Century Gothic"/>
          <w:color w:val="1A1F1D"/>
        </w:rPr>
        <w:t xml:space="preserve">A class dismissed in a controlled, virtue‑anchored way leaves the lesson better than it entered, and hands the corridor and the next teacher a calm class. A class that spills out of the room teaches a different lesson entirely.</w:t>
      </w:r>
    </w:p>
    <w:p>
      <w:pPr>
        <w:pStyle w:val="ListParagraph"/>
        <w:numPr>
          <w:ilvl w:val="0"/>
          <w:numId w:val="6"/>
        </w:numPr>
        <w:spacing w:after="60" w:line="264"/>
      </w:pPr>
      <w:r>
        <w:rPr>
          <w:rFonts w:ascii="Century Gothic" w:cs="Century Gothic" w:eastAsia="Century Gothic" w:hAnsi="Century Gothic"/>
          <w:color w:val="1A1F1D"/>
        </w:rPr>
        <w:t xml:space="preserve">Give a clear pack-up call from a strong position, with time to do it properly.</w:t>
      </w:r>
    </w:p>
    <w:p>
      <w:pPr>
        <w:pStyle w:val="ListParagraph"/>
        <w:numPr>
          <w:ilvl w:val="0"/>
          <w:numId w:val="6"/>
        </w:numPr>
        <w:spacing w:after="60" w:line="264"/>
      </w:pPr>
      <w:r>
        <w:rPr>
          <w:rFonts w:ascii="Century Gothic" w:cs="Century Gothic" w:eastAsia="Century Gothic" w:hAnsi="Century Gothic"/>
          <w:color w:val="1A1F1D"/>
        </w:rPr>
        <w:t xml:space="preserve">Settle the class: still, ready, attention at the front.</w:t>
      </w:r>
    </w:p>
    <w:p>
      <w:pPr>
        <w:pStyle w:val="ListParagraph"/>
        <w:numPr>
          <w:ilvl w:val="0"/>
          <w:numId w:val="6"/>
        </w:numPr>
        <w:spacing w:after="60" w:line="264"/>
      </w:pPr>
      <w:r>
        <w:rPr>
          <w:rFonts w:ascii="Century Gothic" w:cs="Century Gothic" w:eastAsia="Century Gothic" w:hAnsi="Century Gothic"/>
          <w:color w:val="1A1F1D"/>
        </w:rPr>
        <w:t xml:space="preserve">Dismiss row by row, calmly and quietly.</w:t>
      </w:r>
    </w:p>
    <w:p>
      <w:pPr>
        <w:pStyle w:val="ListParagraph"/>
        <w:numPr>
          <w:ilvl w:val="0"/>
          <w:numId w:val="6"/>
        </w:numPr>
        <w:spacing w:after="60" w:line="264"/>
      </w:pPr>
      <w:r>
        <w:rPr>
          <w:rFonts w:ascii="Century Gothic" w:cs="Century Gothic" w:eastAsia="Century Gothic" w:hAnsi="Century Gothic"/>
          <w:color w:val="1A1F1D"/>
        </w:rPr>
        <w:t xml:space="preserve">Complete any prayer or close fully, with attention.</w:t>
      </w:r>
    </w:p>
    <w:p>
      <w:pPr>
        <w:pStyle w:val="ListParagraph"/>
        <w:numPr>
          <w:ilvl w:val="0"/>
          <w:numId w:val="6"/>
        </w:numPr>
        <w:spacing w:after="60" w:line="264"/>
      </w:pPr>
      <w:r>
        <w:rPr>
          <w:rFonts w:ascii="Century Gothic" w:cs="Century Gothic" w:eastAsia="Century Gothic" w:hAnsi="Century Gothic"/>
          <w:color w:val="1A1F1D"/>
        </w:rPr>
        <w:t xml:space="preserve">Take the door for the handover.</w:t>
      </w:r>
    </w:p>
    <w:p>
      <w:pPr>
        <w:spacing w:after="120" w:line="276"/>
      </w:pPr>
      <w:r>
        <w:rPr>
          <w:rFonts w:ascii="Century Gothic" w:cs="Century Gothic" w:eastAsia="Century Gothic" w:hAnsi="Century Gothic"/>
          <w:b/>
          <w:bCs/>
          <w:color w:val="3F9488"/>
        </w:rPr>
        <w:t xml:space="preserve">What good looks like: </w:t>
      </w:r>
      <w:r>
        <w:rPr>
          <w:rFonts w:ascii="Century Gothic" w:cs="Century Gothic" w:eastAsia="Century Gothic" w:hAnsi="Century Gothic"/>
          <w:color w:val="1A1F1D"/>
        </w:rPr>
        <w:t xml:space="preserve">clear pack‑up instructions, enough time to pack away, pupils settled before leaving, an orderly row‑by‑row departure, the close completed properly, and the teacher at the door (LE1–LE6).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The whole pillar is anchored in the three classroom virtues — </w:t>
            </w:r>
            <w:r>
              <w:rPr>
                <w:rFonts w:ascii="Century Gothic" w:cs="Century Gothic" w:eastAsia="Century Gothic" w:hAnsi="Century Gothic"/>
                <w:b/>
                <w:bCs/>
                <w:color w:val="1A1F1D"/>
              </w:rPr>
              <w:t xml:space="preserve">Peacefulness, Diligence and Determination</w:t>
            </w:r>
            <w:r>
              <w:rPr>
                <w:rFonts w:ascii="Century Gothic" w:cs="Century Gothic" w:eastAsia="Century Gothic" w:hAnsi="Century Gothic"/>
                <w:color w:val="1A1F1D"/>
              </w:rPr>
              <w:t xml:space="preserve">. They are not slogans on a wall but the actual language of the room: the standard a teacher praises by naming, asks for in correction, and returns to when a class drifts. Strip out the named virtues and every routine here still works in any school; keep them, and the routines carry a shared moral weight.</w:t>
            </w:r>
          </w:p>
        </w:tc>
      </w:tr>
    </w:tbl>
    <w:p>
      <w:pPr>
        <w:pStyle w:val="Heading1"/>
        <w:pageBreakBefore/>
        <w:spacing w:after="120" w:before="0"/>
      </w:pPr>
      <w:r>
        <w:rPr>
          <w:rFonts w:ascii="Century Gothic" w:cs="Century Gothic" w:eastAsia="Century Gothic" w:hAnsi="Century Gothic"/>
          <w:b/>
          <w:bCs/>
          <w:color w:val="14322D"/>
          <w:sz w:val="30"/>
          <w:szCs w:val="30"/>
        </w:rPr>
        <w:t xml:space="preserve">Your climate, this term</w:t>
      </w:r>
    </w:p>
    <w:p>
      <w:pPr>
        <w:spacing w:after="120" w:line="276"/>
      </w:pPr>
      <w:r>
        <w:rPr>
          <w:rFonts w:ascii="Century Gothic" w:cs="Century Gothic" w:eastAsia="Century Gothic" w:hAnsi="Century Gothic"/>
          <w:color w:val="1A1F1D"/>
        </w:rPr>
        <w:t xml:space="preserve">Behaviour and climate are built one taught routine at a time. Use the space below to turn the reading and the methods into a plan for your own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Where you are now</w:t>
            </w:r>
          </w:p>
          <w:p>
            <w:pPr>
              <w:spacing w:after="120" w:line="276"/>
            </w:pPr>
            <w:r>
              <w:rPr>
                <w:rFonts w:ascii="Century Gothic" w:cs="Century Gothic" w:eastAsia="Century Gothic" w:hAnsi="Century Gothic"/>
                <w:color w:val="1A1F1D"/>
              </w:rPr>
              <w:t xml:space="preserve">Across the lesson — before, start, during, end — mark the one phase where your climate is weakest, and name the single routine in it that you have never explicitly taught your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One routine, taught properly</w:t>
            </w:r>
          </w:p>
          <w:p>
            <w:pPr>
              <w:spacing w:after="120" w:line="276"/>
            </w:pPr>
            <w:r>
              <w:rPr>
                <w:rFonts w:ascii="Century Gothic" w:cs="Century Gothic" w:eastAsia="Century Gothic" w:hAnsi="Century Gothic"/>
                <w:color w:val="1A1F1D"/>
              </w:rPr>
              <w:t xml:space="preserve">Choose one routine from this booklet. Plan how you will teach it explicitly, rehearse it with your class, and maintain it for a fortnight. Note how you will know it has taken 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Continue online, and next steps</w:t>
      </w:r>
    </w:p>
    <w:p>
      <w:pPr>
        <w:spacing w:after="120" w:line="276"/>
      </w:pPr>
      <w:r>
        <w:rPr>
          <w:rFonts w:ascii="Century Gothic" w:cs="Century Gothic" w:eastAsia="Century Gothic" w:hAnsi="Century Gothic"/>
          <w:color w:val="1A1F1D"/>
        </w:rPr>
        <w:t xml:space="preserve">This booklet and the session that accompanies it are the live, facilitated layer. The self‑guided pages online let you revisit the method at your own pace, with the same checklists and worked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Where this goes next</w:t>
            </w:r>
          </w:p>
          <w:p>
            <w:pPr>
              <w:pStyle w:val="ListParagraph"/>
              <w:numPr>
                <w:ilvl w:val="0"/>
                <w:numId w:val="2"/>
              </w:numPr>
              <w:spacing w:after="60" w:line="264"/>
            </w:pPr>
            <w:r>
              <w:rPr>
                <w:rFonts w:ascii="Century Gothic" w:cs="Century Gothic" w:eastAsia="Century Gothic" w:hAnsi="Century Gothic"/>
                <w:b/>
                <w:bCs/>
                <w:color w:val="1A1F1D"/>
              </w:rPr>
              <w:t xml:space="preserve">Online — self‑guided. </w:t>
            </w:r>
            <w:r>
              <w:rPr>
                <w:rFonts w:ascii="Century Gothic" w:cs="Century Gothic" w:eastAsia="Century Gothic" w:hAnsi="Century Gothic"/>
                <w:color w:val="1A1F1D"/>
              </w:rPr>
              <w:t xml:space="preserve">The Pillar 1 modules online cover each of these routines in full — the language of virtues, lesson starts, the Diligence Routine, the strategy ladder, direct intervention, endings and the micro‑routines — with the worked detail and the AI scenario tester for each.</w:t>
            </w:r>
          </w:p>
          <w:p>
            <w:pPr>
              <w:pStyle w:val="ListParagraph"/>
              <w:numPr>
                <w:ilvl w:val="0"/>
                <w:numId w:val="2"/>
              </w:numPr>
              <w:spacing w:after="60" w:line="264"/>
            </w:pPr>
            <w:r>
              <w:rPr>
                <w:rFonts w:ascii="Century Gothic" w:cs="Century Gothic" w:eastAsia="Century Gothic" w:hAnsi="Century Gothic"/>
                <w:b/>
                <w:bCs/>
                <w:color w:val="1A1F1D"/>
              </w:rPr>
              <w:t xml:space="preserve">The checklists. </w:t>
            </w:r>
            <w:r>
              <w:rPr>
                <w:rFonts w:ascii="Century Gothic" w:cs="Century Gothic" w:eastAsia="Century Gothic" w:hAnsi="Century Gothic"/>
                <w:color w:val="1A1F1D"/>
              </w:rPr>
              <w:t xml:space="preserve">Each routine has a short checklist (the BFL, LS, LE and OR codes) you can hold yourself to, observe a colleague against, or use to be observed.</w:t>
            </w:r>
          </w:p>
          <w:p>
            <w:pPr>
              <w:pStyle w:val="ListParagraph"/>
              <w:numPr>
                <w:ilvl w:val="0"/>
                <w:numId w:val="2"/>
              </w:numPr>
              <w:spacing w:after="60" w:line="264"/>
            </w:pPr>
            <w:r>
              <w:rPr>
                <w:rFonts w:ascii="Century Gothic" w:cs="Century Gothic" w:eastAsia="Century Gothic" w:hAnsi="Century Gothic"/>
                <w:b/>
                <w:bCs/>
                <w:color w:val="1A1F1D"/>
              </w:rPr>
              <w:t xml:space="preserve">In the room. </w:t>
            </w:r>
            <w:r>
              <w:rPr>
                <w:rFonts w:ascii="Century Gothic" w:cs="Century Gothic" w:eastAsia="Century Gothic" w:hAnsi="Century Gothic"/>
                <w:color w:val="1A1F1D"/>
              </w:rPr>
              <w:t xml:space="preserve">Bring footage of your own teaching to your next coaching meeting and name one concrete change to make.</w:t>
            </w:r>
          </w:p>
        </w:tc>
      </w:tr>
    </w:tbl>
    <w:p>
      <w:pPr>
        <w:spacing w:after="6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Climate is not wished for; it is built. Teach the routine, rehearse it, and maintain it — and the calm, purposeful room becomes the ordinary one.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2DD" w:sz="4" w:space="6"/>
      </w:pBdr>
      <w:tabs>
        <w:tab w:val="right" w:pos="9026"/>
      </w:tabs>
    </w:pPr>
    <w:r>
      <w:rPr>
        <w:rFonts w:ascii="Century Gothic" w:cs="Century Gothic" w:eastAsia="Century Gothic" w:hAnsi="Century Gothic"/>
        <w:color w:val="555F5A"/>
        <w:sz w:val="16"/>
        <w:szCs w:val="16"/>
      </w:rPr>
      <w:t xml:space="preserve">A Nishkam Schools professional development programme</w:t>
    </w:r>
    <w:r>
      <w:rPr>
        <w:rFonts w:ascii="Century Gothic" w:cs="Century Gothic" w:eastAsia="Century Gothic" w:hAnsi="Century Gothic"/>
        <w:color w:val="555F5A"/>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2DD" w:sz="4" w:space="6"/>
      </w:pBdr>
      <w:tabs>
        <w:tab w:val="right" w:pos="9026"/>
      </w:tabs>
    </w:pPr>
    <w:r>
      <w:rPr>
        <w:rFonts w:ascii="Century Gothic" w:cs="Century Gothic" w:eastAsia="Century Gothic" w:hAnsi="Century Gothic"/>
        <w:b/>
        <w:bCs/>
        <w:caps/>
        <w:color w:val="3F9488"/>
        <w:sz w:val="16"/>
        <w:szCs w:val="16"/>
      </w:rPr>
      <w:t xml:space="preserve">TEACHING EXCELLENCE PROGRAMME</w:t>
    </w:r>
    <w:r>
      <w:rPr>
        <w:rFonts w:ascii="Century Gothic" w:cs="Century Gothic" w:eastAsia="Century Gothic" w:hAnsi="Century Gothic"/>
        <w:color w:val="555F5A"/>
        <w:sz w:val="16"/>
        <w:szCs w:val="16"/>
      </w:rPr>
      <w:t xml:space="preserve">	Pillar 1 · Behaviour &amp; Climate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abstractNum w:abstractNumId="7" w15:restartNumberingAfterBreak="0">
    <w:multiLevelType w:val="hybridMultilevel"/>
    <w:lvl w:ilvl="0" w15:tentative="1">
      <w:start w:val="1"/>
      <w:numFmt w:val="decimal"/>
      <w:lvlText w:val="%1."/>
      <w:lvlJc w:val="left"/>
      <w:pPr>
        <w:ind w:left="460" w:hanging="280"/>
      </w:pPr>
    </w:lvl>
  </w:abstractNum>
  <w:abstractNum w:abstractNumId="8"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A1F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entury Gothic" w:cs="Century Gothic" w:eastAsia="Century Gothic" w:hAnsi="Century Gothic"/>
      <w:b/>
      <w:bCs/>
      <w:color w:val="14322D"/>
      <w:sz w:val="30"/>
      <w:szCs w:val="30"/>
    </w:rPr>
  </w:style>
  <w:style w:type="paragraph" w:styleId="Heading2">
    <w:name w:val="Heading 2"/>
    <w:basedOn w:val="Normal"/>
    <w:next w:val="Normal"/>
    <w:qFormat/>
    <w:pPr>
      <w:spacing w:after="80" w:before="240"/>
      <w:outlineLvl w:val="1"/>
    </w:pPr>
    <w:rPr>
      <w:rFonts w:ascii="Century Gothic" w:cs="Century Gothic" w:eastAsia="Century Gothic" w:hAnsi="Century Gothic"/>
      <w:b/>
      <w:bCs/>
      <w:color w:val="1432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81604a7041e2694108c7983bce2311457d67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2026-06-16T13:54:06.399Z</dcterms:created>
  <dcterms:modified xsi:type="dcterms:W3CDTF">2026-06-16T13:54:06.409Z</dcterms:modified>
</cp:coreProperties>
</file>

<file path=docProps/custom.xml><?xml version="1.0" encoding="utf-8"?>
<Properties xmlns="http://schemas.openxmlformats.org/officeDocument/2006/custom-properties" xmlns:vt="http://schemas.openxmlformats.org/officeDocument/2006/docPropsVTypes"/>
</file>