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Three</w:t>
      </w:r>
    </w:p>
    <w:p>
      <w:pPr>
        <w:spacing w:after="60"/>
      </w:pPr>
      <w:r>
        <w:rPr>
          <w:rFonts w:ascii="Century Gothic" w:cs="Century Gothic" w:eastAsia="Century Gothic" w:hAnsi="Century Gothic"/>
          <w:b/>
          <w:bCs/>
          <w:color w:val="14322D"/>
          <w:sz w:val="44"/>
          <w:szCs w:val="44"/>
        </w:rPr>
        <w:t xml:space="preserve">Instruction &amp; Modelling</w:t>
      </w:r>
    </w:p>
    <w:p>
      <w:pPr>
        <w:spacing w:after="300"/>
      </w:pPr>
      <w:r>
        <w:rPr>
          <w:rFonts w:ascii="Century Gothic" w:cs="Century Gothic" w:eastAsia="Century Gothic" w:hAnsi="Century Gothic"/>
          <w:color w:val="1A1F1D"/>
          <w:sz w:val="36"/>
          <w:szCs w:val="36"/>
        </w:rPr>
        <w:t xml:space="preserve">Explaining and modelling so that pupils can do it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“Present new material in small steps, with practice after each step.”</w:t>
            </w:r>
          </w:p>
          <w:p>
            <w:pPr>
              <w:spacing w:before="40"/>
            </w:pPr>
            <w:r>
              <w:rPr>
                <w:rFonts w:ascii="Century Gothic" w:cs="Century Gothic" w:eastAsia="Century Gothic" w:hAnsi="Century Gothic"/>
                <w:color w:val="555F5A"/>
                <w:sz w:val="20"/>
                <w:szCs w:val="20"/>
              </w:rPr>
              <w:t xml:space="preserve">— Barak Rosenshine</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subject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Reading — why clear explanation is the whole job</w:t>
      </w:r>
    </w:p>
    <w:p>
      <w:pPr>
        <w:spacing w:after="120" w:line="276"/>
      </w:pPr>
      <w:r>
        <w:rPr>
          <w:rFonts w:ascii="Century Gothic" w:cs="Century Gothic" w:eastAsia="Century Gothic" w:hAnsi="Century Gothic"/>
          <w:color w:val="1A1F1D"/>
          <w:sz w:val="24"/>
          <w:szCs w:val="24"/>
        </w:rPr>
        <w:t xml:space="preserve">Explaining: I Do, We Do, You Do</w:t>
      </w:r>
    </w:p>
    <w:p>
      <w:pPr>
        <w:spacing w:after="120" w:line="276"/>
      </w:pPr>
      <w:r>
        <w:rPr>
          <w:rFonts w:ascii="Century Gothic" w:cs="Century Gothic" w:eastAsia="Century Gothic" w:hAnsi="Century Gothic"/>
          <w:color w:val="1A1F1D"/>
          <w:sz w:val="24"/>
          <w:szCs w:val="24"/>
        </w:rPr>
        <w:t xml:space="preserve">The five disciplines of a clear explanation</w:t>
      </w:r>
    </w:p>
    <w:p>
      <w:pPr>
        <w:spacing w:after="120" w:line="276"/>
      </w:pPr>
      <w:r>
        <w:rPr>
          <w:rFonts w:ascii="Century Gothic" w:cs="Century Gothic" w:eastAsia="Century Gothic" w:hAnsi="Century Gothic"/>
          <w:color w:val="1A1F1D"/>
          <w:sz w:val="24"/>
          <w:szCs w:val="24"/>
        </w:rPr>
        <w:t xml:space="preserve">Your modelling, this term</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subject team. </w:t>
            </w:r>
            <w:r>
              <w:rPr>
                <w:rFonts w:ascii="Century Gothic" w:cs="Century Gothic" w:eastAsia="Century Gothic" w:hAnsi="Century Gothic"/>
                <w:color w:val="1A1F1D"/>
              </w:rPr>
              <w:t xml:space="preserve">Adapt each method to your subject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Reading: why clear explanation is the whole job</w:t>
      </w:r>
    </w:p>
    <w:p>
      <w:pPr>
        <w:spacing w:after="120" w:line="276"/>
      </w:pPr>
      <w:r>
        <w:rPr>
          <w:rFonts w:ascii="Century Gothic" w:cs="Century Gothic" w:eastAsia="Century Gothic" w:hAnsi="Century Gothic"/>
          <w:color w:val="1A1F1D"/>
        </w:rPr>
        <w:t xml:space="preserve">Of everything a teacher does, the clarity of their explanation may matter most. If the model is muddled, no amount of practice or marking will repair it; if the model is clear, much of the rest follows. The research on instruction has converged on a small set of ideas that this pillar puts to work.</w:t>
      </w:r>
    </w:p>
    <w:p>
      <w:pPr>
        <w:spacing w:after="120" w:line="276"/>
      </w:pPr>
      <w:r>
        <w:rPr>
          <w:rFonts w:ascii="Century Gothic" w:cs="Century Gothic" w:eastAsia="Century Gothic" w:hAnsi="Century Gothic"/>
          <w:color w:val="1A1F1D"/>
        </w:rPr>
        <w:t xml:space="preserve">Barak Rosenshine, summarising decades of classroom research in his Principles of Instruction, argues for presenting new material in small steps, modelling each one, and checking understanding before moving on. He found that the most effective teachers spend longer on guided practice and secure a high success rate before pupils work alone. The model is not a preamble to the lesson; it is the lesson’s engine.</w:t>
      </w:r>
    </w:p>
    <w:p>
      <w:pPr>
        <w:spacing w:after="120" w:line="276"/>
      </w:pPr>
      <w:r>
        <w:rPr>
          <w:rFonts w:ascii="Century Gothic" w:cs="Century Gothic" w:eastAsia="Century Gothic" w:hAnsi="Century Gothic"/>
          <w:color w:val="1A1F1D"/>
        </w:rPr>
        <w:t xml:space="preserve">John Sweller’s Cognitive Load Theory explains why. A novice’s working memory is easily overloaded, and the worked example — a fully shown solution — lets a pupil study the steps without the cost of generating them. Showing the thinking, slowly and completely, is what builds the mental schema a pupil will later use on their own.</w:t>
      </w:r>
    </w:p>
    <w:p>
      <w:pPr>
        <w:spacing w:after="120" w:line="276"/>
      </w:pPr>
      <w:r>
        <w:rPr>
          <w:rFonts w:ascii="Century Gothic" w:cs="Century Gothic" w:eastAsia="Century Gothic" w:hAnsi="Century Gothic"/>
          <w:color w:val="1A1F1D"/>
        </w:rPr>
        <w:t xml:space="preserve">Doug Lemov gives the structure a shape teachers recognise: I Do, We Do, You Do — the teacher models, then the class practises together, then pupils work independently, with the teacher moving back only as success allows. And the principle of pairing the spoken word with what is shown on a surface draws on dual coding: words and images, presented together, are remembered better than either alone.</w:t>
      </w:r>
    </w:p>
    <w:p>
      <w:pPr>
        <w:spacing w:after="120" w:line="276"/>
      </w:pPr>
      <w:r>
        <w:rPr>
          <w:rFonts w:ascii="Century Gothic" w:cs="Century Gothic" w:eastAsia="Century Gothic" w:hAnsi="Century Gothic"/>
          <w:color w:val="1A1F1D"/>
        </w:rPr>
        <w:t xml:space="preserve">Pillar 3 turns this into five disciplines of a clear explanation — clarity, interactivity, visuals, examples and economy — each anchored to the school’s own modelling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First reflections</w:t>
            </w:r>
          </w:p>
          <w:p>
            <w:pPr>
              <w:spacing w:after="120" w:line="276"/>
            </w:pPr>
            <w:r>
              <w:rPr>
                <w:rFonts w:ascii="Century Gothic" w:cs="Century Gothic" w:eastAsia="Century Gothic" w:hAnsi="Century Gothic"/>
                <w:color w:val="1A1F1D"/>
              </w:rPr>
              <w:t xml:space="preserve">Think of a concept your pupils reliably find hard. Before reading on, note how you currently explain it — and where, honestly, the explanation might be losing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Explaining: I Do, We Do, You Do</w:t>
      </w:r>
    </w:p>
    <w:p>
      <w:pPr>
        <w:spacing w:after="120" w:line="276"/>
      </w:pPr>
      <w:r>
        <w:rPr>
          <w:rFonts w:ascii="Century Gothic" w:cs="Century Gothic" w:eastAsia="Century Gothic" w:hAnsi="Century Gothic"/>
          <w:color w:val="1A1F1D"/>
        </w:rPr>
        <w:t xml:space="preserve">The spine of the pillar is the gradual handover of work from teacher to pupil. Module 3.2 calls this interactivity: pupil practice must follow teacher input quickly, and the cycle repeats across the lesson rather than front‑loading all the input and hoping it sticks.</w:t>
      </w:r>
    </w:p>
    <w:p>
      <w:pPr>
        <w:pStyle w:val="ListParagraph"/>
        <w:numPr>
          <w:ilvl w:val="0"/>
          <w:numId w:val="3"/>
        </w:numPr>
        <w:spacing w:after="60" w:line="264"/>
      </w:pPr>
      <w:r>
        <w:rPr>
          <w:rFonts w:ascii="Century Gothic" w:cs="Century Gothic" w:eastAsia="Century Gothic" w:hAnsi="Century Gothic"/>
          <w:color w:val="1A1F1D"/>
        </w:rPr>
        <w:t xml:space="preserve">I Do — the teacher models, thinking aloud, on a shared surface, one small step at a time.</w:t>
      </w:r>
    </w:p>
    <w:p>
      <w:pPr>
        <w:pStyle w:val="ListParagraph"/>
        <w:numPr>
          <w:ilvl w:val="0"/>
          <w:numId w:val="3"/>
        </w:numPr>
        <w:spacing w:after="60" w:line="264"/>
      </w:pPr>
      <w:r>
        <w:rPr>
          <w:rFonts w:ascii="Century Gothic" w:cs="Century Gothic" w:eastAsia="Century Gothic" w:hAnsi="Century Gothic"/>
          <w:color w:val="1A1F1D"/>
        </w:rPr>
        <w:t xml:space="preserve">We Do — guided practice: the class works the same kind of example together, with the teacher checking (the WD family of the checklist).</w:t>
      </w:r>
    </w:p>
    <w:p>
      <w:pPr>
        <w:pStyle w:val="ListParagraph"/>
        <w:numPr>
          <w:ilvl w:val="0"/>
          <w:numId w:val="3"/>
        </w:numPr>
        <w:spacing w:after="60" w:line="264"/>
      </w:pPr>
      <w:r>
        <w:rPr>
          <w:rFonts w:ascii="Century Gothic" w:cs="Century Gothic" w:eastAsia="Century Gothic" w:hAnsi="Century Gothic"/>
          <w:color w:val="1A1F1D"/>
        </w:rPr>
        <w:t xml:space="preserve">You Do — independent practice, once success is secure, with the teacher circulating (the YD family).</w:t>
      </w:r>
    </w:p>
    <w:p>
      <w:pPr>
        <w:spacing w:after="120" w:line="276"/>
      </w:pPr>
      <w:r>
        <w:rPr>
          <w:rFonts w:ascii="Century Gothic" w:cs="Century Gothic" w:eastAsia="Century Gothic" w:hAnsi="Century Gothic"/>
          <w:color w:val="1A1F1D"/>
        </w:rPr>
        <w:t xml:space="preserve">The alternating principle matters most: short bursts of input followed quickly by practice, again and again, rather than a long explanation followed by a long silence. Pupils move from watching to doing before they have a chance to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Reflection</w:t>
            </w:r>
          </w:p>
          <w:p>
            <w:pPr>
              <w:spacing w:after="120" w:line="276"/>
            </w:pPr>
            <w:r>
              <w:rPr>
                <w:rFonts w:ascii="Century Gothic" w:cs="Century Gothic" w:eastAsia="Century Gothic" w:hAnsi="Century Gothic"/>
                <w:color w:val="1A1F1D"/>
              </w:rPr>
              <w:t xml:space="preserve">In a recent lesson, how long was your longest stretch of teacher talk before pupils did something with it? Where could you break it into shorter I Do / We Do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The five disciplines of a clear explanation</w:t>
      </w:r>
    </w:p>
    <w:p>
      <w:pPr>
        <w:pStyle w:val="Heading2"/>
        <w:spacing w:after="80" w:before="240"/>
      </w:pPr>
      <w:r>
        <w:rPr>
          <w:rFonts w:ascii="Century Gothic" w:cs="Century Gothic" w:eastAsia="Century Gothic" w:hAnsi="Century Gothic"/>
          <w:b/>
          <w:bCs/>
          <w:color w:val="14322D"/>
          <w:sz w:val="24"/>
          <w:szCs w:val="24"/>
        </w:rPr>
        <w:t xml:space="preserve">3.1 · Clarity — say only what needs saying</w:t>
      </w:r>
    </w:p>
    <w:p>
      <w:pPr>
        <w:spacing w:after="120" w:line="276"/>
      </w:pPr>
      <w:r>
        <w:rPr>
          <w:rFonts w:ascii="Century Gothic" w:cs="Century Gothic" w:eastAsia="Century Gothic" w:hAnsi="Century Gothic"/>
          <w:color w:val="1A1F1D"/>
        </w:rPr>
        <w:t xml:space="preserve">Clarity is the discipline of the I Do: saying only the words that need to be said, in numbered steps, with the reasons made explicit. Aim for a model with three or more clearly‑marked steps and at least two moments of ‘and the reason is…’, so pupils hear both what to do and why.</w:t>
      </w:r>
    </w:p>
    <w:p>
      <w:pPr>
        <w:pStyle w:val="Heading2"/>
        <w:spacing w:after="80" w:before="240"/>
      </w:pPr>
      <w:r>
        <w:rPr>
          <w:rFonts w:ascii="Century Gothic" w:cs="Century Gothic" w:eastAsia="Century Gothic" w:hAnsi="Century Gothic"/>
          <w:b/>
          <w:bCs/>
          <w:color w:val="14322D"/>
          <w:sz w:val="24"/>
          <w:szCs w:val="24"/>
        </w:rPr>
        <w:t xml:space="preserve">3.3 · Visuals — pair the word with the surface</w:t>
      </w:r>
    </w:p>
    <w:p>
      <w:pPr>
        <w:spacing w:after="120" w:line="276"/>
      </w:pPr>
      <w:r>
        <w:rPr>
          <w:rFonts w:ascii="Century Gothic" w:cs="Century Gothic" w:eastAsia="Century Gothic" w:hAnsi="Century Gothic"/>
          <w:color w:val="1A1F1D"/>
        </w:rPr>
        <w:t xml:space="preserve">Every step of the model is shown as it is said, on the visualiser or the board (checklist items ID4 and ID7). The teacher dual‑codes — speaking and drawing together — then stands back so the class can review the completed model as a whole.</w:t>
      </w:r>
    </w:p>
    <w:p>
      <w:pPr>
        <w:pStyle w:val="Heading2"/>
        <w:spacing w:after="80" w:before="240"/>
      </w:pPr>
      <w:r>
        <w:rPr>
          <w:rFonts w:ascii="Century Gothic" w:cs="Century Gothic" w:eastAsia="Century Gothic" w:hAnsi="Century Gothic"/>
          <w:b/>
          <w:bCs/>
          <w:color w:val="14322D"/>
          <w:sz w:val="24"/>
          <w:szCs w:val="24"/>
        </w:rPr>
        <w:t xml:space="preserve">3.4 · Examples — the boundary of a concept</w:t>
      </w:r>
    </w:p>
    <w:p>
      <w:pPr>
        <w:spacing w:after="120" w:line="276"/>
      </w:pPr>
      <w:r>
        <w:rPr>
          <w:rFonts w:ascii="Century Gothic" w:cs="Century Gothic" w:eastAsia="Century Gothic" w:hAnsi="Century Gothic"/>
          <w:color w:val="1A1F1D"/>
        </w:rPr>
        <w:t xml:space="preserve">A concept is defined as much by what it is not as by what it is. Alongside the WAGOLL — ‘what a good one looks like’ — the teacher shows a WABOLL, a minimally different incorrect example, and names the misconception it exposes. The pair draws the boundary of the concept sharply (anchored to ID8, check for understanding).</w:t>
      </w:r>
    </w:p>
    <w:p>
      <w:pPr>
        <w:pStyle w:val="Heading2"/>
        <w:spacing w:after="80" w:before="240"/>
      </w:pPr>
      <w:r>
        <w:rPr>
          <w:rFonts w:ascii="Century Gothic" w:cs="Century Gothic" w:eastAsia="Century Gothic" w:hAnsi="Century Gothic"/>
          <w:b/>
          <w:bCs/>
          <w:color w:val="14322D"/>
          <w:sz w:val="24"/>
          <w:szCs w:val="24"/>
        </w:rPr>
        <w:t xml:space="preserve">3.5 · Economy of language — the discipline behind the rest</w:t>
      </w:r>
    </w:p>
    <w:p>
      <w:pPr>
        <w:spacing w:after="120" w:line="276"/>
      </w:pPr>
      <w:r>
        <w:rPr>
          <w:rFonts w:ascii="Century Gothic" w:cs="Century Gothic" w:eastAsia="Century Gothic" w:hAnsi="Century Gothic"/>
          <w:color w:val="1A1F1D"/>
        </w:rPr>
        <w:t xml:space="preserve">Economy runs through all four: the explanation is clear, interactive, visual and built on examples, and it is economical — using the fewest, most consistent, most repeatable words, and the restraint to let a visual carry what a visual can carry. Then one check — an echo or a quick application — tells the teacher whether it landed.</w:t>
      </w:r>
    </w:p>
    <w:p>
      <w:pPr>
        <w:pStyle w:val="ListParagraph"/>
        <w:numPr>
          <w:ilvl w:val="0"/>
          <w:numId w:val="2"/>
        </w:numPr>
        <w:spacing w:after="60" w:line="264"/>
      </w:pPr>
      <w:r>
        <w:rPr>
          <w:rFonts w:ascii="Century Gothic" w:cs="Century Gothic" w:eastAsia="Century Gothic" w:hAnsi="Century Gothic"/>
          <w:b/>
          <w:bCs/>
          <w:color w:val="1A1F1D"/>
        </w:rPr>
        <w:t xml:space="preserve">Cut what the visual can show. </w:t>
      </w:r>
      <w:r>
        <w:rPr>
          <w:rFonts w:ascii="Century Gothic" w:cs="Century Gothic" w:eastAsia="Century Gothic" w:hAnsi="Century Gothic"/>
          <w:color w:val="1A1F1D"/>
        </w:rPr>
        <w:t xml:space="preserve">If pupils can read it from the surface, the teacher need not say it.</w:t>
      </w:r>
    </w:p>
    <w:p>
      <w:pPr>
        <w:pStyle w:val="ListParagraph"/>
        <w:numPr>
          <w:ilvl w:val="0"/>
          <w:numId w:val="2"/>
        </w:numPr>
        <w:spacing w:after="60" w:line="264"/>
      </w:pPr>
      <w:r>
        <w:rPr>
          <w:rFonts w:ascii="Century Gothic" w:cs="Century Gothic" w:eastAsia="Century Gothic" w:hAnsi="Century Gothic"/>
          <w:b/>
          <w:bCs/>
          <w:color w:val="1A1F1D"/>
        </w:rPr>
        <w:t xml:space="preserve">Keep the language consistent. </w:t>
      </w:r>
      <w:r>
        <w:rPr>
          <w:rFonts w:ascii="Century Gothic" w:cs="Century Gothic" w:eastAsia="Century Gothic" w:hAnsi="Century Gothic"/>
          <w:color w:val="1A1F1D"/>
        </w:rPr>
        <w:t xml:space="preserve">The same words for the same idea, every time.</w:t>
      </w:r>
    </w:p>
    <w:p>
      <w:pPr>
        <w:pStyle w:val="ListParagraph"/>
        <w:numPr>
          <w:ilvl w:val="0"/>
          <w:numId w:val="2"/>
        </w:numPr>
        <w:spacing w:after="60" w:line="264"/>
      </w:pPr>
      <w:r>
        <w:rPr>
          <w:rFonts w:ascii="Century Gothic" w:cs="Century Gothic" w:eastAsia="Century Gothic" w:hAnsi="Century Gothic"/>
          <w:b/>
          <w:bCs/>
          <w:color w:val="1A1F1D"/>
        </w:rPr>
        <w:t xml:space="preserve">End with one check. </w:t>
      </w:r>
      <w:r>
        <w:rPr>
          <w:rFonts w:ascii="Century Gothic" w:cs="Century Gothic" w:eastAsia="Century Gothic" w:hAnsi="Century Gothic"/>
          <w:color w:val="1A1F1D"/>
        </w:rPr>
        <w:t xml:space="preserve">An echo or a quick application, not a vague ‘everyone okay?’.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Clear explanation is itself an act of </w:t>
            </w:r>
            <w:r>
              <w:rPr>
                <w:rFonts w:ascii="Century Gothic" w:cs="Century Gothic" w:eastAsia="Century Gothic" w:hAnsi="Century Gothic"/>
                <w:b/>
                <w:bCs/>
                <w:color w:val="1A1F1D"/>
              </w:rPr>
              <w:t xml:space="preserve">Diligence</w:t>
            </w:r>
            <w:r>
              <w:rPr>
                <w:rFonts w:ascii="Century Gothic" w:cs="Century Gothic" w:eastAsia="Century Gothic" w:hAnsi="Century Gothic"/>
                <w:color w:val="1A1F1D"/>
              </w:rPr>
              <w:t xml:space="preserve"> — the care to prepare a model that respects pupils’ effort — and of </w:t>
            </w:r>
            <w:r>
              <w:rPr>
                <w:rFonts w:ascii="Century Gothic" w:cs="Century Gothic" w:eastAsia="Century Gothic" w:hAnsi="Century Gothic"/>
                <w:b/>
                <w:bCs/>
                <w:color w:val="1A1F1D"/>
              </w:rPr>
              <w:t xml:space="preserve">Determination</w:t>
            </w:r>
            <w:r>
              <w:rPr>
                <w:rFonts w:ascii="Century Gothic" w:cs="Century Gothic" w:eastAsia="Century Gothic" w:hAnsi="Century Gothic"/>
                <w:color w:val="1A1F1D"/>
              </w:rPr>
              <w:t xml:space="preserve">, the refusal to move on until the explanation has genuinely landed.</w:t>
            </w:r>
          </w:p>
        </w:tc>
      </w:tr>
    </w:tbl>
    <w:p>
      <w:pPr>
        <w:pStyle w:val="Heading1"/>
        <w:pageBreakBefore/>
        <w:spacing w:after="120" w:before="0"/>
      </w:pPr>
      <w:r>
        <w:rPr>
          <w:rFonts w:ascii="Century Gothic" w:cs="Century Gothic" w:eastAsia="Century Gothic" w:hAnsi="Century Gothic"/>
          <w:b/>
          <w:bCs/>
          <w:color w:val="14322D"/>
          <w:sz w:val="30"/>
          <w:szCs w:val="30"/>
        </w:rPr>
        <w:t xml:space="preserve">Your modelling, this term</w:t>
      </w:r>
    </w:p>
    <w:p>
      <w:pPr>
        <w:spacing w:after="120" w:line="276"/>
      </w:pPr>
      <w:r>
        <w:rPr>
          <w:rFonts w:ascii="Century Gothic" w:cs="Century Gothic" w:eastAsia="Century Gothic" w:hAnsi="Century Gothic"/>
          <w:color w:val="1A1F1D"/>
        </w:rPr>
        <w:t xml:space="preserve">Clear explanation is built model by model. Use the space below to turn the reading and the five disciplines into a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explanation, reworked</w:t>
            </w:r>
          </w:p>
          <w:p>
            <w:pPr>
              <w:spacing w:after="120" w:line="276"/>
            </w:pPr>
            <w:r>
              <w:rPr>
                <w:rFonts w:ascii="Century Gothic" w:cs="Century Gothic" w:eastAsia="Century Gothic" w:hAnsi="Century Gothic"/>
                <w:color w:val="1A1F1D"/>
              </w:rPr>
              <w:t xml:space="preserve">Take one explanation you give regularly. Write it out, cross out every word a pupil could get from a visual, rewrite it in the fewest sentences that still show the thinking, and decide the one check that will tell you it landed.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discipline to strengthen</w:t>
            </w:r>
          </w:p>
          <w:p>
            <w:pPr>
              <w:spacing w:after="120" w:line="276"/>
            </w:pPr>
            <w:r>
              <w:rPr>
                <w:rFonts w:ascii="Century Gothic" w:cs="Century Gothic" w:eastAsia="Century Gothic" w:hAnsi="Century Gothic"/>
                <w:color w:val="1A1F1D"/>
              </w:rPr>
              <w:t xml:space="preserve">Of the five — clarity, interactivity, visuals, examples, economy — which would most improve your modelling? Name the specific change and the lesson you will try it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Pillar 3 modules online cover each discipline in full — clarity, interactivity, visuals, examples and economy — with worked models, the WAGOLL/WABOLL technique, and the AI scenario tester for each.</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The modelling checklist (the ID, WD and YD codes) lets you hold yourself to a clear, interactive, visual, example‑rich and economical explanation.</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Get the explanation right and much of the rest follows. Small steps, shown clearly, practised quickly — then handed over.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3 · Instruction &amp; Modelling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2026-06-16T20:48:59.399Z</dcterms:created>
  <dcterms:modified xsi:type="dcterms:W3CDTF">2026-06-16T20:48:59.399Z</dcterms:modified>
</cp:coreProperties>
</file>

<file path=docProps/custom.xml><?xml version="1.0" encoding="utf-8"?>
<Properties xmlns="http://schemas.openxmlformats.org/officeDocument/2006/custom-properties" xmlns:vt="http://schemas.openxmlformats.org/officeDocument/2006/docPropsVTypes"/>
</file>