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drawing>
          <wp:inline distT="0" distB="0" distL="0" distR="0">
            <wp:extent cx="1428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238250"/>
                    </a:xfrm>
                    <a:prstGeom prst="rect">
                      <a:avLst/>
                    </a:prstGeom>
                  </pic:spPr>
                </pic:pic>
              </a:graphicData>
            </a:graphic>
          </wp:inline>
        </w:drawing>
      </w:r>
    </w:p>
    <w:p>
      <w:pPr>
        <w:spacing w:after="0" w:before="0"/>
      </w:pPr>
      <w:r>
        <w:rPr>
          <w:rFonts w:ascii="Century Gothic" w:cs="Century Gothic" w:eastAsia="Century Gothic" w:hAnsi="Century Gothic"/>
          <w:b/>
          <w:bCs/>
          <w:caps/>
          <w:color w:val="3F9488"/>
          <w:sz w:val="24"/>
          <w:szCs w:val="24"/>
        </w:rPr>
        <w:t xml:space="preserve">TEACHING EXCELLENCE PROGRAMME</w:t>
      </w:r>
    </w:p>
    <w:p>
      <w:pPr>
        <w:spacing w:after="40"/>
      </w:pPr>
      <w:r>
        <w:rPr>
          <w:rFonts w:ascii="Century Gothic" w:cs="Century Gothic" w:eastAsia="Century Gothic" w:hAnsi="Century Gothic"/>
          <w:color w:val="555F5A"/>
          <w:sz w:val="18"/>
          <w:szCs w:val="18"/>
        </w:rPr>
        <w:t xml:space="preserve">A professional development programme developed by Nishkam Schools</w:t>
      </w:r>
    </w:p>
    <w:p>
      <w:pPr>
        <w:pBdr>
          <w:bottom w:val="single" w:color="B07D2B" w:sz="12" w:space="6"/>
        </w:pBdr>
      </w:pPr>
      <w:r>
        <w:rPr>
          <w:rFonts w:ascii="Century Gothic" w:cs="Century Gothic" w:eastAsia="Century Gothic" w:hAnsi="Century Gothic"/>
          <w:color w:val="1A1F1D"/>
        </w:rPr>
        <w:t xml:space="preserve"/>
      </w:r>
    </w:p>
    <w:p>
      <w:pPr>
        <w:spacing w:after="260"/>
      </w:pPr>
      <w:r>
        <w:rPr>
          <w:rFonts w:ascii="Century Gothic" w:cs="Century Gothic" w:eastAsia="Century Gothic" w:hAnsi="Century Gothic"/>
          <w:color w:val="1A1F1D"/>
        </w:rPr>
        <w:t xml:space="preserve"/>
      </w:r>
    </w:p>
    <w:p>
      <w:pPr>
        <w:spacing w:after="0"/>
      </w:pPr>
      <w:r>
        <w:rPr>
          <w:rFonts w:ascii="Century Gothic" w:cs="Century Gothic" w:eastAsia="Century Gothic" w:hAnsi="Century Gothic"/>
          <w:b/>
          <w:bCs/>
          <w:color w:val="B07D2B"/>
          <w:sz w:val="26"/>
          <w:szCs w:val="26"/>
        </w:rPr>
        <w:t xml:space="preserve">Pillar Four</w:t>
      </w:r>
    </w:p>
    <w:p>
      <w:pPr>
        <w:spacing w:after="60"/>
      </w:pPr>
      <w:r>
        <w:rPr>
          <w:rFonts w:ascii="Century Gothic" w:cs="Century Gothic" w:eastAsia="Century Gothic" w:hAnsi="Century Gothic"/>
          <w:b/>
          <w:bCs/>
          <w:color w:val="14322D"/>
          <w:sz w:val="40"/>
          <w:szCs w:val="40"/>
        </w:rPr>
        <w:t xml:space="preserve">Checking for Understanding</w:t>
      </w:r>
    </w:p>
    <w:p>
      <w:pPr>
        <w:spacing w:after="300"/>
      </w:pPr>
      <w:r>
        <w:rPr>
          <w:rFonts w:ascii="Century Gothic" w:cs="Century Gothic" w:eastAsia="Century Gothic" w:hAnsi="Century Gothic"/>
          <w:color w:val="1A1F1D"/>
          <w:sz w:val="36"/>
          <w:szCs w:val="36"/>
        </w:rPr>
        <w:t xml:space="preserve">Turning ‘is everyone with me?’ into a question with an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FFFFF" w:val="clear"/>
            <w:tcMar>
              <w:top w:type="dxa" w:w="140"/>
              <w:left w:type="dxa" w:w="220"/>
              <w:bottom w:type="dxa" w:w="140"/>
              <w:right w:type="dxa" w:w="200"/>
            </w:tcMar>
          </w:tcPr>
          <w:p>
            <w:r>
              <w:rPr>
                <w:rFonts w:ascii="Century Gothic" w:cs="Century Gothic" w:eastAsia="Century Gothic" w:hAnsi="Century Gothic"/>
                <w:i/>
                <w:iCs/>
                <w:color w:val="14322D"/>
                <w:sz w:val="26"/>
                <w:szCs w:val="26"/>
              </w:rPr>
              <w:t xml:space="preserve">“The teacher who checks every pupil, not the confident few, teaches the whole room.”</w:t>
            </w:r>
          </w:p>
          <w:p>
            <w:pPr>
              <w:spacing w:before="40"/>
            </w:pPr>
            <w:r>
              <w:rPr>
                <w:rFonts w:ascii="Century Gothic" w:cs="Century Gothic" w:eastAsia="Century Gothic" w:hAnsi="Century Gothic"/>
                <w:color w:val="555F5A"/>
                <w:sz w:val="20"/>
                <w:szCs w:val="20"/>
              </w:rPr>
              <w:t xml:space="preserve">— Pillar 4, Teaching Excellence Programme</w:t>
            </w:r>
          </w:p>
        </w:tc>
      </w:tr>
    </w:tbl>
    <w:p>
      <w:pPr>
        <w:spacing w:after="30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Work through this booklet </w:t>
      </w:r>
      <w:r>
        <w:rPr>
          <w:rFonts w:ascii="Century Gothic" w:cs="Century Gothic" w:eastAsia="Century Gothic" w:hAnsi="Century Gothic"/>
          <w:b/>
          <w:bCs/>
          <w:color w:val="1A1F1D"/>
        </w:rPr>
        <w:t xml:space="preserve">on your own</w:t>
      </w:r>
      <w:r>
        <w:rPr>
          <w:rFonts w:ascii="Century Gothic" w:cs="Century Gothic" w:eastAsia="Century Gothic" w:hAnsi="Century Gothic"/>
          <w:color w:val="1A1F1D"/>
        </w:rPr>
        <w:t xml:space="preserve">, in a </w:t>
      </w:r>
      <w:r>
        <w:rPr>
          <w:rFonts w:ascii="Century Gothic" w:cs="Century Gothic" w:eastAsia="Century Gothic" w:hAnsi="Century Gothic"/>
          <w:b/>
          <w:bCs/>
          <w:color w:val="1A1F1D"/>
        </w:rPr>
        <w:t xml:space="preserve">coaching group of three or four</w:t>
      </w:r>
      <w:r>
        <w:rPr>
          <w:rFonts w:ascii="Century Gothic" w:cs="Century Gothic" w:eastAsia="Century Gothic" w:hAnsi="Century Gothic"/>
          <w:color w:val="1A1F1D"/>
        </w:rPr>
        <w:t xml:space="preserve">, or as a </w:t>
      </w:r>
      <w:r>
        <w:rPr>
          <w:rFonts w:ascii="Century Gothic" w:cs="Century Gothic" w:eastAsia="Century Gothic" w:hAnsi="Century Gothic"/>
          <w:b/>
          <w:bCs/>
          <w:color w:val="1A1F1D"/>
        </w:rPr>
        <w:t xml:space="preserve">subject team</w:t>
      </w:r>
      <w:r>
        <w:rPr>
          <w:rFonts w:ascii="Century Gothic" w:cs="Century Gothic" w:eastAsia="Century Gothic" w:hAnsi="Century Gothic"/>
          <w:color w:val="1A1F1D"/>
        </w:rPr>
        <w:t xml:space="preserve">. It is designed to be used alongside the session that accompanies it, and the self‑guided pages online.</w:t>
      </w:r>
    </w:p>
    <w:p>
      <w:pPr>
        <w:spacing w:after="12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b/>
          <w:bCs/>
          <w:color w:val="1A1F1D"/>
          <w:sz w:val="24"/>
          <w:szCs w:val="24"/>
        </w:rPr>
        <w:t xml:space="preserve">Name: </w:t>
      </w:r>
      <w:r>
        <w:rPr>
          <w:rFonts w:ascii="Century Gothic" w:cs="Century Gothic" w:eastAsia="Century Gothic" w:hAnsi="Century Gothic"/>
          <w:color w:val="1A1F1D"/>
          <w:u w:val="single"/>
        </w:rPr>
        <w:t xml:space="preserve">              </w:t>
      </w:r>
    </w:p>
    <w:p>
      <w:pPr>
        <w:pStyle w:val="Heading1"/>
        <w:pageBreakBefore/>
        <w:spacing w:after="120" w:before="0"/>
      </w:pPr>
      <w:r>
        <w:rPr>
          <w:rFonts w:ascii="Century Gothic" w:cs="Century Gothic" w:eastAsia="Century Gothic" w:hAnsi="Century Gothic"/>
          <w:b/>
          <w:bCs/>
          <w:color w:val="14322D"/>
          <w:sz w:val="30"/>
          <w:szCs w:val="30"/>
        </w:rPr>
        <w:t xml:space="preserve">In this booklet</w:t>
      </w:r>
    </w:p>
    <w:p>
      <w:pPr>
        <w:spacing w:after="120" w:line="276"/>
      </w:pPr>
      <w:r>
        <w:rPr>
          <w:rFonts w:ascii="Century Gothic" w:cs="Century Gothic" w:eastAsia="Century Gothic" w:hAnsi="Century Gothic"/>
          <w:color w:val="1A1F1D"/>
          <w:sz w:val="24"/>
          <w:szCs w:val="24"/>
        </w:rPr>
        <w:t xml:space="preserve">Reading — teaching is responsive, or it is guessing</w:t>
      </w:r>
    </w:p>
    <w:p>
      <w:pPr>
        <w:spacing w:after="120" w:line="276"/>
      </w:pPr>
      <w:r>
        <w:rPr>
          <w:rFonts w:ascii="Century Gothic" w:cs="Century Gothic" w:eastAsia="Century Gothic" w:hAnsi="Century Gothic"/>
          <w:color w:val="1A1F1D"/>
          <w:sz w:val="24"/>
          <w:szCs w:val="24"/>
        </w:rPr>
        <w:t xml:space="preserve">Mini-whiteboards and hinge questions</w:t>
      </w:r>
    </w:p>
    <w:p>
      <w:pPr>
        <w:spacing w:after="120" w:line="276"/>
      </w:pPr>
      <w:r>
        <w:rPr>
          <w:rFonts w:ascii="Century Gothic" w:cs="Century Gothic" w:eastAsia="Century Gothic" w:hAnsi="Century Gothic"/>
          <w:color w:val="1A1F1D"/>
          <w:sz w:val="24"/>
          <w:szCs w:val="24"/>
        </w:rPr>
        <w:t xml:space="preserve">Circulating, checking, supporting</w:t>
      </w:r>
    </w:p>
    <w:p>
      <w:pPr>
        <w:spacing w:after="120" w:line="276"/>
      </w:pPr>
      <w:r>
        <w:rPr>
          <w:rFonts w:ascii="Century Gothic" w:cs="Century Gothic" w:eastAsia="Century Gothic" w:hAnsi="Century Gothic"/>
          <w:color w:val="1A1F1D"/>
          <w:sz w:val="24"/>
          <w:szCs w:val="24"/>
        </w:rPr>
        <w:t xml:space="preserve">Your checking, this term</w:t>
      </w:r>
    </w:p>
    <w:p>
      <w:pPr>
        <w:spacing w:after="8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How to use this booklet</w:t>
      </w:r>
    </w:p>
    <w:p>
      <w:pPr>
        <w:spacing w:after="120" w:line="276"/>
      </w:pPr>
      <w:r>
        <w:rPr>
          <w:rFonts w:ascii="Century Gothic" w:cs="Century Gothic" w:eastAsia="Century Gothic" w:hAnsi="Century Gothic"/>
          <w:color w:val="1A1F1D"/>
        </w:rPr>
        <w:t xml:space="preserve">This is one of six booklets in the programme, each building expertise in a different area of classroom practice. It is a starting point, not the finish line: pair it with video footage of your own teaching, with coaching and deliberate practice, and with the checklists that sit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Three ways to work</w:t>
            </w:r>
          </w:p>
          <w:p>
            <w:pPr>
              <w:pStyle w:val="ListParagraph"/>
              <w:numPr>
                <w:ilvl w:val="0"/>
                <w:numId w:val="2"/>
              </w:numPr>
              <w:spacing w:after="60" w:line="264"/>
            </w:pPr>
            <w:r>
              <w:rPr>
                <w:rFonts w:ascii="Century Gothic" w:cs="Century Gothic" w:eastAsia="Century Gothic" w:hAnsi="Century Gothic"/>
                <w:b/>
                <w:bCs/>
                <w:color w:val="1A1F1D"/>
              </w:rPr>
              <w:t xml:space="preserve">On your own. </w:t>
            </w:r>
            <w:r>
              <w:rPr>
                <w:rFonts w:ascii="Century Gothic" w:cs="Century Gothic" w:eastAsia="Century Gothic" w:hAnsi="Century Gothic"/>
                <w:color w:val="1A1F1D"/>
              </w:rPr>
              <w:t xml:space="preserve">Read, audit your current practice, and complete the independent tasks.</w:t>
            </w:r>
          </w:p>
          <w:p>
            <w:pPr>
              <w:pStyle w:val="ListParagraph"/>
              <w:numPr>
                <w:ilvl w:val="0"/>
                <w:numId w:val="2"/>
              </w:numPr>
              <w:spacing w:after="60" w:line="264"/>
            </w:pPr>
            <w:r>
              <w:rPr>
                <w:rFonts w:ascii="Century Gothic" w:cs="Century Gothic" w:eastAsia="Century Gothic" w:hAnsi="Century Gothic"/>
                <w:b/>
                <w:bCs/>
                <w:color w:val="1A1F1D"/>
              </w:rPr>
              <w:t xml:space="preserve">In a coaching group. </w:t>
            </w:r>
            <w:r>
              <w:rPr>
                <w:rFonts w:ascii="Century Gothic" w:cs="Century Gothic" w:eastAsia="Century Gothic" w:hAnsi="Century Gothic"/>
                <w:color w:val="1A1F1D"/>
              </w:rPr>
              <w:t xml:space="preserve">Three or four colleagues rehearse the practice, observe, and coach one another.</w:t>
            </w:r>
          </w:p>
          <w:p>
            <w:pPr>
              <w:pStyle w:val="ListParagraph"/>
              <w:numPr>
                <w:ilvl w:val="0"/>
                <w:numId w:val="2"/>
              </w:numPr>
              <w:spacing w:after="60" w:line="264"/>
            </w:pPr>
            <w:r>
              <w:rPr>
                <w:rFonts w:ascii="Century Gothic" w:cs="Century Gothic" w:eastAsia="Century Gothic" w:hAnsi="Century Gothic"/>
                <w:b/>
                <w:bCs/>
                <w:color w:val="1A1F1D"/>
              </w:rPr>
              <w:t xml:space="preserve">As a subject team. </w:t>
            </w:r>
            <w:r>
              <w:rPr>
                <w:rFonts w:ascii="Century Gothic" w:cs="Century Gothic" w:eastAsia="Century Gothic" w:hAnsi="Century Gothic"/>
                <w:color w:val="1A1F1D"/>
              </w:rPr>
              <w:t xml:space="preserve">Adapt each method to your subject and agree what ‘water‑tight’ looks like for you.</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This programme is faith‑inspired and virtues‑led, and the practice below is anchored in the virtues of </w:t>
            </w:r>
            <w:r>
              <w:rPr>
                <w:rFonts w:ascii="Century Gothic" w:cs="Century Gothic" w:eastAsia="Century Gothic" w:hAnsi="Century Gothic"/>
                <w:b/>
                <w:bCs/>
                <w:color w:val="1A1F1D"/>
              </w:rPr>
              <w:t xml:space="preserve">Peacefulness, Diligence and Determination</w:t>
            </w:r>
            <w:r>
              <w:rPr>
                <w:rFonts w:ascii="Century Gothic" w:cs="Century Gothic" w:eastAsia="Century Gothic" w:hAnsi="Century Gothic"/>
                <w:color w:val="1A1F1D"/>
              </w:rPr>
              <w:t xml:space="preserve">. Throughout, boxes like this one show the Nishkam version of a practice. Everything else is written to be lifted straight into any classroom — keep the method, give it the language that fits your setting.</w:t>
            </w:r>
          </w:p>
        </w:tc>
      </w:tr>
    </w:tbl>
    <w:p>
      <w:pPr>
        <w:pStyle w:val="Heading1"/>
        <w:pageBreakBefore/>
        <w:spacing w:after="120" w:before="0"/>
      </w:pPr>
      <w:r>
        <w:rPr>
          <w:rFonts w:ascii="Century Gothic" w:cs="Century Gothic" w:eastAsia="Century Gothic" w:hAnsi="Century Gothic"/>
          <w:b/>
          <w:bCs/>
          <w:color w:val="14322D"/>
          <w:sz w:val="30"/>
          <w:szCs w:val="30"/>
        </w:rPr>
        <w:t xml:space="preserve">Reading: teaching is responsive, or it is guessing</w:t>
      </w:r>
    </w:p>
    <w:p>
      <w:pPr>
        <w:spacing w:after="120" w:line="276"/>
      </w:pPr>
      <w:r>
        <w:rPr>
          <w:rFonts w:ascii="Century Gothic" w:cs="Century Gothic" w:eastAsia="Century Gothic" w:hAnsi="Century Gothic"/>
          <w:color w:val="1A1F1D"/>
        </w:rPr>
        <w:t xml:space="preserve">A teacher who does not know what pupils understand is, in effect, guessing — teaching to a room they cannot see. Checking for understanding is the discipline of replacing that guess with evidence, in the moment, while there is still time to act on it.</w:t>
      </w:r>
    </w:p>
    <w:p>
      <w:pPr>
        <w:spacing w:after="120" w:line="276"/>
      </w:pPr>
      <w:r>
        <w:rPr>
          <w:rFonts w:ascii="Century Gothic" w:cs="Century Gothic" w:eastAsia="Century Gothic" w:hAnsi="Century Gothic"/>
          <w:color w:val="1A1F1D"/>
        </w:rPr>
        <w:t xml:space="preserve">Dylan Wiliam, whose work on formative assessment underpins this pillar, argues that the point of checking is not to record a grade but to make teaching responsive: to gather evidence of where pupils actually are and to adjust the next move accordingly. He is sharp about the usual question — ‘does everyone understand?’ — which gathers no evidence at all, because the pupils who most need help are the least likely to say so.</w:t>
      </w:r>
    </w:p>
    <w:p>
      <w:pPr>
        <w:spacing w:after="120" w:line="276"/>
      </w:pPr>
      <w:r>
        <w:rPr>
          <w:rFonts w:ascii="Century Gothic" w:cs="Century Gothic" w:eastAsia="Century Gothic" w:hAnsi="Century Gothic"/>
          <w:color w:val="1A1F1D"/>
        </w:rPr>
        <w:t xml:space="preserve">His answer is to design questions that every pupil answers at once, so the teacher reads the whole room rather than the confident few. The hinge question is the clearest form: a single, well‑chosen question whose answers decide whether the lesson moves on or loops back. Mini‑whiteboards make this routine — a response from all thirty, all at the same time.</w:t>
      </w:r>
    </w:p>
    <w:p>
      <w:pPr>
        <w:spacing w:after="120" w:line="276"/>
      </w:pPr>
      <w:r>
        <w:rPr>
          <w:rFonts w:ascii="Century Gothic" w:cs="Century Gothic" w:eastAsia="Century Gothic" w:hAnsi="Century Gothic"/>
          <w:color w:val="1A1F1D"/>
        </w:rPr>
        <w:t xml:space="preserve">Doug Lemov sharpens the technique with ‘Show Me’ and a battery of checks that gather data efficiently, and Barak Rosenshine reminds us why it matters: the most effective teachers check understanding frequently and secure a high success rate before moving on. Checking is not a pause in the teaching; it is the steering.</w:t>
      </w:r>
    </w:p>
    <w:p>
      <w:pPr>
        <w:spacing w:after="120" w:line="276"/>
      </w:pPr>
      <w:r>
        <w:rPr>
          <w:rFonts w:ascii="Century Gothic" w:cs="Century Gothic" w:eastAsia="Century Gothic" w:hAnsi="Century Gothic"/>
          <w:color w:val="1A1F1D"/>
        </w:rPr>
        <w:t xml:space="preserve">Pillar 4 puts this to work in two routines — mini‑whiteboards with hinge questions, and purposeful circulation during practice — each anchored to the school’s own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First reflections</w:t>
            </w:r>
          </w:p>
          <w:p>
            <w:pPr>
              <w:spacing w:after="120" w:line="276"/>
            </w:pPr>
            <w:r>
              <w:rPr>
                <w:rFonts w:ascii="Century Gothic" w:cs="Century Gothic" w:eastAsia="Century Gothic" w:hAnsi="Century Gothic"/>
                <w:color w:val="1A1F1D"/>
              </w:rPr>
              <w:t xml:space="preserve">How do you currently know whether a class has understood, before you mark their books? Note the moments you rely on a show of hands or a few volunteers — and what those moments might be missing.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Mini-whiteboards and hinge questions</w:t>
      </w:r>
    </w:p>
    <w:p>
      <w:pPr>
        <w:spacing w:after="120" w:line="276"/>
      </w:pPr>
      <w:r>
        <w:rPr>
          <w:rFonts w:ascii="Century Gothic" w:cs="Century Gothic" w:eastAsia="Century Gothic" w:hAnsi="Century Gothic"/>
          <w:color w:val="1A1F1D"/>
        </w:rPr>
        <w:t xml:space="preserve">Mini‑whiteboards turn ‘is everyone with me?’ into a question that has an answer. Every pupil responds at once, the teacher reads the room in a glance, and a planned hinge question becomes the checkpoint that decides whether the lesson moves on.</w:t>
      </w:r>
    </w:p>
    <w:p>
      <w:pPr>
        <w:pStyle w:val="ListParagraph"/>
        <w:numPr>
          <w:ilvl w:val="0"/>
          <w:numId w:val="3"/>
        </w:numPr>
        <w:spacing w:after="60" w:line="264"/>
      </w:pPr>
      <w:r>
        <w:rPr>
          <w:rFonts w:ascii="Century Gothic" w:cs="Century Gothic" w:eastAsia="Century Gothic" w:hAnsi="Century Gothic"/>
          <w:color w:val="1A1F1D"/>
        </w:rPr>
        <w:t xml:space="preserve">Whiteboards and pens on desks throughout, ready (MW1).</w:t>
      </w:r>
    </w:p>
    <w:p>
      <w:pPr>
        <w:pStyle w:val="ListParagraph"/>
        <w:numPr>
          <w:ilvl w:val="0"/>
          <w:numId w:val="3"/>
        </w:numPr>
        <w:spacing w:after="60" w:line="264"/>
      </w:pPr>
      <w:r>
        <w:rPr>
          <w:rFonts w:ascii="Century Gothic" w:cs="Century Gothic" w:eastAsia="Century Gothic" w:hAnsi="Century Gothic"/>
          <w:color w:val="1A1F1D"/>
        </w:rPr>
        <w:t xml:space="preserve">A clear task that is a genuine check, with the time limit stated (MW2–MW4).</w:t>
      </w:r>
    </w:p>
    <w:p>
      <w:pPr>
        <w:pStyle w:val="ListParagraph"/>
        <w:numPr>
          <w:ilvl w:val="0"/>
          <w:numId w:val="3"/>
        </w:numPr>
        <w:spacing w:after="60" w:line="264"/>
      </w:pPr>
      <w:r>
        <w:rPr>
          <w:rFonts w:ascii="Century Gothic" w:cs="Century Gothic" w:eastAsia="Century Gothic" w:hAnsi="Century Gothic"/>
          <w:color w:val="1A1F1D"/>
        </w:rPr>
        <w:t xml:space="preserve">Silent thinking time before any response (MW6).</w:t>
      </w:r>
    </w:p>
    <w:p>
      <w:pPr>
        <w:pStyle w:val="ListParagraph"/>
        <w:numPr>
          <w:ilvl w:val="0"/>
          <w:numId w:val="3"/>
        </w:numPr>
        <w:spacing w:after="60" w:line="264"/>
      </w:pPr>
      <w:r>
        <w:rPr>
          <w:rFonts w:ascii="Century Gothic" w:cs="Century Gothic" w:eastAsia="Century Gothic" w:hAnsi="Century Gothic"/>
          <w:color w:val="1A1F1D"/>
        </w:rPr>
        <w:t xml:space="preserve">‘3‑2‑1, show me’ as the trigger; all boards up together (MW7–MW8).</w:t>
      </w:r>
    </w:p>
    <w:p>
      <w:pPr>
        <w:pStyle w:val="ListParagraph"/>
        <w:numPr>
          <w:ilvl w:val="0"/>
          <w:numId w:val="3"/>
        </w:numPr>
        <w:spacing w:after="60" w:line="264"/>
      </w:pPr>
      <w:r>
        <w:rPr>
          <w:rFonts w:ascii="Century Gothic" w:cs="Century Gothic" w:eastAsia="Century Gothic" w:hAnsi="Century Gothic"/>
          <w:color w:val="1A1F1D"/>
        </w:rPr>
        <w:t xml:space="preserve">Read the room, and decide: move on, or reteach.</w:t>
      </w:r>
    </w:p>
    <w:p>
      <w:pPr>
        <w:spacing w:after="120" w:line="276"/>
      </w:pPr>
      <w:r>
        <w:rPr>
          <w:rFonts w:ascii="Century Gothic" w:cs="Century Gothic" w:eastAsia="Century Gothic" w:hAnsi="Century Gothic"/>
          <w:color w:val="1A1F1D"/>
        </w:rPr>
        <w:t xml:space="preserve">The hinge is the heart of it: a single question, planned in advance, whose spread of answers tells the teacher whether the class is ready. The discipline is to act on what the boards show — including the discipline to loop back when they show confusion.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Reflection</w:t>
            </w:r>
          </w:p>
          <w:p>
            <w:pPr>
              <w:spacing w:after="120" w:line="276"/>
            </w:pPr>
            <w:r>
              <w:rPr>
                <w:rFonts w:ascii="Century Gothic" w:cs="Century Gothic" w:eastAsia="Century Gothic" w:hAnsi="Century Gothic"/>
                <w:color w:val="1A1F1D"/>
              </w:rPr>
              <w:t xml:space="preserve">Where in an upcoming lesson is the moment that decides whether the class is ready to move on? What single question, answered on every whiteboard, would tell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Circulating, checking, supporting</w:t>
      </w:r>
    </w:p>
    <w:p>
      <w:pPr>
        <w:spacing w:after="120" w:line="276"/>
      </w:pPr>
      <w:r>
        <w:rPr>
          <w:rFonts w:ascii="Century Gothic" w:cs="Century Gothic" w:eastAsia="Century Gothic" w:hAnsi="Century Gothic"/>
          <w:color w:val="1A1F1D"/>
        </w:rPr>
        <w:t xml:space="preserve">Circulation is the deliberate, purposeful movement of the teacher during independent practice. It is not a wander. It has three jobs: to check pupils are on task, to check the work is being done correctly, and to give the support that keeps them going.</w:t>
      </w:r>
    </w:p>
    <w:p>
      <w:pPr>
        <w:pStyle w:val="ListParagraph"/>
        <w:numPr>
          <w:ilvl w:val="0"/>
          <w:numId w:val="4"/>
        </w:numPr>
        <w:spacing w:after="60" w:line="264"/>
      </w:pPr>
      <w:r>
        <w:rPr>
          <w:rFonts w:ascii="Century Gothic" w:cs="Century Gothic" w:eastAsia="Century Gothic" w:hAnsi="Century Gothic"/>
          <w:color w:val="1A1F1D"/>
        </w:rPr>
        <w:t xml:space="preserve">At the transition, give a clean, numbered instruction and check confidence (CCS2–CCS3).</w:t>
      </w:r>
    </w:p>
    <w:p>
      <w:pPr>
        <w:pStyle w:val="ListParagraph"/>
        <w:numPr>
          <w:ilvl w:val="0"/>
          <w:numId w:val="4"/>
        </w:numPr>
        <w:spacing w:after="60" w:line="264"/>
      </w:pPr>
      <w:r>
        <w:rPr>
          <w:rFonts w:ascii="Century Gothic" w:cs="Century Gothic" w:eastAsia="Century Gothic" w:hAnsi="Century Gothic"/>
          <w:color w:val="1A1F1D"/>
        </w:rPr>
        <w:t xml:space="preserve">Set pupils to start quickly, then take a strong position to scan (CCS4–CCS5).</w:t>
      </w:r>
    </w:p>
    <w:p>
      <w:pPr>
        <w:pStyle w:val="ListParagraph"/>
        <w:numPr>
          <w:ilvl w:val="0"/>
          <w:numId w:val="4"/>
        </w:numPr>
        <w:spacing w:after="60" w:line="264"/>
      </w:pPr>
      <w:r>
        <w:rPr>
          <w:rFonts w:ascii="Century Gothic" w:cs="Century Gothic" w:eastAsia="Century Gothic" w:hAnsi="Century Gothic"/>
          <w:color w:val="1A1F1D"/>
        </w:rPr>
        <w:t xml:space="preserve">Move with purpose, providing adaptation and scaffolding where needed (CCS6).</w:t>
      </w:r>
    </w:p>
    <w:p>
      <w:pPr>
        <w:pStyle w:val="ListParagraph"/>
        <w:numPr>
          <w:ilvl w:val="0"/>
          <w:numId w:val="4"/>
        </w:numPr>
        <w:spacing w:after="60" w:line="264"/>
      </w:pPr>
      <w:r>
        <w:rPr>
          <w:rFonts w:ascii="Century Gothic" w:cs="Century Gothic" w:eastAsia="Century Gothic" w:hAnsi="Century Gothic"/>
          <w:color w:val="1A1F1D"/>
        </w:rPr>
        <w:t xml:space="preserve">Keep the environment calm and the pace up; use any assistant teacher to support key pupils (CCS8–CCS9).</w:t>
      </w:r>
    </w:p>
    <w:p>
      <w:pPr>
        <w:pStyle w:val="ListParagraph"/>
        <w:numPr>
          <w:ilvl w:val="0"/>
          <w:numId w:val="2"/>
        </w:numPr>
        <w:spacing w:after="60" w:line="264"/>
      </w:pPr>
      <w:r>
        <w:rPr>
          <w:rFonts w:ascii="Century Gothic" w:cs="Century Gothic" w:eastAsia="Century Gothic" w:hAnsi="Century Gothic"/>
          <w:b/>
          <w:bCs/>
          <w:color w:val="1A1F1D"/>
        </w:rPr>
        <w:t xml:space="preserve">It is not a wander. </w:t>
      </w:r>
      <w:r>
        <w:rPr>
          <w:rFonts w:ascii="Century Gothic" w:cs="Century Gothic" w:eastAsia="Century Gothic" w:hAnsi="Century Gothic"/>
          <w:color w:val="1A1F1D"/>
        </w:rPr>
        <w:t xml:space="preserve">Every move has one of the three jobs behind it.</w:t>
      </w:r>
    </w:p>
    <w:p>
      <w:pPr>
        <w:pStyle w:val="ListParagraph"/>
        <w:numPr>
          <w:ilvl w:val="0"/>
          <w:numId w:val="2"/>
        </w:numPr>
        <w:spacing w:after="60" w:line="264"/>
      </w:pPr>
      <w:r>
        <w:rPr>
          <w:rFonts w:ascii="Century Gothic" w:cs="Century Gothic" w:eastAsia="Century Gothic" w:hAnsi="Century Gothic"/>
          <w:b/>
          <w:bCs/>
          <w:color w:val="1A1F1D"/>
        </w:rPr>
        <w:t xml:space="preserve">Check correctness, not just compliance. </w:t>
      </w:r>
      <w:r>
        <w:rPr>
          <w:rFonts w:ascii="Century Gothic" w:cs="Century Gothic" w:eastAsia="Century Gothic" w:hAnsi="Century Gothic"/>
          <w:color w:val="1A1F1D"/>
        </w:rPr>
        <w:t xml:space="preserve">On task is not the same as on track.</w:t>
      </w:r>
    </w:p>
    <w:p>
      <w:pPr>
        <w:pStyle w:val="ListParagraph"/>
        <w:numPr>
          <w:ilvl w:val="0"/>
          <w:numId w:val="2"/>
        </w:numPr>
        <w:spacing w:after="60" w:line="264"/>
      </w:pPr>
      <w:r>
        <w:rPr>
          <w:rFonts w:ascii="Century Gothic" w:cs="Century Gothic" w:eastAsia="Century Gothic" w:hAnsi="Century Gothic"/>
          <w:b/>
          <w:bCs/>
          <w:color w:val="1A1F1D"/>
        </w:rPr>
        <w:t xml:space="preserve">Read early, intervene early. </w:t>
      </w:r>
      <w:r>
        <w:rPr>
          <w:rFonts w:ascii="Century Gothic" w:cs="Century Gothic" w:eastAsia="Century Gothic" w:hAnsi="Century Gothic"/>
          <w:color w:val="1A1F1D"/>
        </w:rPr>
        <w:t xml:space="preserve">The pen‑down, looking‑around pupil is the first signal, not the last.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Checking for understanding is </w:t>
            </w:r>
            <w:r>
              <w:rPr>
                <w:rFonts w:ascii="Century Gothic" w:cs="Century Gothic" w:eastAsia="Century Gothic" w:hAnsi="Century Gothic"/>
                <w:b/>
                <w:bCs/>
                <w:color w:val="1A1F1D"/>
              </w:rPr>
              <w:t xml:space="preserve">Diligence</w:t>
            </w:r>
            <w:r>
              <w:rPr>
                <w:rFonts w:ascii="Century Gothic" w:cs="Century Gothic" w:eastAsia="Century Gothic" w:hAnsi="Century Gothic"/>
                <w:color w:val="1A1F1D"/>
              </w:rPr>
              <w:t xml:space="preserve"> made visible — the refusal to assume, and the care to find out — and it serves every pupil, especially the quiet one who would never volunteer that they are lost.</w:t>
            </w:r>
          </w:p>
        </w:tc>
      </w:tr>
    </w:tbl>
    <w:p>
      <w:pPr>
        <w:pStyle w:val="Heading1"/>
        <w:pageBreakBefore/>
        <w:spacing w:after="120" w:before="0"/>
      </w:pPr>
      <w:r>
        <w:rPr>
          <w:rFonts w:ascii="Century Gothic" w:cs="Century Gothic" w:eastAsia="Century Gothic" w:hAnsi="Century Gothic"/>
          <w:b/>
          <w:bCs/>
          <w:color w:val="14322D"/>
          <w:sz w:val="30"/>
          <w:szCs w:val="30"/>
        </w:rPr>
        <w:t xml:space="preserve">Your checking, this term</w:t>
      </w:r>
    </w:p>
    <w:p>
      <w:pPr>
        <w:spacing w:after="120" w:line="276"/>
      </w:pPr>
      <w:r>
        <w:rPr>
          <w:rFonts w:ascii="Century Gothic" w:cs="Century Gothic" w:eastAsia="Century Gothic" w:hAnsi="Century Gothic"/>
          <w:color w:val="1A1F1D"/>
        </w:rPr>
        <w:t xml:space="preserve">Responsive teaching is built one routine at a time. Use the space below to plan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One hinge question</w:t>
            </w:r>
          </w:p>
          <w:p>
            <w:pPr>
              <w:spacing w:after="120" w:line="276"/>
            </w:pPr>
            <w:r>
              <w:rPr>
                <w:rFonts w:ascii="Century Gothic" w:cs="Century Gothic" w:eastAsia="Century Gothic" w:hAnsi="Century Gothic"/>
                <w:color w:val="1A1F1D"/>
              </w:rPr>
              <w:t xml:space="preserve">For one upcoming lesson, write the single hinge question that decides whether the class moves on, and the mini‑whiteboard routine you will use to gather every pupil’s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Circulation with purpose</w:t>
            </w:r>
          </w:p>
          <w:p>
            <w:pPr>
              <w:spacing w:after="120" w:line="276"/>
            </w:pPr>
            <w:r>
              <w:rPr>
                <w:rFonts w:ascii="Century Gothic" w:cs="Century Gothic" w:eastAsia="Century Gothic" w:hAnsi="Century Gothic"/>
                <w:color w:val="1A1F1D"/>
              </w:rPr>
              <w:t xml:space="preserve">Plan your next independent‑practice phase as circulation with the three jobs in mind. Note where you will stand, what you will check first, and how you will read the room 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Continue online, and next steps</w:t>
      </w:r>
    </w:p>
    <w:p>
      <w:pPr>
        <w:spacing w:after="120" w:line="276"/>
      </w:pPr>
      <w:r>
        <w:rPr>
          <w:rFonts w:ascii="Century Gothic" w:cs="Century Gothic" w:eastAsia="Century Gothic" w:hAnsi="Century Gothic"/>
          <w:color w:val="1A1F1D"/>
        </w:rPr>
        <w:t xml:space="preserve">This booklet and the session that accompanies it are the live, facilitated layer. The self‑guided pages online let you revisit the method at your own pace, with the same checklists and worked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Where this goes next</w:t>
            </w:r>
          </w:p>
          <w:p>
            <w:pPr>
              <w:pStyle w:val="ListParagraph"/>
              <w:numPr>
                <w:ilvl w:val="0"/>
                <w:numId w:val="2"/>
              </w:numPr>
              <w:spacing w:after="60" w:line="264"/>
            </w:pPr>
            <w:r>
              <w:rPr>
                <w:rFonts w:ascii="Century Gothic" w:cs="Century Gothic" w:eastAsia="Century Gothic" w:hAnsi="Century Gothic"/>
                <w:b/>
                <w:bCs/>
                <w:color w:val="1A1F1D"/>
              </w:rPr>
              <w:t xml:space="preserve">Online — self‑guided. </w:t>
            </w:r>
            <w:r>
              <w:rPr>
                <w:rFonts w:ascii="Century Gothic" w:cs="Century Gothic" w:eastAsia="Century Gothic" w:hAnsi="Century Gothic"/>
                <w:color w:val="1A1F1D"/>
              </w:rPr>
              <w:t xml:space="preserve">The Pillar 4 modules online cover mini‑whiteboards and hinge questions, and purposeful circulation, in full — with worked checkpoints and the AI scenario tester for each.</w:t>
            </w:r>
          </w:p>
          <w:p>
            <w:pPr>
              <w:pStyle w:val="ListParagraph"/>
              <w:numPr>
                <w:ilvl w:val="0"/>
                <w:numId w:val="2"/>
              </w:numPr>
              <w:spacing w:after="60" w:line="264"/>
            </w:pPr>
            <w:r>
              <w:rPr>
                <w:rFonts w:ascii="Century Gothic" w:cs="Century Gothic" w:eastAsia="Century Gothic" w:hAnsi="Century Gothic"/>
                <w:b/>
                <w:bCs/>
                <w:color w:val="1A1F1D"/>
              </w:rPr>
              <w:t xml:space="preserve">The checklists. </w:t>
            </w:r>
            <w:r>
              <w:rPr>
                <w:rFonts w:ascii="Century Gothic" w:cs="Century Gothic" w:eastAsia="Century Gothic" w:hAnsi="Century Gothic"/>
                <w:color w:val="1A1F1D"/>
              </w:rPr>
              <w:t xml:space="preserve">The MW and CCS checklists let you hold yourself to an all‑pupil response and to circulation that checks, rather than wanders.</w:t>
            </w:r>
          </w:p>
          <w:p>
            <w:pPr>
              <w:pStyle w:val="ListParagraph"/>
              <w:numPr>
                <w:ilvl w:val="0"/>
                <w:numId w:val="2"/>
              </w:numPr>
              <w:spacing w:after="60" w:line="264"/>
            </w:pPr>
            <w:r>
              <w:rPr>
                <w:rFonts w:ascii="Century Gothic" w:cs="Century Gothic" w:eastAsia="Century Gothic" w:hAnsi="Century Gothic"/>
                <w:b/>
                <w:bCs/>
                <w:color w:val="1A1F1D"/>
              </w:rPr>
              <w:t xml:space="preserve">In the room. </w:t>
            </w:r>
            <w:r>
              <w:rPr>
                <w:rFonts w:ascii="Century Gothic" w:cs="Century Gothic" w:eastAsia="Century Gothic" w:hAnsi="Century Gothic"/>
                <w:color w:val="1A1F1D"/>
              </w:rPr>
              <w:t xml:space="preserve">Bring footage of your own teaching to your next coaching meeting and name one concrete change to make.</w:t>
            </w:r>
          </w:p>
        </w:tc>
      </w:tr>
    </w:tbl>
    <w:p>
      <w:pPr>
        <w:spacing w:after="6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Teaching is responsive, or it is guessing. Gather the evidence from every pupil, and act on it while there is still time.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2DD" w:sz="4" w:space="6"/>
      </w:pBdr>
      <w:tabs>
        <w:tab w:val="right" w:pos="9026"/>
      </w:tabs>
    </w:pPr>
    <w:r>
      <w:rPr>
        <w:rFonts w:ascii="Century Gothic" w:cs="Century Gothic" w:eastAsia="Century Gothic" w:hAnsi="Century Gothic"/>
        <w:color w:val="555F5A"/>
        <w:sz w:val="16"/>
        <w:szCs w:val="16"/>
      </w:rPr>
      <w:t xml:space="preserve">A Nishkam Schools professional development programme</w:t>
    </w:r>
    <w:r>
      <w:rPr>
        <w:rFonts w:ascii="Century Gothic" w:cs="Century Gothic" w:eastAsia="Century Gothic" w:hAnsi="Century Gothic"/>
        <w:color w:val="555F5A"/>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DD" w:sz="4" w:space="6"/>
      </w:pBdr>
      <w:tabs>
        <w:tab w:val="right" w:pos="9026"/>
      </w:tabs>
    </w:pPr>
    <w:r>
      <w:rPr>
        <w:rFonts w:ascii="Century Gothic" w:cs="Century Gothic" w:eastAsia="Century Gothic" w:hAnsi="Century Gothic"/>
        <w:b/>
        <w:bCs/>
        <w:caps/>
        <w:color w:val="3F9488"/>
        <w:sz w:val="16"/>
        <w:szCs w:val="16"/>
      </w:rPr>
      <w:t xml:space="preserve">TEACHING EXCELLENCE PROGRAMME</w:t>
    </w:r>
    <w:r>
      <w:rPr>
        <w:rFonts w:ascii="Century Gothic" w:cs="Century Gothic" w:eastAsia="Century Gothic" w:hAnsi="Century Gothic"/>
        <w:color w:val="555F5A"/>
        <w:sz w:val="16"/>
        <w:szCs w:val="16"/>
      </w:rPr>
      <w:t xml:space="preserve">	Pillar 4 · Checking for Understanding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abstractNum w:abstractNumId="7" w15:restartNumberingAfterBreak="0">
    <w:multiLevelType w:val="hybridMultilevel"/>
    <w:lvl w:ilvl="0" w15:tentative="1">
      <w:start w:val="1"/>
      <w:numFmt w:val="decimal"/>
      <w:lvlText w:val="%1."/>
      <w:lvlJc w:val="left"/>
      <w:pPr>
        <w:ind w:left="460" w:hanging="280"/>
      </w:pPr>
    </w:lvl>
  </w:abstractNum>
  <w:abstractNum w:abstractNumId="8"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A1F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entury Gothic" w:cs="Century Gothic" w:eastAsia="Century Gothic" w:hAnsi="Century Gothic"/>
      <w:b/>
      <w:bCs/>
      <w:color w:val="14322D"/>
      <w:sz w:val="30"/>
      <w:szCs w:val="30"/>
    </w:rPr>
  </w:style>
  <w:style w:type="paragraph" w:styleId="Heading2">
    <w:name w:val="Heading 2"/>
    <w:basedOn w:val="Normal"/>
    <w:next w:val="Normal"/>
    <w:qFormat/>
    <w:pPr>
      <w:spacing w:after="80" w:before="240"/>
      <w:outlineLvl w:val="1"/>
    </w:pPr>
    <w:rPr>
      <w:rFonts w:ascii="Century Gothic" w:cs="Century Gothic" w:eastAsia="Century Gothic" w:hAnsi="Century Gothic"/>
      <w:b/>
      <w:bCs/>
      <w:color w:val="1432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81604a7041e2694108c7983bce2311457d67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2026-06-16T20:48:59.782Z</dcterms:created>
  <dcterms:modified xsi:type="dcterms:W3CDTF">2026-06-16T20:48:59.782Z</dcterms:modified>
</cp:coreProperties>
</file>

<file path=docProps/custom.xml><?xml version="1.0" encoding="utf-8"?>
<Properties xmlns="http://schemas.openxmlformats.org/officeDocument/2006/custom-properties" xmlns:vt="http://schemas.openxmlformats.org/officeDocument/2006/docPropsVTypes"/>
</file>