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
        <w:jc w:val="center"/>
      </w:pPr>
      <w:r>
        <w:drawing>
          <wp:inline distT="0" distB="0" distL="0" distR="0">
            <wp:extent cx="14287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238250"/>
                    </a:xfrm>
                    <a:prstGeom prst="rect">
                      <a:avLst/>
                    </a:prstGeom>
                  </pic:spPr>
                </pic:pic>
              </a:graphicData>
            </a:graphic>
          </wp:inline>
        </w:drawing>
      </w:r>
    </w:p>
    <w:p>
      <w:pPr>
        <w:spacing w:after="0" w:before="0"/>
      </w:pPr>
      <w:r>
        <w:rPr>
          <w:rFonts w:ascii="Century Gothic" w:cs="Century Gothic" w:eastAsia="Century Gothic" w:hAnsi="Century Gothic"/>
          <w:b/>
          <w:bCs/>
          <w:caps/>
          <w:color w:val="3F9488"/>
          <w:sz w:val="24"/>
          <w:szCs w:val="24"/>
        </w:rPr>
        <w:t xml:space="preserve">TEACHING EXCELLENCE PROGRAMME</w:t>
      </w:r>
    </w:p>
    <w:p>
      <w:pPr>
        <w:spacing w:after="40"/>
      </w:pPr>
      <w:r>
        <w:rPr>
          <w:rFonts w:ascii="Century Gothic" w:cs="Century Gothic" w:eastAsia="Century Gothic" w:hAnsi="Century Gothic"/>
          <w:color w:val="555F5A"/>
          <w:sz w:val="18"/>
          <w:szCs w:val="18"/>
        </w:rPr>
        <w:t xml:space="preserve">A professional development programme developed by Nishkam Schools</w:t>
      </w:r>
    </w:p>
    <w:p>
      <w:pPr>
        <w:pBdr>
          <w:bottom w:val="single" w:color="B07D2B" w:sz="12" w:space="6"/>
        </w:pBdr>
      </w:pPr>
      <w:r>
        <w:rPr>
          <w:rFonts w:ascii="Century Gothic" w:cs="Century Gothic" w:eastAsia="Century Gothic" w:hAnsi="Century Gothic"/>
          <w:color w:val="1A1F1D"/>
        </w:rPr>
        <w:t xml:space="preserve"/>
      </w:r>
    </w:p>
    <w:p>
      <w:pPr>
        <w:spacing w:after="260"/>
      </w:pPr>
      <w:r>
        <w:rPr>
          <w:rFonts w:ascii="Century Gothic" w:cs="Century Gothic" w:eastAsia="Century Gothic" w:hAnsi="Century Gothic"/>
          <w:color w:val="1A1F1D"/>
        </w:rPr>
        <w:t xml:space="preserve"/>
      </w:r>
    </w:p>
    <w:p>
      <w:pPr>
        <w:spacing w:after="0"/>
      </w:pPr>
      <w:r>
        <w:rPr>
          <w:rFonts w:ascii="Century Gothic" w:cs="Century Gothic" w:eastAsia="Century Gothic" w:hAnsi="Century Gothic"/>
          <w:b/>
          <w:bCs/>
          <w:color w:val="B07D2B"/>
          <w:sz w:val="26"/>
          <w:szCs w:val="26"/>
        </w:rPr>
        <w:t xml:space="preserve">Pillar Five</w:t>
      </w:r>
    </w:p>
    <w:p>
      <w:pPr>
        <w:spacing w:after="60"/>
      </w:pPr>
      <w:r>
        <w:rPr>
          <w:rFonts w:ascii="Century Gothic" w:cs="Century Gothic" w:eastAsia="Century Gothic" w:hAnsi="Century Gothic"/>
          <w:b/>
          <w:bCs/>
          <w:color w:val="14322D"/>
          <w:sz w:val="44"/>
          <w:szCs w:val="44"/>
        </w:rPr>
        <w:t xml:space="preserve">Questioning &amp; Dialogue</w:t>
      </w:r>
    </w:p>
    <w:p>
      <w:pPr>
        <w:spacing w:after="300"/>
      </w:pPr>
      <w:r>
        <w:rPr>
          <w:rFonts w:ascii="Century Gothic" w:cs="Century Gothic" w:eastAsia="Century Gothic" w:hAnsi="Century Gothic"/>
          <w:color w:val="1A1F1D"/>
          <w:sz w:val="36"/>
          <w:szCs w:val="36"/>
        </w:rPr>
        <w:t xml:space="preserve">Questions that make every pupil think, and talk that deepens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FFFFF" w:val="clear"/>
            <w:tcMar>
              <w:top w:type="dxa" w:w="140"/>
              <w:left w:type="dxa" w:w="220"/>
              <w:bottom w:type="dxa" w:w="140"/>
              <w:right w:type="dxa" w:w="200"/>
            </w:tcMar>
          </w:tcPr>
          <w:p>
            <w:r>
              <w:rPr>
                <w:rFonts w:ascii="Century Gothic" w:cs="Century Gothic" w:eastAsia="Century Gothic" w:hAnsi="Century Gothic"/>
                <w:i/>
                <w:iCs/>
                <w:color w:val="14322D"/>
                <w:sz w:val="26"/>
                <w:szCs w:val="26"/>
              </w:rPr>
              <w:t xml:space="preserve">“Questioning works when every pupil has to think, not just the one with their hand up.”</w:t>
            </w:r>
          </w:p>
          <w:p>
            <w:pPr>
              <w:spacing w:before="40"/>
            </w:pPr>
            <w:r>
              <w:rPr>
                <w:rFonts w:ascii="Century Gothic" w:cs="Century Gothic" w:eastAsia="Century Gothic" w:hAnsi="Century Gothic"/>
                <w:color w:val="555F5A"/>
                <w:sz w:val="20"/>
                <w:szCs w:val="20"/>
              </w:rPr>
              <w:t xml:space="preserve">— Pillar 5, Teaching Excellence Programme</w:t>
            </w:r>
          </w:p>
        </w:tc>
      </w:tr>
    </w:tbl>
    <w:p>
      <w:pPr>
        <w:spacing w:after="300"/>
      </w:pPr>
      <w:r>
        <w:rPr>
          <w:rFonts w:ascii="Century Gothic" w:cs="Century Gothic" w:eastAsia="Century Gothic" w:hAnsi="Century Gothic"/>
          <w:color w:val="1A1F1D"/>
        </w:rPr>
        <w:t xml:space="preserve"/>
      </w:r>
    </w:p>
    <w:p>
      <w:pPr>
        <w:spacing w:after="120" w:line="276"/>
      </w:pPr>
      <w:r>
        <w:rPr>
          <w:rFonts w:ascii="Century Gothic" w:cs="Century Gothic" w:eastAsia="Century Gothic" w:hAnsi="Century Gothic"/>
          <w:color w:val="1A1F1D"/>
        </w:rPr>
        <w:t xml:space="preserve">Work through this booklet </w:t>
      </w:r>
      <w:r>
        <w:rPr>
          <w:rFonts w:ascii="Century Gothic" w:cs="Century Gothic" w:eastAsia="Century Gothic" w:hAnsi="Century Gothic"/>
          <w:b/>
          <w:bCs/>
          <w:color w:val="1A1F1D"/>
        </w:rPr>
        <w:t xml:space="preserve">on your own</w:t>
      </w:r>
      <w:r>
        <w:rPr>
          <w:rFonts w:ascii="Century Gothic" w:cs="Century Gothic" w:eastAsia="Century Gothic" w:hAnsi="Century Gothic"/>
          <w:color w:val="1A1F1D"/>
        </w:rPr>
        <w:t xml:space="preserve">, in a </w:t>
      </w:r>
      <w:r>
        <w:rPr>
          <w:rFonts w:ascii="Century Gothic" w:cs="Century Gothic" w:eastAsia="Century Gothic" w:hAnsi="Century Gothic"/>
          <w:b/>
          <w:bCs/>
          <w:color w:val="1A1F1D"/>
        </w:rPr>
        <w:t xml:space="preserve">coaching group of three or four</w:t>
      </w:r>
      <w:r>
        <w:rPr>
          <w:rFonts w:ascii="Century Gothic" w:cs="Century Gothic" w:eastAsia="Century Gothic" w:hAnsi="Century Gothic"/>
          <w:color w:val="1A1F1D"/>
        </w:rPr>
        <w:t xml:space="preserve">, or as a </w:t>
      </w:r>
      <w:r>
        <w:rPr>
          <w:rFonts w:ascii="Century Gothic" w:cs="Century Gothic" w:eastAsia="Century Gothic" w:hAnsi="Century Gothic"/>
          <w:b/>
          <w:bCs/>
          <w:color w:val="1A1F1D"/>
        </w:rPr>
        <w:t xml:space="preserve">subject team</w:t>
      </w:r>
      <w:r>
        <w:rPr>
          <w:rFonts w:ascii="Century Gothic" w:cs="Century Gothic" w:eastAsia="Century Gothic" w:hAnsi="Century Gothic"/>
          <w:color w:val="1A1F1D"/>
        </w:rPr>
        <w:t xml:space="preserve">. It is designed to be used alongside the session that accompanies it, and the self‑guided pages online.</w:t>
      </w:r>
    </w:p>
    <w:p>
      <w:pPr>
        <w:spacing w:after="120"/>
      </w:pPr>
      <w:r>
        <w:rPr>
          <w:rFonts w:ascii="Century Gothic" w:cs="Century Gothic" w:eastAsia="Century Gothic" w:hAnsi="Century Gothic"/>
          <w:color w:val="1A1F1D"/>
        </w:rPr>
        <w:t xml:space="preserve"/>
      </w:r>
    </w:p>
    <w:p>
      <w:pPr>
        <w:spacing w:after="120" w:line="276"/>
      </w:pPr>
      <w:r>
        <w:rPr>
          <w:rFonts w:ascii="Century Gothic" w:cs="Century Gothic" w:eastAsia="Century Gothic" w:hAnsi="Century Gothic"/>
          <w:b/>
          <w:bCs/>
          <w:color w:val="1A1F1D"/>
          <w:sz w:val="24"/>
          <w:szCs w:val="24"/>
        </w:rPr>
        <w:t xml:space="preserve">Name: </w:t>
      </w:r>
      <w:r>
        <w:rPr>
          <w:rFonts w:ascii="Century Gothic" w:cs="Century Gothic" w:eastAsia="Century Gothic" w:hAnsi="Century Gothic"/>
          <w:color w:val="1A1F1D"/>
          <w:u w:val="single"/>
        </w:rPr>
        <w:t xml:space="preserve">              </w:t>
      </w:r>
    </w:p>
    <w:p>
      <w:pPr>
        <w:pStyle w:val="Heading1"/>
        <w:pageBreakBefore/>
        <w:spacing w:after="120" w:before="0"/>
      </w:pPr>
      <w:r>
        <w:rPr>
          <w:rFonts w:ascii="Century Gothic" w:cs="Century Gothic" w:eastAsia="Century Gothic" w:hAnsi="Century Gothic"/>
          <w:b/>
          <w:bCs/>
          <w:color w:val="14322D"/>
          <w:sz w:val="30"/>
          <w:szCs w:val="30"/>
        </w:rPr>
        <w:t xml:space="preserve">In this booklet</w:t>
      </w:r>
    </w:p>
    <w:p>
      <w:pPr>
        <w:spacing w:after="120" w:line="276"/>
      </w:pPr>
      <w:r>
        <w:rPr>
          <w:rFonts w:ascii="Century Gothic" w:cs="Century Gothic" w:eastAsia="Century Gothic" w:hAnsi="Century Gothic"/>
          <w:color w:val="1A1F1D"/>
          <w:sz w:val="24"/>
          <w:szCs w:val="24"/>
        </w:rPr>
        <w:t xml:space="preserve">Reading — the question that makes everyone think</w:t>
      </w:r>
    </w:p>
    <w:p>
      <w:pPr>
        <w:spacing w:after="120" w:line="276"/>
      </w:pPr>
      <w:r>
        <w:rPr>
          <w:rFonts w:ascii="Century Gothic" w:cs="Century Gothic" w:eastAsia="Century Gothic" w:hAnsi="Century Gothic"/>
          <w:color w:val="1A1F1D"/>
          <w:sz w:val="24"/>
          <w:szCs w:val="24"/>
        </w:rPr>
        <w:t xml:space="preserve">Cold-calling</w:t>
      </w:r>
    </w:p>
    <w:p>
      <w:pPr>
        <w:spacing w:after="120" w:line="276"/>
      </w:pPr>
      <w:r>
        <w:rPr>
          <w:rFonts w:ascii="Century Gothic" w:cs="Century Gothic" w:eastAsia="Century Gothic" w:hAnsi="Century Gothic"/>
          <w:color w:val="1A1F1D"/>
          <w:sz w:val="24"/>
          <w:szCs w:val="24"/>
        </w:rPr>
        <w:t xml:space="preserve">Probing questions</w:t>
      </w:r>
    </w:p>
    <w:p>
      <w:pPr>
        <w:spacing w:after="120" w:line="276"/>
      </w:pPr>
      <w:r>
        <w:rPr>
          <w:rFonts w:ascii="Century Gothic" w:cs="Century Gothic" w:eastAsia="Century Gothic" w:hAnsi="Century Gothic"/>
          <w:color w:val="1A1F1D"/>
          <w:sz w:val="24"/>
          <w:szCs w:val="24"/>
        </w:rPr>
        <w:t xml:space="preserve">Pair-share and the questioning sequence</w:t>
      </w:r>
    </w:p>
    <w:p>
      <w:pPr>
        <w:spacing w:after="120" w:line="276"/>
      </w:pPr>
      <w:r>
        <w:rPr>
          <w:rFonts w:ascii="Century Gothic" w:cs="Century Gothic" w:eastAsia="Century Gothic" w:hAnsi="Century Gothic"/>
          <w:color w:val="1A1F1D"/>
          <w:sz w:val="24"/>
          <w:szCs w:val="24"/>
        </w:rPr>
        <w:t xml:space="preserve">Your questioning, this term</w:t>
      </w:r>
    </w:p>
    <w:p>
      <w:pPr>
        <w:spacing w:after="80"/>
      </w:pPr>
      <w:r>
        <w:rPr>
          <w:rFonts w:ascii="Century Gothic" w:cs="Century Gothic" w:eastAsia="Century Gothic" w:hAnsi="Century Gothic"/>
          <w:color w:val="1A1F1D"/>
        </w:rPr>
        <w:t xml:space="preserve"/>
      </w:r>
    </w:p>
    <w:p>
      <w:pPr>
        <w:pStyle w:val="Heading2"/>
        <w:spacing w:after="80" w:before="240"/>
      </w:pPr>
      <w:r>
        <w:rPr>
          <w:rFonts w:ascii="Century Gothic" w:cs="Century Gothic" w:eastAsia="Century Gothic" w:hAnsi="Century Gothic"/>
          <w:b/>
          <w:bCs/>
          <w:color w:val="14322D"/>
          <w:sz w:val="24"/>
          <w:szCs w:val="24"/>
        </w:rPr>
        <w:t xml:space="preserve">How to use this booklet</w:t>
      </w:r>
    </w:p>
    <w:p>
      <w:pPr>
        <w:spacing w:after="120" w:line="276"/>
      </w:pPr>
      <w:r>
        <w:rPr>
          <w:rFonts w:ascii="Century Gothic" w:cs="Century Gothic" w:eastAsia="Century Gothic" w:hAnsi="Century Gothic"/>
          <w:color w:val="1A1F1D"/>
        </w:rPr>
        <w:t xml:space="preserve">This is one of six booklets in the programme, each building expertise in a different area of classroom practice. It is a starting point, not the finish line: pair it with video footage of your own teaching, with coaching and deliberate practice, and with the checklists that sit behind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Three ways to work</w:t>
            </w:r>
          </w:p>
          <w:p>
            <w:pPr>
              <w:pStyle w:val="ListParagraph"/>
              <w:numPr>
                <w:ilvl w:val="0"/>
                <w:numId w:val="2"/>
              </w:numPr>
              <w:spacing w:after="60" w:line="264"/>
            </w:pPr>
            <w:r>
              <w:rPr>
                <w:rFonts w:ascii="Century Gothic" w:cs="Century Gothic" w:eastAsia="Century Gothic" w:hAnsi="Century Gothic"/>
                <w:b/>
                <w:bCs/>
                <w:color w:val="1A1F1D"/>
              </w:rPr>
              <w:t xml:space="preserve">On your own. </w:t>
            </w:r>
            <w:r>
              <w:rPr>
                <w:rFonts w:ascii="Century Gothic" w:cs="Century Gothic" w:eastAsia="Century Gothic" w:hAnsi="Century Gothic"/>
                <w:color w:val="1A1F1D"/>
              </w:rPr>
              <w:t xml:space="preserve">Read, audit your current practice, and complete the independent tasks.</w:t>
            </w:r>
          </w:p>
          <w:p>
            <w:pPr>
              <w:pStyle w:val="ListParagraph"/>
              <w:numPr>
                <w:ilvl w:val="0"/>
                <w:numId w:val="2"/>
              </w:numPr>
              <w:spacing w:after="60" w:line="264"/>
            </w:pPr>
            <w:r>
              <w:rPr>
                <w:rFonts w:ascii="Century Gothic" w:cs="Century Gothic" w:eastAsia="Century Gothic" w:hAnsi="Century Gothic"/>
                <w:b/>
                <w:bCs/>
                <w:color w:val="1A1F1D"/>
              </w:rPr>
              <w:t xml:space="preserve">In a coaching group. </w:t>
            </w:r>
            <w:r>
              <w:rPr>
                <w:rFonts w:ascii="Century Gothic" w:cs="Century Gothic" w:eastAsia="Century Gothic" w:hAnsi="Century Gothic"/>
                <w:color w:val="1A1F1D"/>
              </w:rPr>
              <w:t xml:space="preserve">Three or four colleagues rehearse the practice, observe, and coach one another.</w:t>
            </w:r>
          </w:p>
          <w:p>
            <w:pPr>
              <w:pStyle w:val="ListParagraph"/>
              <w:numPr>
                <w:ilvl w:val="0"/>
                <w:numId w:val="2"/>
              </w:numPr>
              <w:spacing w:after="60" w:line="264"/>
            </w:pPr>
            <w:r>
              <w:rPr>
                <w:rFonts w:ascii="Century Gothic" w:cs="Century Gothic" w:eastAsia="Century Gothic" w:hAnsi="Century Gothic"/>
                <w:b/>
                <w:bCs/>
                <w:color w:val="1A1F1D"/>
              </w:rPr>
              <w:t xml:space="preserve">As a subject team. </w:t>
            </w:r>
            <w:r>
              <w:rPr>
                <w:rFonts w:ascii="Century Gothic" w:cs="Century Gothic" w:eastAsia="Century Gothic" w:hAnsi="Century Gothic"/>
                <w:color w:val="1A1F1D"/>
              </w:rPr>
              <w:t xml:space="preserve">Adapt each method to your subject and agree what ‘water‑tight’ looks like for you.</w:t>
            </w:r>
          </w:p>
        </w:tc>
      </w:tr>
    </w:tbl>
    <w:p>
      <w:pPr>
        <w:spacing w:after="60"/>
      </w:pPr>
      <w:r>
        <w:rPr>
          <w:rFonts w:ascii="Century Gothic" w:cs="Century Gothic" w:eastAsia="Century Gothic" w:hAnsi="Century Gothic"/>
          <w:color w:val="1A1F1D"/>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4ECE0" w:val="clear"/>
            <w:tcMar>
              <w:top w:type="dxa" w:w="140"/>
              <w:left w:type="dxa" w:w="220"/>
              <w:bottom w:type="dxa" w:w="140"/>
              <w:right w:type="dxa" w:w="200"/>
            </w:tcMar>
          </w:tcPr>
          <w:p>
            <w:pPr>
              <w:spacing w:after="60"/>
            </w:pPr>
            <w:r>
              <w:rPr>
                <w:rFonts w:ascii="Century Gothic" w:cs="Century Gothic" w:eastAsia="Century Gothic" w:hAnsi="Century Gothic"/>
                <w:b/>
                <w:bCs/>
                <w:color w:val="B07D2B"/>
                <w:sz w:val="22"/>
                <w:szCs w:val="22"/>
              </w:rPr>
              <w:t xml:space="preserve">At Nishkam</w:t>
            </w:r>
          </w:p>
          <w:p>
            <w:pPr>
              <w:spacing w:after="120" w:line="276"/>
            </w:pPr>
            <w:r>
              <w:rPr>
                <w:rFonts w:ascii="Century Gothic" w:cs="Century Gothic" w:eastAsia="Century Gothic" w:hAnsi="Century Gothic"/>
                <w:color w:val="1A1F1D"/>
              </w:rPr>
              <w:t xml:space="preserve">This programme is faith‑inspired and virtues‑led, and the practice below is anchored in the virtues of </w:t>
            </w:r>
            <w:r>
              <w:rPr>
                <w:rFonts w:ascii="Century Gothic" w:cs="Century Gothic" w:eastAsia="Century Gothic" w:hAnsi="Century Gothic"/>
                <w:b/>
                <w:bCs/>
                <w:color w:val="1A1F1D"/>
              </w:rPr>
              <w:t xml:space="preserve">Peacefulness, Diligence and Determination</w:t>
            </w:r>
            <w:r>
              <w:rPr>
                <w:rFonts w:ascii="Century Gothic" w:cs="Century Gothic" w:eastAsia="Century Gothic" w:hAnsi="Century Gothic"/>
                <w:color w:val="1A1F1D"/>
              </w:rPr>
              <w:t xml:space="preserve">. Throughout, boxes like this one show the Nishkam version of a practice. Everything else is written to be lifted straight into any classroom — keep the method, give it the language that fits your setting.</w:t>
            </w:r>
          </w:p>
        </w:tc>
      </w:tr>
    </w:tbl>
    <w:p>
      <w:pPr>
        <w:pStyle w:val="Heading1"/>
        <w:pageBreakBefore/>
        <w:spacing w:after="120" w:before="0"/>
      </w:pPr>
      <w:r>
        <w:rPr>
          <w:rFonts w:ascii="Century Gothic" w:cs="Century Gothic" w:eastAsia="Century Gothic" w:hAnsi="Century Gothic"/>
          <w:b/>
          <w:bCs/>
          <w:color w:val="14322D"/>
          <w:sz w:val="30"/>
          <w:szCs w:val="30"/>
        </w:rPr>
        <w:t xml:space="preserve">Reading: the question that makes everyone think</w:t>
      </w:r>
    </w:p>
    <w:p>
      <w:pPr>
        <w:spacing w:after="120" w:line="276"/>
      </w:pPr>
      <w:r>
        <w:rPr>
          <w:rFonts w:ascii="Century Gothic" w:cs="Century Gothic" w:eastAsia="Century Gothic" w:hAnsi="Century Gothic"/>
          <w:color w:val="1A1F1D"/>
        </w:rPr>
        <w:t xml:space="preserve">A question asked to the room, answered by a volunteer, tells a teacher one thing: that one pupil knew. The rest may have thought, or may have switched off the moment a hand went up elsewhere. Good questioning is designed so that every pupil has to think, and so that the thinking goes deeper than a first answer.</w:t>
      </w:r>
    </w:p>
    <w:p>
      <w:pPr>
        <w:spacing w:after="120" w:line="276"/>
      </w:pPr>
      <w:r>
        <w:rPr>
          <w:rFonts w:ascii="Century Gothic" w:cs="Century Gothic" w:eastAsia="Century Gothic" w:hAnsi="Century Gothic"/>
          <w:color w:val="1A1F1D"/>
        </w:rPr>
        <w:t xml:space="preserve">Dylan Wiliam makes the case against the show of hands: when pupils volunteer, the teacher hears from those who already know, and the others learn that thinking is optional. His remedy is to remove the choice — every pupil is a candidate to answer — and to build in wait time, the few seconds of silence after a question that, the research of Mary Budd Rowe showed, transforms the length and quality of answers.</w:t>
      </w:r>
    </w:p>
    <w:p>
      <w:pPr>
        <w:spacing w:after="120" w:line="276"/>
      </w:pPr>
      <w:r>
        <w:rPr>
          <w:rFonts w:ascii="Century Gothic" w:cs="Century Gothic" w:eastAsia="Century Gothic" w:hAnsi="Century Gothic"/>
          <w:color w:val="1A1F1D"/>
        </w:rPr>
        <w:t xml:space="preserve">Doug Lemov turns this into named techniques: Cold Call, where the question is posed to the class, a pause is held, and then a pupil is named; and Turn and Talk, the brief paired rehearsal that lets every pupil frame an answer before anyone says it aloud. The point throughout is participation that is universal rather than volunteered.</w:t>
      </w:r>
    </w:p>
    <w:p>
      <w:pPr>
        <w:spacing w:after="120" w:line="276"/>
      </w:pPr>
      <w:r>
        <w:rPr>
          <w:rFonts w:ascii="Century Gothic" w:cs="Century Gothic" w:eastAsia="Century Gothic" w:hAnsi="Century Gothic"/>
          <w:color w:val="1A1F1D"/>
        </w:rPr>
        <w:t xml:space="preserve">Robin Alexander’s work on dialogic teaching adds the depth: classroom talk is most powerful when answers are followed up, built on, and connected — when a first answer is the start of the thinking, not the end of it. That is the work of probing.</w:t>
      </w:r>
    </w:p>
    <w:p>
      <w:pPr>
        <w:spacing w:after="120" w:line="276"/>
      </w:pPr>
      <w:r>
        <w:rPr>
          <w:rFonts w:ascii="Century Gothic" w:cs="Century Gothic" w:eastAsia="Century Gothic" w:hAnsi="Century Gothic"/>
          <w:color w:val="1A1F1D"/>
        </w:rPr>
        <w:t xml:space="preserve">Pillar 5 combines three routines — cold‑calling, probing, and pair‑share — which, with choral response and mini‑whiteboards from the earlier pillars, form the Choral → MWB → Pair → Cold‑call sequence the school uses.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First reflections</w:t>
            </w:r>
          </w:p>
          <w:p>
            <w:pPr>
              <w:spacing w:after="120" w:line="276"/>
            </w:pPr>
            <w:r>
              <w:rPr>
                <w:rFonts w:ascii="Century Gothic" w:cs="Century Gothic" w:eastAsia="Century Gothic" w:hAnsi="Century Gothic"/>
                <w:color w:val="1A1F1D"/>
              </w:rPr>
              <w:t xml:space="preserve">In your classroom, who does most of the answering? Note how often you take hands up, and what the pupils who never volunteer are doing while you 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Cold-calling</w:t>
      </w:r>
    </w:p>
    <w:p>
      <w:pPr>
        <w:spacing w:after="120" w:line="276"/>
      </w:pPr>
      <w:r>
        <w:rPr>
          <w:rFonts w:ascii="Century Gothic" w:cs="Century Gothic" w:eastAsia="Century Gothic" w:hAnsi="Century Gothic"/>
          <w:color w:val="1A1F1D"/>
        </w:rPr>
        <w:t xml:space="preserve">Cold‑calling makes thinking non‑optional: the question is posed to the whole class with no name attached, a pause is held, and only then is a pupil named. Because anyone might be asked, everyone thinks. Done warmly, it includes pupils rather than catching them out.</w:t>
      </w:r>
    </w:p>
    <w:p>
      <w:pPr>
        <w:pStyle w:val="ListParagraph"/>
        <w:numPr>
          <w:ilvl w:val="0"/>
          <w:numId w:val="3"/>
        </w:numPr>
        <w:spacing w:after="60" w:line="264"/>
      </w:pPr>
      <w:r>
        <w:rPr>
          <w:rFonts w:ascii="Century Gothic" w:cs="Century Gothic" w:eastAsia="Century Gothic" w:hAnsi="Century Gothic"/>
          <w:color w:val="1A1F1D"/>
        </w:rPr>
        <w:t xml:space="preserve">Stand in a strong position and pose the question to the whole class (CC1, CC3).</w:t>
      </w:r>
    </w:p>
    <w:p>
      <w:pPr>
        <w:pStyle w:val="ListParagraph"/>
        <w:numPr>
          <w:ilvl w:val="0"/>
          <w:numId w:val="3"/>
        </w:numPr>
        <w:spacing w:after="60" w:line="264"/>
      </w:pPr>
      <w:r>
        <w:rPr>
          <w:rFonts w:ascii="Century Gothic" w:cs="Century Gothic" w:eastAsia="Century Gothic" w:hAnsi="Century Gothic"/>
          <w:color w:val="1A1F1D"/>
        </w:rPr>
        <w:t xml:space="preserve">Attach no name to the initial question (CC4).</w:t>
      </w:r>
    </w:p>
    <w:p>
      <w:pPr>
        <w:pStyle w:val="ListParagraph"/>
        <w:numPr>
          <w:ilvl w:val="0"/>
          <w:numId w:val="3"/>
        </w:numPr>
        <w:spacing w:after="60" w:line="264"/>
      </w:pPr>
      <w:r>
        <w:rPr>
          <w:rFonts w:ascii="Century Gothic" w:cs="Century Gothic" w:eastAsia="Century Gothic" w:hAnsi="Century Gothic"/>
          <w:color w:val="1A1F1D"/>
        </w:rPr>
        <w:t xml:space="preserve">Hold thinking time — around three seconds — before naming anyone (CC5).</w:t>
      </w:r>
    </w:p>
    <w:p>
      <w:pPr>
        <w:pStyle w:val="ListParagraph"/>
        <w:numPr>
          <w:ilvl w:val="0"/>
          <w:numId w:val="3"/>
        </w:numPr>
        <w:spacing w:after="60" w:line="264"/>
      </w:pPr>
      <w:r>
        <w:rPr>
          <w:rFonts w:ascii="Century Gothic" w:cs="Century Gothic" w:eastAsia="Century Gothic" w:hAnsi="Century Gothic"/>
          <w:color w:val="1A1F1D"/>
        </w:rPr>
        <w:t xml:space="preserve">Name a pupil, then take the response (CC6).</w:t>
      </w:r>
    </w:p>
    <w:p>
      <w:pPr>
        <w:pStyle w:val="ListParagraph"/>
        <w:numPr>
          <w:ilvl w:val="0"/>
          <w:numId w:val="3"/>
        </w:numPr>
        <w:spacing w:after="60" w:line="264"/>
      </w:pPr>
      <w:r>
        <w:rPr>
          <w:rFonts w:ascii="Century Gothic" w:cs="Century Gothic" w:eastAsia="Century Gothic" w:hAnsi="Century Gothic"/>
          <w:color w:val="1A1F1D"/>
        </w:rPr>
        <w:t xml:space="preserve">Acknowledge, then ask them to elaborate or explain; address misconceptions (CC8–CC11).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Reflection</w:t>
            </w:r>
          </w:p>
          <w:p>
            <w:pPr>
              <w:spacing w:after="120" w:line="276"/>
            </w:pPr>
            <w:r>
              <w:rPr>
                <w:rFonts w:ascii="Century Gothic" w:cs="Century Gothic" w:eastAsia="Century Gothic" w:hAnsi="Century Gothic"/>
                <w:color w:val="1A1F1D"/>
              </w:rPr>
              <w:t xml:space="preserve">What stops you holding a full three seconds of silence before naming a pupil? Try doubling your wait time in one lesson and note what changes in the answers.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Probing questions</w:t>
      </w:r>
    </w:p>
    <w:p>
      <w:pPr>
        <w:spacing w:after="120" w:line="276"/>
      </w:pPr>
      <w:r>
        <w:rPr>
          <w:rFonts w:ascii="Century Gothic" w:cs="Century Gothic" w:eastAsia="Century Gothic" w:hAnsi="Century Gothic"/>
          <w:color w:val="1A1F1D"/>
        </w:rPr>
        <w:t xml:space="preserve">Probing is the follow‑up that develops a first answer into deeper thinking. The answer is the starting point, not the destination. A good probe pushes a pupil to justify, connect, or extend — and the stem can be chosen to match the level of thinking you want.</w:t>
      </w:r>
    </w:p>
    <w:p>
      <w:pPr>
        <w:pStyle w:val="ListParagraph"/>
        <w:numPr>
          <w:ilvl w:val="0"/>
          <w:numId w:val="2"/>
        </w:numPr>
        <w:spacing w:after="60" w:line="264"/>
      </w:pPr>
      <w:r>
        <w:rPr>
          <w:rFonts w:ascii="Century Gothic" w:cs="Century Gothic" w:eastAsia="Century Gothic" w:hAnsi="Century Gothic"/>
          <w:b/>
          <w:bCs/>
          <w:color w:val="1A1F1D"/>
        </w:rPr>
        <w:t xml:space="preserve">Remember. </w:t>
      </w:r>
      <w:r>
        <w:rPr>
          <w:rFonts w:ascii="Century Gothic" w:cs="Century Gothic" w:eastAsia="Century Gothic" w:hAnsi="Century Gothic"/>
          <w:color w:val="1A1F1D"/>
        </w:rPr>
        <w:t xml:space="preserve">‘What do we know about…?’</w:t>
      </w:r>
    </w:p>
    <w:p>
      <w:pPr>
        <w:pStyle w:val="ListParagraph"/>
        <w:numPr>
          <w:ilvl w:val="0"/>
          <w:numId w:val="2"/>
        </w:numPr>
        <w:spacing w:after="60" w:line="264"/>
      </w:pPr>
      <w:r>
        <w:rPr>
          <w:rFonts w:ascii="Century Gothic" w:cs="Century Gothic" w:eastAsia="Century Gothic" w:hAnsi="Century Gothic"/>
          <w:b/>
          <w:bCs/>
          <w:color w:val="1A1F1D"/>
        </w:rPr>
        <w:t xml:space="preserve">Apply. </w:t>
      </w:r>
      <w:r>
        <w:rPr>
          <w:rFonts w:ascii="Century Gothic" w:cs="Century Gothic" w:eastAsia="Century Gothic" w:hAnsi="Century Gothic"/>
          <w:color w:val="1A1F1D"/>
        </w:rPr>
        <w:t xml:space="preserve">‘How would you use this in…?’</w:t>
      </w:r>
    </w:p>
    <w:p>
      <w:pPr>
        <w:pStyle w:val="ListParagraph"/>
        <w:numPr>
          <w:ilvl w:val="0"/>
          <w:numId w:val="2"/>
        </w:numPr>
        <w:spacing w:after="60" w:line="264"/>
      </w:pPr>
      <w:r>
        <w:rPr>
          <w:rFonts w:ascii="Century Gothic" w:cs="Century Gothic" w:eastAsia="Century Gothic" w:hAnsi="Century Gothic"/>
          <w:b/>
          <w:bCs/>
          <w:color w:val="1A1F1D"/>
        </w:rPr>
        <w:t xml:space="preserve">Analyse. </w:t>
      </w:r>
      <w:r>
        <w:rPr>
          <w:rFonts w:ascii="Century Gothic" w:cs="Century Gothic" w:eastAsia="Century Gothic" w:hAnsi="Century Gothic"/>
          <w:color w:val="1A1F1D"/>
        </w:rPr>
        <w:t xml:space="preserve">‘What are the key differences between…?’</w:t>
      </w:r>
    </w:p>
    <w:p>
      <w:pPr>
        <w:pStyle w:val="ListParagraph"/>
        <w:numPr>
          <w:ilvl w:val="0"/>
          <w:numId w:val="2"/>
        </w:numPr>
        <w:spacing w:after="60" w:line="264"/>
      </w:pPr>
      <w:r>
        <w:rPr>
          <w:rFonts w:ascii="Century Gothic" w:cs="Century Gothic" w:eastAsia="Century Gothic" w:hAnsi="Century Gothic"/>
          <w:b/>
          <w:bCs/>
          <w:color w:val="1A1F1D"/>
        </w:rPr>
        <w:t xml:space="preserve">Evaluate. </w:t>
      </w:r>
      <w:r>
        <w:rPr>
          <w:rFonts w:ascii="Century Gothic" w:cs="Century Gothic" w:eastAsia="Century Gothic" w:hAnsi="Century Gothic"/>
          <w:color w:val="1A1F1D"/>
        </w:rPr>
        <w:t xml:space="preserve">‘Which of these is more effective, and why?’</w:t>
      </w:r>
    </w:p>
    <w:p>
      <w:pPr>
        <w:pStyle w:val="ListParagraph"/>
        <w:numPr>
          <w:ilvl w:val="0"/>
          <w:numId w:val="2"/>
        </w:numPr>
        <w:spacing w:after="60" w:line="264"/>
      </w:pPr>
      <w:r>
        <w:rPr>
          <w:rFonts w:ascii="Century Gothic" w:cs="Century Gothic" w:eastAsia="Century Gothic" w:hAnsi="Century Gothic"/>
          <w:b/>
          <w:bCs/>
          <w:color w:val="1A1F1D"/>
        </w:rPr>
        <w:t xml:space="preserve">Create. </w:t>
      </w:r>
      <w:r>
        <w:rPr>
          <w:rFonts w:ascii="Century Gothic" w:cs="Century Gothic" w:eastAsia="Century Gothic" w:hAnsi="Century Gothic"/>
          <w:color w:val="1A1F1D"/>
        </w:rPr>
        <w:t xml:space="preserve">‘What might happen if…?’</w:t>
      </w:r>
    </w:p>
    <w:p>
      <w:pPr>
        <w:spacing w:after="120" w:line="276"/>
      </w:pPr>
      <w:r>
        <w:rPr>
          <w:rFonts w:ascii="Century Gothic" w:cs="Century Gothic" w:eastAsia="Century Gothic" w:hAnsi="Century Gothic"/>
          <w:color w:val="1A1F1D"/>
        </w:rPr>
        <w:t xml:space="preserve">The skill is to ask a second question after the first answer, and to hold the pause again. Two probes in sequence, each after a real pause, will take a pupil further than a dozen quick questions to different hands.</w:t>
      </w:r>
    </w:p>
    <w:p>
      <w:pPr>
        <w:pStyle w:val="Heading1"/>
        <w:pageBreakBefore/>
        <w:spacing w:after="120" w:before="0"/>
      </w:pPr>
      <w:r>
        <w:rPr>
          <w:rFonts w:ascii="Century Gothic" w:cs="Century Gothic" w:eastAsia="Century Gothic" w:hAnsi="Century Gothic"/>
          <w:b/>
          <w:bCs/>
          <w:color w:val="14322D"/>
          <w:sz w:val="30"/>
          <w:szCs w:val="30"/>
        </w:rPr>
        <w:t xml:space="preserve">Pair-share and the questioning sequence</w:t>
      </w:r>
    </w:p>
    <w:p>
      <w:pPr>
        <w:spacing w:after="120" w:line="276"/>
      </w:pPr>
      <w:r>
        <w:rPr>
          <w:rFonts w:ascii="Century Gothic" w:cs="Century Gothic" w:eastAsia="Century Gothic" w:hAnsi="Century Gothic"/>
          <w:color w:val="1A1F1D"/>
        </w:rPr>
        <w:t xml:space="preserve">Pair‑share is the brief paired discussion that gives every pupil thinking time and a chance to rehearse an answer before saying it to the class. It is the transition routine that feeds cold‑calling: pupils who have just rehearsed an answer in a pair are far more ready to give it aloud.</w:t>
      </w:r>
    </w:p>
    <w:p>
      <w:pPr>
        <w:pStyle w:val="ListParagraph"/>
        <w:numPr>
          <w:ilvl w:val="0"/>
          <w:numId w:val="4"/>
        </w:numPr>
        <w:spacing w:after="60" w:line="264"/>
      </w:pPr>
      <w:r>
        <w:rPr>
          <w:rFonts w:ascii="Century Gothic" w:cs="Century Gothic" w:eastAsia="Century Gothic" w:hAnsi="Century Gothic"/>
          <w:color w:val="1A1F1D"/>
        </w:rPr>
        <w:t xml:space="preserve">Pose the question and set the pairs talking, audibly, on task.</w:t>
      </w:r>
    </w:p>
    <w:p>
      <w:pPr>
        <w:pStyle w:val="ListParagraph"/>
        <w:numPr>
          <w:ilvl w:val="0"/>
          <w:numId w:val="4"/>
        </w:numPr>
        <w:spacing w:after="60" w:line="264"/>
      </w:pPr>
      <w:r>
        <w:rPr>
          <w:rFonts w:ascii="Century Gothic" w:cs="Century Gothic" w:eastAsia="Century Gothic" w:hAnsi="Century Gothic"/>
          <w:color w:val="1A1F1D"/>
        </w:rPr>
        <w:t xml:space="preserve">Circulate silently for the full time — around sixty seconds — listening, not interrupting.</w:t>
      </w:r>
    </w:p>
    <w:p>
      <w:pPr>
        <w:pStyle w:val="ListParagraph"/>
        <w:numPr>
          <w:ilvl w:val="0"/>
          <w:numId w:val="4"/>
        </w:numPr>
        <w:spacing w:after="60" w:line="264"/>
      </w:pPr>
      <w:r>
        <w:rPr>
          <w:rFonts w:ascii="Century Gothic" w:cs="Century Gothic" w:eastAsia="Century Gothic" w:hAnsi="Century Gothic"/>
          <w:color w:val="1A1F1D"/>
        </w:rPr>
        <w:t xml:space="preserve">Trigger diligence to bring the room back: ‘3‑2‑1, eyes’.</w:t>
      </w:r>
    </w:p>
    <w:p>
      <w:pPr>
        <w:pStyle w:val="ListParagraph"/>
        <w:numPr>
          <w:ilvl w:val="0"/>
          <w:numId w:val="4"/>
        </w:numPr>
        <w:spacing w:after="60" w:line="264"/>
      </w:pPr>
      <w:r>
        <w:rPr>
          <w:rFonts w:ascii="Century Gothic" w:cs="Century Gothic" w:eastAsia="Century Gothic" w:hAnsi="Century Gothic"/>
          <w:color w:val="1A1F1D"/>
        </w:rPr>
        <w:t xml:space="preserve">Cold‑call from what you heard while circulating.</w:t>
      </w:r>
    </w:p>
    <w:p>
      <w:pPr>
        <w:spacing w:after="120" w:line="276"/>
      </w:pPr>
      <w:r>
        <w:rPr>
          <w:rFonts w:ascii="Century Gothic" w:cs="Century Gothic" w:eastAsia="Century Gothic" w:hAnsi="Century Gothic"/>
          <w:color w:val="1A1F1D"/>
        </w:rPr>
        <w:t xml:space="preserve">Placed in sequence — Choral → MWB → Pair → Cold‑call — the routines build on one another: choral response for fluency, whiteboards for an all‑pupil check, pair‑share for rehearsal, cold‑call for accountable talk.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B07D2B" w:sz="24"/>
              <w:bottom w:val="none"/>
              <w:right w:val="none"/>
            </w:tcBorders>
            <w:shd w:fill="F4ECE0" w:val="clear"/>
            <w:tcMar>
              <w:top w:type="dxa" w:w="140"/>
              <w:left w:type="dxa" w:w="220"/>
              <w:bottom w:type="dxa" w:w="140"/>
              <w:right w:type="dxa" w:w="200"/>
            </w:tcMar>
          </w:tcPr>
          <w:p>
            <w:pPr>
              <w:spacing w:after="60"/>
            </w:pPr>
            <w:r>
              <w:rPr>
                <w:rFonts w:ascii="Century Gothic" w:cs="Century Gothic" w:eastAsia="Century Gothic" w:hAnsi="Century Gothic"/>
                <w:b/>
                <w:bCs/>
                <w:color w:val="B07D2B"/>
                <w:sz w:val="22"/>
                <w:szCs w:val="22"/>
              </w:rPr>
              <w:t xml:space="preserve">At Nishkam</w:t>
            </w:r>
          </w:p>
          <w:p>
            <w:pPr>
              <w:spacing w:after="120" w:line="276"/>
            </w:pPr>
            <w:r>
              <w:rPr>
                <w:rFonts w:ascii="Century Gothic" w:cs="Century Gothic" w:eastAsia="Century Gothic" w:hAnsi="Century Gothic"/>
                <w:color w:val="1A1F1D"/>
              </w:rPr>
              <w:t xml:space="preserve">Questioning that includes every pupil is an act of </w:t>
            </w:r>
            <w:r>
              <w:rPr>
                <w:rFonts w:ascii="Century Gothic" w:cs="Century Gothic" w:eastAsia="Century Gothic" w:hAnsi="Century Gothic"/>
                <w:b/>
                <w:bCs/>
                <w:color w:val="1A1F1D"/>
              </w:rPr>
              <w:t xml:space="preserve">Peacefulness</w:t>
            </w:r>
            <w:r>
              <w:rPr>
                <w:rFonts w:ascii="Century Gothic" w:cs="Century Gothic" w:eastAsia="Century Gothic" w:hAnsi="Century Gothic"/>
                <w:color w:val="1A1F1D"/>
              </w:rPr>
              <w:t xml:space="preserve"> — calm, warm, never a gotcha — and of </w:t>
            </w:r>
            <w:r>
              <w:rPr>
                <w:rFonts w:ascii="Century Gothic" w:cs="Century Gothic" w:eastAsia="Century Gothic" w:hAnsi="Century Gothic"/>
                <w:b/>
                <w:bCs/>
                <w:color w:val="1A1F1D"/>
              </w:rPr>
              <w:t xml:space="preserve">Determination</w:t>
            </w:r>
            <w:r>
              <w:rPr>
                <w:rFonts w:ascii="Century Gothic" w:cs="Century Gothic" w:eastAsia="Century Gothic" w:hAnsi="Century Gothic"/>
                <w:color w:val="1A1F1D"/>
              </w:rPr>
              <w:t xml:space="preserve">: the insistence that every pupil, not just the eager few, does the thinking.</w:t>
            </w:r>
          </w:p>
        </w:tc>
      </w:tr>
    </w:tbl>
    <w:p>
      <w:pPr>
        <w:pStyle w:val="Heading1"/>
        <w:pageBreakBefore/>
        <w:spacing w:after="120" w:before="0"/>
      </w:pPr>
      <w:r>
        <w:rPr>
          <w:rFonts w:ascii="Century Gothic" w:cs="Century Gothic" w:eastAsia="Century Gothic" w:hAnsi="Century Gothic"/>
          <w:b/>
          <w:bCs/>
          <w:color w:val="14322D"/>
          <w:sz w:val="30"/>
          <w:szCs w:val="30"/>
        </w:rPr>
        <w:t xml:space="preserve">Your questioning, this term</w:t>
      </w:r>
    </w:p>
    <w:p>
      <w:pPr>
        <w:spacing w:after="120" w:line="276"/>
      </w:pPr>
      <w:r>
        <w:rPr>
          <w:rFonts w:ascii="Century Gothic" w:cs="Century Gothic" w:eastAsia="Century Gothic" w:hAnsi="Century Gothic"/>
          <w:color w:val="1A1F1D"/>
        </w:rPr>
        <w:t xml:space="preserve">Universal, deeper thinking is built one routine at a time. Use the space below to plan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Hands down</w:t>
            </w:r>
          </w:p>
          <w:p>
            <w:pPr>
              <w:spacing w:after="120" w:line="276"/>
            </w:pPr>
            <w:r>
              <w:rPr>
                <w:rFonts w:ascii="Century Gothic" w:cs="Century Gothic" w:eastAsia="Century Gothic" w:hAnsi="Century Gothic"/>
                <w:color w:val="1A1F1D"/>
              </w:rPr>
              <w:t xml:space="preserve">Plan one lesson where you take no hands up. Note the questions you will cold‑call, the wait time you will hold, and how you will keep it warm rather than threatening.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One probe, deeper</w:t>
            </w:r>
          </w:p>
          <w:p>
            <w:pPr>
              <w:spacing w:after="120" w:line="276"/>
            </w:pPr>
            <w:r>
              <w:rPr>
                <w:rFonts w:ascii="Century Gothic" w:cs="Century Gothic" w:eastAsia="Century Gothic" w:hAnsi="Century Gothic"/>
                <w:color w:val="1A1F1D"/>
              </w:rPr>
              <w:t xml:space="preserve">Choose a concept and write two probing questions in sequence that would push a pupil from a first answer to real justification. Note where you will use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r>
              <w:trPr>
                <w:cantSplit/>
              </w:trPr>
              <w:tc>
                <w:tcPr>
                  <w:tcW w:type="dxa" w:w="9026"/>
                  <w:tcBorders>
                    <w:top w:val="none" w:color="BBBBBB" w:sz="4"/>
                    <w:left w:val="single" w:color="BBBBBB" w:sz="4"/>
                    <w:bottom w:val="single" w:color="BBBBBB" w:sz="4"/>
                    <w:right w:val="single" w:color="BBBBBB" w:sz="4"/>
                  </w:tcBorders>
                  <w:tcMar>
                    <w:top w:type="dxa" w:w="90"/>
                    <w:left w:type="dxa" w:w="100"/>
                    <w:bottom w:type="dxa" w:w="90"/>
                    <w:right w:type="dxa" w:w="100"/>
                  </w:tcMar>
                </w:tcPr>
                <w:p>
                  <w:r>
                    <w:rPr>
                      <w:rFonts w:ascii="Century Gothic" w:cs="Century Gothic" w:eastAsia="Century Gothic" w:hAnsi="Century Gothic"/>
                      <w:color w:val="1A1F1D"/>
                    </w:rPr>
                    <w:t xml:space="preserve"> </w:t>
                  </w:r>
                </w:p>
              </w:tc>
            </w:tr>
          </w:tbl>
          <w:p/>
        </w:tc>
      </w:tr>
    </w:tbl>
    <w:p>
      <w:pPr>
        <w:pStyle w:val="Heading1"/>
        <w:pageBreakBefore/>
        <w:spacing w:after="120" w:before="0"/>
      </w:pPr>
      <w:r>
        <w:rPr>
          <w:rFonts w:ascii="Century Gothic" w:cs="Century Gothic" w:eastAsia="Century Gothic" w:hAnsi="Century Gothic"/>
          <w:b/>
          <w:bCs/>
          <w:color w:val="14322D"/>
          <w:sz w:val="30"/>
          <w:szCs w:val="30"/>
        </w:rPr>
        <w:t xml:space="preserve">Continue online, and next steps</w:t>
      </w:r>
    </w:p>
    <w:p>
      <w:pPr>
        <w:spacing w:after="120" w:line="276"/>
      </w:pPr>
      <w:r>
        <w:rPr>
          <w:rFonts w:ascii="Century Gothic" w:cs="Century Gothic" w:eastAsia="Century Gothic" w:hAnsi="Century Gothic"/>
          <w:color w:val="1A1F1D"/>
        </w:rPr>
        <w:t xml:space="preserve">This booklet and the session that accompanies it are the live, facilitated layer. The self‑guided pages online let you revisit the method at your own pace, with the same checklists and worked detail.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F9488" w:sz="24"/>
              <w:bottom w:val="none"/>
              <w:right w:val="none"/>
            </w:tcBorders>
            <w:shd w:fill="E8F1EE" w:val="clear"/>
            <w:tcMar>
              <w:top w:type="dxa" w:w="140"/>
              <w:left w:type="dxa" w:w="220"/>
              <w:bottom w:type="dxa" w:w="140"/>
              <w:right w:type="dxa" w:w="200"/>
            </w:tcMar>
          </w:tcPr>
          <w:p>
            <w:pPr>
              <w:spacing w:after="60"/>
            </w:pPr>
            <w:r>
              <w:rPr>
                <w:rFonts w:ascii="Century Gothic" w:cs="Century Gothic" w:eastAsia="Century Gothic" w:hAnsi="Century Gothic"/>
                <w:b/>
                <w:bCs/>
                <w:color w:val="3F9488"/>
                <w:sz w:val="22"/>
                <w:szCs w:val="22"/>
              </w:rPr>
              <w:t xml:space="preserve">Where this goes next</w:t>
            </w:r>
          </w:p>
          <w:p>
            <w:pPr>
              <w:pStyle w:val="ListParagraph"/>
              <w:numPr>
                <w:ilvl w:val="0"/>
                <w:numId w:val="2"/>
              </w:numPr>
              <w:spacing w:after="60" w:line="264"/>
            </w:pPr>
            <w:r>
              <w:rPr>
                <w:rFonts w:ascii="Century Gothic" w:cs="Century Gothic" w:eastAsia="Century Gothic" w:hAnsi="Century Gothic"/>
                <w:b/>
                <w:bCs/>
                <w:color w:val="1A1F1D"/>
              </w:rPr>
              <w:t xml:space="preserve">Online — self‑guided. </w:t>
            </w:r>
            <w:r>
              <w:rPr>
                <w:rFonts w:ascii="Century Gothic" w:cs="Century Gothic" w:eastAsia="Century Gothic" w:hAnsi="Century Gothic"/>
                <w:color w:val="1A1F1D"/>
              </w:rPr>
              <w:t xml:space="preserve">The Pillar 5 modules online cover cold‑calling, probing and pair‑share in full — with the probe‑stem bank, the full questioning sequence, and the AI scenario tester for each.</w:t>
            </w:r>
          </w:p>
          <w:p>
            <w:pPr>
              <w:pStyle w:val="ListParagraph"/>
              <w:numPr>
                <w:ilvl w:val="0"/>
                <w:numId w:val="2"/>
              </w:numPr>
              <w:spacing w:after="60" w:line="264"/>
            </w:pPr>
            <w:r>
              <w:rPr>
                <w:rFonts w:ascii="Century Gothic" w:cs="Century Gothic" w:eastAsia="Century Gothic" w:hAnsi="Century Gothic"/>
                <w:b/>
                <w:bCs/>
                <w:color w:val="1A1F1D"/>
              </w:rPr>
              <w:t xml:space="preserve">The checklists. </w:t>
            </w:r>
            <w:r>
              <w:rPr>
                <w:rFonts w:ascii="Century Gothic" w:cs="Century Gothic" w:eastAsia="Century Gothic" w:hAnsi="Century Gothic"/>
                <w:color w:val="1A1F1D"/>
              </w:rPr>
              <w:t xml:space="preserve">The CC checklist and the probe‑stem bank let you hold yourself to questioning that makes every pupil think and then go deeper.</w:t>
            </w:r>
          </w:p>
          <w:p>
            <w:pPr>
              <w:pStyle w:val="ListParagraph"/>
              <w:numPr>
                <w:ilvl w:val="0"/>
                <w:numId w:val="2"/>
              </w:numPr>
              <w:spacing w:after="60" w:line="264"/>
            </w:pPr>
            <w:r>
              <w:rPr>
                <w:rFonts w:ascii="Century Gothic" w:cs="Century Gothic" w:eastAsia="Century Gothic" w:hAnsi="Century Gothic"/>
                <w:b/>
                <w:bCs/>
                <w:color w:val="1A1F1D"/>
              </w:rPr>
              <w:t xml:space="preserve">In the room. </w:t>
            </w:r>
            <w:r>
              <w:rPr>
                <w:rFonts w:ascii="Century Gothic" w:cs="Century Gothic" w:eastAsia="Century Gothic" w:hAnsi="Century Gothic"/>
                <w:color w:val="1A1F1D"/>
              </w:rPr>
              <w:t xml:space="preserve">Bring footage of your own teaching to your next coaching meeting and name one concrete change to make.</w:t>
            </w:r>
          </w:p>
        </w:tc>
      </w:tr>
    </w:tbl>
    <w:p>
      <w:pPr>
        <w:spacing w:after="60"/>
      </w:pPr>
      <w:r>
        <w:rPr>
          <w:rFonts w:ascii="Century Gothic" w:cs="Century Gothic" w:eastAsia="Century Gothic" w:hAnsi="Century Gothic"/>
          <w:color w:val="1A1F1D"/>
        </w:rPr>
        <w:t xml:space="preserve"/>
      </w:r>
    </w:p>
    <w:p>
      <w:pPr>
        <w:spacing w:after="120" w:line="276"/>
      </w:pPr>
      <w:r>
        <w:rPr>
          <w:rFonts w:ascii="Century Gothic" w:cs="Century Gothic" w:eastAsia="Century Gothic" w:hAnsi="Century Gothic"/>
          <w:color w:val="1A1F1D"/>
        </w:rPr>
        <w:t xml:space="preserve">Take the hands down, hold the pause, and follow the first answer with a second question — and the whole room thinks.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E2DD" w:sz="4" w:space="6"/>
      </w:pBdr>
      <w:tabs>
        <w:tab w:val="right" w:pos="9026"/>
      </w:tabs>
    </w:pPr>
    <w:r>
      <w:rPr>
        <w:rFonts w:ascii="Century Gothic" w:cs="Century Gothic" w:eastAsia="Century Gothic" w:hAnsi="Century Gothic"/>
        <w:color w:val="555F5A"/>
        <w:sz w:val="16"/>
        <w:szCs w:val="16"/>
      </w:rPr>
      <w:t xml:space="preserve">A Nishkam Schools professional development programme</w:t>
    </w:r>
    <w:r>
      <w:rPr>
        <w:rFonts w:ascii="Century Gothic" w:cs="Century Gothic" w:eastAsia="Century Gothic" w:hAnsi="Century Gothic"/>
        <w:color w:val="555F5A"/>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E2DD" w:sz="4" w:space="6"/>
      </w:pBdr>
      <w:tabs>
        <w:tab w:val="right" w:pos="9026"/>
      </w:tabs>
    </w:pPr>
    <w:r>
      <w:rPr>
        <w:rFonts w:ascii="Century Gothic" w:cs="Century Gothic" w:eastAsia="Century Gothic" w:hAnsi="Century Gothic"/>
        <w:b/>
        <w:bCs/>
        <w:caps/>
        <w:color w:val="3F9488"/>
        <w:sz w:val="16"/>
        <w:szCs w:val="16"/>
      </w:rPr>
      <w:t xml:space="preserve">TEACHING EXCELLENCE PROGRAMME</w:t>
    </w:r>
    <w:r>
      <w:rPr>
        <w:rFonts w:ascii="Century Gothic" w:cs="Century Gothic" w:eastAsia="Century Gothic" w:hAnsi="Century Gothic"/>
        <w:color w:val="555F5A"/>
        <w:sz w:val="16"/>
        <w:szCs w:val="16"/>
      </w:rPr>
      <w:t xml:space="preserve">	Pillar 5 · Questioning &amp; Dialogue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80"/>
      </w:pPr>
    </w:lvl>
  </w:abstractNum>
  <w:abstractNum w:abstractNumId="4" w15:restartNumberingAfterBreak="0">
    <w:multiLevelType w:val="hybridMultilevel"/>
    <w:lvl w:ilvl="0" w15:tentative="1">
      <w:start w:val="1"/>
      <w:numFmt w:val="decimal"/>
      <w:lvlText w:val="%1."/>
      <w:lvlJc w:val="left"/>
      <w:pPr>
        <w:ind w:left="460" w:hanging="280"/>
      </w:pPr>
    </w:lvl>
  </w:abstractNum>
  <w:abstractNum w:abstractNumId="5" w15:restartNumberingAfterBreak="0">
    <w:multiLevelType w:val="hybridMultilevel"/>
    <w:lvl w:ilvl="0" w15:tentative="1">
      <w:start w:val="1"/>
      <w:numFmt w:val="decimal"/>
      <w:lvlText w:val="%1."/>
      <w:lvlJc w:val="left"/>
      <w:pPr>
        <w:ind w:left="460" w:hanging="280"/>
      </w:pPr>
    </w:lvl>
  </w:abstractNum>
  <w:abstractNum w:abstractNumId="6" w15:restartNumberingAfterBreak="0">
    <w:multiLevelType w:val="hybridMultilevel"/>
    <w:lvl w:ilvl="0" w15:tentative="1">
      <w:start w:val="1"/>
      <w:numFmt w:val="decimal"/>
      <w:lvlText w:val="%1."/>
      <w:lvlJc w:val="left"/>
      <w:pPr>
        <w:ind w:left="460" w:hanging="280"/>
      </w:pPr>
    </w:lvl>
  </w:abstractNum>
  <w:abstractNum w:abstractNumId="7" w15:restartNumberingAfterBreak="0">
    <w:multiLevelType w:val="hybridMultilevel"/>
    <w:lvl w:ilvl="0" w15:tentative="1">
      <w:start w:val="1"/>
      <w:numFmt w:val="decimal"/>
      <w:lvlText w:val="%1."/>
      <w:lvlJc w:val="left"/>
      <w:pPr>
        <w:ind w:left="460" w:hanging="280"/>
      </w:pPr>
    </w:lvl>
  </w:abstractNum>
  <w:abstractNum w:abstractNumId="8" w15:restartNumberingAfterBreak="0">
    <w:multiLevelType w:val="hybridMultilevel"/>
    <w:lvl w:ilvl="0" w15:tentative="1">
      <w:start w:val="1"/>
      <w:numFmt w:val="decimal"/>
      <w:lvlText w:val="%1."/>
      <w:lvlJc w:val="left"/>
      <w:pPr>
        <w:ind w:left="46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A1F1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entury Gothic" w:cs="Century Gothic" w:eastAsia="Century Gothic" w:hAnsi="Century Gothic"/>
      <w:b/>
      <w:bCs/>
      <w:color w:val="14322D"/>
      <w:sz w:val="30"/>
      <w:szCs w:val="30"/>
    </w:rPr>
  </w:style>
  <w:style w:type="paragraph" w:styleId="Heading2">
    <w:name w:val="Heading 2"/>
    <w:basedOn w:val="Normal"/>
    <w:next w:val="Normal"/>
    <w:qFormat/>
    <w:pPr>
      <w:spacing w:after="80" w:before="240"/>
      <w:outlineLvl w:val="1"/>
    </w:pPr>
    <w:rPr>
      <w:rFonts w:ascii="Century Gothic" w:cs="Century Gothic" w:eastAsia="Century Gothic" w:hAnsi="Century Gothic"/>
      <w:b/>
      <w:bCs/>
      <w:color w:val="14322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481604a7041e2694108c7983bce2311457d679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2026-06-16T20:49:00.042Z</dcterms:created>
  <dcterms:modified xsi:type="dcterms:W3CDTF">2026-06-16T20:49:00.043Z</dcterms:modified>
</cp:coreProperties>
</file>

<file path=docProps/custom.xml><?xml version="1.0" encoding="utf-8"?>
<Properties xmlns="http://schemas.openxmlformats.org/officeDocument/2006/custom-properties" xmlns:vt="http://schemas.openxmlformats.org/officeDocument/2006/docPropsVTypes"/>
</file>