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Two</w:t>
      </w:r>
    </w:p>
    <w:p>
      <w:pPr>
        <w:spacing w:after="60"/>
      </w:pPr>
      <w:r>
        <w:rPr>
          <w:rFonts w:ascii="Century Gothic" w:cs="Century Gothic" w:eastAsia="Century Gothic" w:hAnsi="Century Gothic"/>
          <w:b/>
          <w:bCs/>
          <w:color w:val="14322D"/>
          <w:sz w:val="38"/>
          <w:szCs w:val="38"/>
        </w:rPr>
        <w:t xml:space="preserve">Adaptive Teaching &amp; Inclusion</w:t>
      </w:r>
    </w:p>
    <w:p>
      <w:pPr>
        <w:spacing w:after="300"/>
      </w:pPr>
      <w:r>
        <w:rPr>
          <w:rFonts w:ascii="Century Gothic" w:cs="Century Gothic" w:eastAsia="Century Gothic" w:hAnsi="Century Gothic"/>
          <w:color w:val="1A1F1D"/>
          <w:sz w:val="36"/>
          <w:szCs w:val="36"/>
        </w:rPr>
        <w:t xml:space="preserve">One ambitious curriculum, made accessible to every pupil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“The best SEND provision is the ordinary lesson, taught well and adjusted with care.”</w:t>
            </w:r>
          </w:p>
          <w:p>
            <w:pPr>
              <w:spacing w:before="40"/>
            </w:pPr>
            <w:r>
              <w:rPr>
                <w:rFonts w:ascii="Century Gothic" w:cs="Century Gothic" w:eastAsia="Century Gothic" w:hAnsi="Century Gothic"/>
                <w:color w:val="555F5A"/>
                <w:sz w:val="20"/>
                <w:szCs w:val="20"/>
              </w:rPr>
              <w:t xml:space="preserve">— Pillar 2, Teaching Excellence Programme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class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Reading — from differentiation to adaptive teaching</w:t>
      </w:r>
    </w:p>
    <w:p>
      <w:pPr>
        <w:spacing w:after="120" w:line="276"/>
      </w:pPr>
      <w:r>
        <w:rPr>
          <w:rFonts w:ascii="Century Gothic" w:cs="Century Gothic" w:eastAsia="Century Gothic" w:hAnsi="Century Gothic"/>
          <w:color w:val="1A1F1D"/>
          <w:sz w:val="24"/>
          <w:szCs w:val="24"/>
        </w:rPr>
        <w:t xml:space="preserve">The inclusive classroom</w:t>
      </w:r>
    </w:p>
    <w:p>
      <w:pPr>
        <w:spacing w:after="120" w:line="276"/>
      </w:pPr>
      <w:r>
        <w:rPr>
          <w:rFonts w:ascii="Century Gothic" w:cs="Century Gothic" w:eastAsia="Century Gothic" w:hAnsi="Century Gothic"/>
          <w:color w:val="1A1F1D"/>
          <w:sz w:val="24"/>
          <w:szCs w:val="24"/>
        </w:rPr>
        <w:t xml:space="preserve">Adaptive teaching in the lesson</w:t>
      </w:r>
    </w:p>
    <w:p>
      <w:pPr>
        <w:spacing w:after="120" w:line="276"/>
      </w:pPr>
      <w:r>
        <w:rPr>
          <w:rFonts w:ascii="Century Gothic" w:cs="Century Gothic" w:eastAsia="Century Gothic" w:hAnsi="Century Gothic"/>
          <w:color w:val="1A1F1D"/>
          <w:sz w:val="24"/>
          <w:szCs w:val="24"/>
        </w:rPr>
        <w:t xml:space="preserve">SEND intervention</w:t>
      </w:r>
    </w:p>
    <w:p>
      <w:pPr>
        <w:spacing w:after="120" w:line="276"/>
      </w:pPr>
      <w:r>
        <w:rPr>
          <w:rFonts w:ascii="Century Gothic" w:cs="Century Gothic" w:eastAsia="Century Gothic" w:hAnsi="Century Gothic"/>
          <w:color w:val="1A1F1D"/>
          <w:sz w:val="24"/>
          <w:szCs w:val="24"/>
        </w:rPr>
        <w:t xml:space="preserve">Your inclusive practice, this term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class team. </w:t>
            </w:r>
            <w:r>
              <w:rPr>
                <w:rFonts w:ascii="Century Gothic" w:cs="Century Gothic" w:eastAsia="Century Gothic" w:hAnsi="Century Gothic"/>
                <w:color w:val="1A1F1D"/>
              </w:rPr>
              <w:t xml:space="preserve">Adapt each method to your class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from differentiation to adaptive teaching</w:t>
      </w:r>
    </w:p>
    <w:p>
      <w:pPr>
        <w:spacing w:after="120" w:line="276"/>
      </w:pPr>
      <w:r>
        <w:rPr>
          <w:rFonts w:ascii="Century Gothic" w:cs="Century Gothic" w:eastAsia="Century Gothic" w:hAnsi="Century Gothic"/>
          <w:color w:val="1A1F1D"/>
        </w:rPr>
        <w:t xml:space="preserve">For years, ‘differentiation’ too often meant three versions of a worksheet and lowered expectations for some pupils. The current consensus, and the approach this pillar takes, is different: one ambitious curriculum for all, made accessible through teaching that adjusts in the moment. The word for that is adaptive teaching.</w:t>
      </w:r>
    </w:p>
    <w:p>
      <w:pPr>
        <w:spacing w:after="120" w:line="276"/>
      </w:pPr>
      <w:r>
        <w:rPr>
          <w:rFonts w:ascii="Century Gothic" w:cs="Century Gothic" w:eastAsia="Century Gothic" w:hAnsi="Century Gothic"/>
          <w:color w:val="1A1F1D"/>
        </w:rPr>
        <w:t xml:space="preserve">The Education Endowment Foundation’s guidance on special educational needs in mainstream schools is blunt about where the gains are: the most powerful thing a school can do for pupils with additional needs is to teach the ordinary lesson well. Its ‘five‑a‑day’ principle — explicit instruction, scaffolding, flexible grouping, cognitive and metacognitive strategies, and the considered use of technology — describes practices that help every pupil and are essential for some. Quality‑first teaching, in other words, is the first and best form of inclusion.</w:t>
      </w:r>
    </w:p>
    <w:p>
      <w:pPr>
        <w:spacing w:after="120" w:line="276"/>
      </w:pPr>
      <w:r>
        <w:rPr>
          <w:rFonts w:ascii="Century Gothic" w:cs="Century Gothic" w:eastAsia="Century Gothic" w:hAnsi="Century Gothic"/>
          <w:color w:val="1A1F1D"/>
        </w:rPr>
        <w:t xml:space="preserve">Barak Rosenshine’s work supplies the mechanism teachers reach for most: the scaffold. A writing frame, a partially worked example, a vocabulary list, a sentence starter — each provides temporary support for a task a pupil could not yet manage alone, and each is designed to be removed as success grows. The skill is not in providing the scaffold but in fading it.</w:t>
      </w:r>
    </w:p>
    <w:p>
      <w:pPr>
        <w:spacing w:after="120" w:line="276"/>
      </w:pPr>
      <w:r>
        <w:rPr>
          <w:rFonts w:ascii="Century Gothic" w:cs="Century Gothic" w:eastAsia="Century Gothic" w:hAnsi="Century Gothic"/>
          <w:color w:val="1A1F1D"/>
        </w:rPr>
        <w:t xml:space="preserve">The same body of thinking is firm about expectations. Adaptation is not the lowering of demand; it is the careful engineering of access to the same demand. Pupils with SEND, and the disadvantaged, are entitled to the same rich content as their peers — reached, where necessary, by a different route. The role of additional adults is to build independence, not to create reliance.</w:t>
      </w:r>
    </w:p>
    <w:p>
      <w:pPr>
        <w:spacing w:after="120" w:line="276"/>
      </w:pPr>
      <w:r>
        <w:rPr>
          <w:rFonts w:ascii="Century Gothic" w:cs="Century Gothic" w:eastAsia="Century Gothic" w:hAnsi="Century Gothic"/>
          <w:color w:val="1A1F1D"/>
        </w:rPr>
        <w:t xml:space="preserve">Pillar 2 turns this into the school’s own practice: the inclusive classroom, adaptive teaching within the lesson, and the planned SEND intervention — each anchored to the SEND Provision (SP) and Intervention (Int) checklists.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Think of a pupil in your class who finds the work hardest. Before reading on, note what you currently do to help them access the lesson — and whether it builds their independence or quietly substitutes for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The inclusive classroom</w:t>
      </w:r>
    </w:p>
    <w:p>
      <w:pPr>
        <w:spacing w:after="120" w:line="276"/>
      </w:pPr>
      <w:r>
        <w:rPr>
          <w:rFonts w:ascii="Century Gothic" w:cs="Century Gothic" w:eastAsia="Century Gothic" w:hAnsi="Century Gothic"/>
          <w:color w:val="1A1F1D"/>
        </w:rPr>
        <w:t xml:space="preserve">Inclusion begins with the room itself and the routines that run it. A calm, predictable environment removes barriers before a lesson even starts, and it is the precondition for everything adaptive that follows.</w:t>
      </w:r>
    </w:p>
    <w:p>
      <w:pPr>
        <w:pStyle w:val="ListParagraph"/>
        <w:numPr>
          <w:ilvl w:val="0"/>
          <w:numId w:val="2"/>
        </w:numPr>
        <w:spacing w:after="60" w:line="264"/>
      </w:pPr>
      <w:r>
        <w:rPr>
          <w:rFonts w:ascii="Century Gothic" w:cs="Century Gothic" w:eastAsia="Century Gothic" w:hAnsi="Century Gothic"/>
          <w:b/>
          <w:bCs/>
          <w:color w:val="1A1F1D"/>
        </w:rPr>
        <w:t xml:space="preserve">SP1 · </w:t>
      </w:r>
      <w:r>
        <w:rPr>
          <w:rFonts w:ascii="Century Gothic" w:cs="Century Gothic" w:eastAsia="Century Gothic" w:hAnsi="Century Gothic"/>
          <w:color w:val="1A1F1D"/>
        </w:rPr>
        <w:t xml:space="preserve">The working environment is calm and uncluttered, and arranged to meet pupils’ needs.</w:t>
      </w:r>
    </w:p>
    <w:p>
      <w:pPr>
        <w:pStyle w:val="ListParagraph"/>
        <w:numPr>
          <w:ilvl w:val="0"/>
          <w:numId w:val="2"/>
        </w:numPr>
        <w:spacing w:after="60" w:line="264"/>
      </w:pPr>
      <w:r>
        <w:rPr>
          <w:rFonts w:ascii="Century Gothic" w:cs="Century Gothic" w:eastAsia="Century Gothic" w:hAnsi="Century Gothic"/>
          <w:b/>
          <w:bCs/>
          <w:color w:val="1A1F1D"/>
        </w:rPr>
        <w:t xml:space="preserve">SP2 · </w:t>
      </w:r>
      <w:r>
        <w:rPr>
          <w:rFonts w:ascii="Century Gothic" w:cs="Century Gothic" w:eastAsia="Century Gothic" w:hAnsi="Century Gothic"/>
          <w:color w:val="1A1F1D"/>
        </w:rPr>
        <w:t xml:space="preserve">Routines, visual prompts, timetables and behaviour supports are consistent and predictable, and any changes are managed carefully.</w:t>
      </w:r>
    </w:p>
    <w:p>
      <w:pPr>
        <w:pStyle w:val="ListParagraph"/>
        <w:numPr>
          <w:ilvl w:val="0"/>
          <w:numId w:val="2"/>
        </w:numPr>
        <w:spacing w:after="60" w:line="264"/>
      </w:pPr>
      <w:r>
        <w:rPr>
          <w:rFonts w:ascii="Century Gothic" w:cs="Century Gothic" w:eastAsia="Century Gothic" w:hAnsi="Century Gothic"/>
          <w:b/>
          <w:bCs/>
          <w:color w:val="1A1F1D"/>
        </w:rPr>
        <w:t xml:space="preserve">SP8 · </w:t>
      </w:r>
      <w:r>
        <w:rPr>
          <w:rFonts w:ascii="Century Gothic" w:cs="Century Gothic" w:eastAsia="Century Gothic" w:hAnsi="Century Gothic"/>
          <w:color w:val="1A1F1D"/>
        </w:rPr>
        <w:t xml:space="preserve">Teaching assistants and additional adults are deployed effectively to promote independence, targeted support and focused learning.</w:t>
      </w:r>
    </w:p>
    <w:p>
      <w:pPr>
        <w:spacing w:after="120" w:line="276"/>
      </w:pPr>
      <w:r>
        <w:rPr>
          <w:rFonts w:ascii="Century Gothic" w:cs="Century Gothic" w:eastAsia="Century Gothic" w:hAnsi="Century Gothic"/>
          <w:color w:val="1A1F1D"/>
        </w:rPr>
        <w:t xml:space="preserve">The principle behind all three is predictability. Pupils who find school hardest are the ones a wavering routine or a cluttered, over‑stimulating room fails first. And the additional adult is there to build independence, not to sit beside a pupil doing the work for them.</w:t>
      </w:r>
    </w:p>
    <w:p>
      <w:pPr>
        <w:pStyle w:val="Heading1"/>
        <w:pageBreakBefore/>
        <w:spacing w:after="120" w:before="0"/>
      </w:pPr>
      <w:r>
        <w:rPr>
          <w:rFonts w:ascii="Century Gothic" w:cs="Century Gothic" w:eastAsia="Century Gothic" w:hAnsi="Century Gothic"/>
          <w:b/>
          <w:bCs/>
          <w:color w:val="14322D"/>
          <w:sz w:val="30"/>
          <w:szCs w:val="30"/>
        </w:rPr>
        <w:t xml:space="preserve">Adaptive teaching in the lesson</w:t>
      </w:r>
    </w:p>
    <w:p>
      <w:pPr>
        <w:spacing w:after="120" w:line="276"/>
      </w:pPr>
      <w:r>
        <w:rPr>
          <w:rFonts w:ascii="Century Gothic" w:cs="Century Gothic" w:eastAsia="Century Gothic" w:hAnsi="Century Gothic"/>
          <w:color w:val="1A1F1D"/>
        </w:rPr>
        <w:t xml:space="preserve">Adaptive teaching is what the teacher does, moment to moment, to keep every pupil with the lesson: adjusting the explanation, the scaffold, the check, and the next step in response to what pupils actually do — all while holding the ambition steady.</w:t>
      </w:r>
    </w:p>
    <w:p>
      <w:pPr>
        <w:pStyle w:val="ListParagraph"/>
        <w:numPr>
          <w:ilvl w:val="0"/>
          <w:numId w:val="2"/>
        </w:numPr>
        <w:spacing w:after="60" w:line="264"/>
      </w:pPr>
      <w:r>
        <w:rPr>
          <w:rFonts w:ascii="Century Gothic" w:cs="Century Gothic" w:eastAsia="Century Gothic" w:hAnsi="Century Gothic"/>
          <w:b/>
          <w:bCs/>
          <w:color w:val="1A1F1D"/>
        </w:rPr>
        <w:t xml:space="preserve">SP3 · </w:t>
      </w:r>
      <w:r>
        <w:rPr>
          <w:rFonts w:ascii="Century Gothic" w:cs="Century Gothic" w:eastAsia="Century Gothic" w:hAnsi="Century Gothic"/>
          <w:color w:val="1A1F1D"/>
        </w:rPr>
        <w:t xml:space="preserve">Adaptive teaching is evident: explanations, modelling, questioning and support are adjusted in response to pupils’ needs, in line with learning plans.</w:t>
      </w:r>
    </w:p>
    <w:p>
      <w:pPr>
        <w:pStyle w:val="ListParagraph"/>
        <w:numPr>
          <w:ilvl w:val="0"/>
          <w:numId w:val="2"/>
        </w:numPr>
        <w:spacing w:after="60" w:line="264"/>
      </w:pPr>
      <w:r>
        <w:rPr>
          <w:rFonts w:ascii="Century Gothic" w:cs="Century Gothic" w:eastAsia="Century Gothic" w:hAnsi="Century Gothic"/>
          <w:b/>
          <w:bCs/>
          <w:color w:val="1A1F1D"/>
        </w:rPr>
        <w:t xml:space="preserve">SP4 · </w:t>
      </w:r>
      <w:r>
        <w:rPr>
          <w:rFonts w:ascii="Century Gothic" w:cs="Century Gothic" w:eastAsia="Century Gothic" w:hAnsi="Century Gothic"/>
          <w:color w:val="1A1F1D"/>
        </w:rPr>
        <w:t xml:space="preserve">Concrete resources, visuals, practical approaches and supportive strategies are used to build understanding where necessary.</w:t>
      </w:r>
    </w:p>
    <w:p>
      <w:pPr>
        <w:pStyle w:val="ListParagraph"/>
        <w:numPr>
          <w:ilvl w:val="0"/>
          <w:numId w:val="2"/>
        </w:numPr>
        <w:spacing w:after="60" w:line="264"/>
      </w:pPr>
      <w:r>
        <w:rPr>
          <w:rFonts w:ascii="Century Gothic" w:cs="Century Gothic" w:eastAsia="Century Gothic" w:hAnsi="Century Gothic"/>
          <w:b/>
          <w:bCs/>
          <w:color w:val="1A1F1D"/>
        </w:rPr>
        <w:t xml:space="preserve">SP5 · </w:t>
      </w:r>
      <w:r>
        <w:rPr>
          <w:rFonts w:ascii="Century Gothic" w:cs="Century Gothic" w:eastAsia="Century Gothic" w:hAnsi="Century Gothic"/>
          <w:color w:val="1A1F1D"/>
        </w:rPr>
        <w:t xml:space="preserve">Assessment for learning is embedded throughout: teachers check understanding regularly and adapt in response.</w:t>
      </w:r>
    </w:p>
    <w:p>
      <w:pPr>
        <w:pStyle w:val="ListParagraph"/>
        <w:numPr>
          <w:ilvl w:val="0"/>
          <w:numId w:val="2"/>
        </w:numPr>
        <w:spacing w:after="60" w:line="264"/>
      </w:pPr>
      <w:r>
        <w:rPr>
          <w:rFonts w:ascii="Century Gothic" w:cs="Century Gothic" w:eastAsia="Century Gothic" w:hAnsi="Century Gothic"/>
          <w:b/>
          <w:bCs/>
          <w:color w:val="1A1F1D"/>
        </w:rPr>
        <w:t xml:space="preserve">SP6 · </w:t>
      </w:r>
      <w:r>
        <w:rPr>
          <w:rFonts w:ascii="Century Gothic" w:cs="Century Gothic" w:eastAsia="Century Gothic" w:hAnsi="Century Gothic"/>
          <w:color w:val="1A1F1D"/>
        </w:rPr>
        <w:t xml:space="preserve">Learning goals, success criteria and next steps are explicit; pupils can explain what they are learning.</w:t>
      </w:r>
    </w:p>
    <w:p>
      <w:pPr>
        <w:pStyle w:val="ListParagraph"/>
        <w:numPr>
          <w:ilvl w:val="0"/>
          <w:numId w:val="2"/>
        </w:numPr>
        <w:spacing w:after="60" w:line="264"/>
      </w:pPr>
      <w:r>
        <w:rPr>
          <w:rFonts w:ascii="Century Gothic" w:cs="Century Gothic" w:eastAsia="Century Gothic" w:hAnsi="Century Gothic"/>
          <w:b/>
          <w:bCs/>
          <w:color w:val="1A1F1D"/>
        </w:rPr>
        <w:t xml:space="preserve">SP7 · </w:t>
      </w:r>
      <w:r>
        <w:rPr>
          <w:rFonts w:ascii="Century Gothic" w:cs="Century Gothic" w:eastAsia="Century Gothic" w:hAnsi="Century Gothic"/>
          <w:color w:val="1A1F1D"/>
        </w:rPr>
        <w:t xml:space="preserve">Tasks are appropriately scaffolded and matched to need, while maintaining ambition and challenge.</w:t>
      </w:r>
    </w:p>
    <w:p>
      <w:pPr>
        <w:pStyle w:val="ListParagraph"/>
        <w:numPr>
          <w:ilvl w:val="0"/>
          <w:numId w:val="2"/>
        </w:numPr>
        <w:spacing w:after="60" w:line="264"/>
      </w:pPr>
      <w:r>
        <w:rPr>
          <w:rFonts w:ascii="Century Gothic" w:cs="Century Gothic" w:eastAsia="Century Gothic" w:hAnsi="Century Gothic"/>
          <w:b/>
          <w:bCs/>
          <w:color w:val="1A1F1D"/>
        </w:rPr>
        <w:t xml:space="preserve">SP9 · </w:t>
      </w:r>
      <w:r>
        <w:rPr>
          <w:rFonts w:ascii="Century Gothic" w:cs="Century Gothic" w:eastAsia="Century Gothic" w:hAnsi="Century Gothic"/>
          <w:color w:val="1A1F1D"/>
        </w:rPr>
        <w:t xml:space="preserve">Pupils can articulate what helps them learn, and what they need to do next to improve.</w:t>
      </w:r>
    </w:p>
    <w:p>
      <w:pPr>
        <w:spacing w:after="120" w:line="276"/>
      </w:pPr>
      <w:r>
        <w:rPr>
          <w:rFonts w:ascii="Century Gothic" w:cs="Century Gothic" w:eastAsia="Century Gothic" w:hAnsi="Century Gothic"/>
          <w:color w:val="1A1F1D"/>
        </w:rPr>
        <w:t xml:space="preserve">Notice what is not here: easier work. The scaffold (SP7), the concrete resource (SP4) and the embedded check (SP5) are all routes to the same ambitious destination. The mark of success is the pupil who, over time, needs the scaffold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Adaptive teaching is the practical face of </w:t>
            </w:r>
            <w:r>
              <w:rPr>
                <w:rFonts w:ascii="Century Gothic" w:cs="Century Gothic" w:eastAsia="Century Gothic" w:hAnsi="Century Gothic"/>
                <w:b/>
                <w:bCs/>
                <w:color w:val="1A1F1D"/>
              </w:rPr>
              <w:t xml:space="preserve">Determination</w:t>
            </w:r>
            <w:r>
              <w:rPr>
                <w:rFonts w:ascii="Century Gothic" w:cs="Century Gothic" w:eastAsia="Century Gothic" w:hAnsi="Century Gothic"/>
                <w:color w:val="1A1F1D"/>
              </w:rPr>
              <w:t xml:space="preserve"> — the refusal to let any pupil fall outside the lesson — held with the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of a calm, predictable room. Inclusion, at Nishkam, is selflessness made concrete: the lesson is shaped around the pupil who needs it most.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 — scaffolds that fade</w:t>
            </w:r>
          </w:p>
          <w:p>
            <w:pPr>
              <w:spacing w:after="120" w:line="276"/>
            </w:pPr>
            <w:r>
              <w:rPr>
                <w:rFonts w:ascii="Century Gothic" w:cs="Century Gothic" w:eastAsia="Century Gothic" w:hAnsi="Century Gothic"/>
                <w:color w:val="1A1F1D"/>
              </w:rPr>
              <w:t xml:space="preserve">Name one scaffold you use often. Is it designed to be removed, and do you have a plan for fading it? What would tell you a pupil is ready to work without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SEND intervention</w:t>
      </w:r>
    </w:p>
    <w:p>
      <w:pPr>
        <w:spacing w:after="120" w:line="276"/>
      </w:pPr>
      <w:r>
        <w:rPr>
          <w:rFonts w:ascii="Century Gothic" w:cs="Century Gothic" w:eastAsia="Century Gothic" w:hAnsi="Century Gothic"/>
          <w:color w:val="1A1F1D"/>
        </w:rPr>
        <w:t xml:space="preserve">Some pupils need focused work outside or alongside the lesson, often led by an additional adult. A good intervention is not a holding pen; it is a planned, purposeful session with a clear target, and a loop back to the class teacher so that the lesson and the intervention pull in the same direction.</w:t>
      </w:r>
    </w:p>
    <w:p>
      <w:pPr>
        <w:pStyle w:val="ListParagraph"/>
        <w:numPr>
          <w:ilvl w:val="0"/>
          <w:numId w:val="2"/>
        </w:numPr>
        <w:spacing w:after="60" w:line="264"/>
      </w:pPr>
      <w:r>
        <w:rPr>
          <w:rFonts w:ascii="Century Gothic" w:cs="Century Gothic" w:eastAsia="Century Gothic" w:hAnsi="Century Gothic"/>
          <w:b/>
          <w:bCs/>
          <w:color w:val="1A1F1D"/>
        </w:rPr>
        <w:t xml:space="preserve">Int1 · </w:t>
      </w:r>
      <w:r>
        <w:rPr>
          <w:rFonts w:ascii="Century Gothic" w:cs="Century Gothic" w:eastAsia="Century Gothic" w:hAnsi="Century Gothic"/>
          <w:color w:val="1A1F1D"/>
        </w:rPr>
        <w:t xml:space="preserve">The purpose of the intervention is clear, and guidance from the class teacher, SLT or SENDCO is followed.</w:t>
      </w:r>
    </w:p>
    <w:p>
      <w:pPr>
        <w:pStyle w:val="ListParagraph"/>
        <w:numPr>
          <w:ilvl w:val="0"/>
          <w:numId w:val="2"/>
        </w:numPr>
        <w:spacing w:after="60" w:line="264"/>
      </w:pPr>
      <w:r>
        <w:rPr>
          <w:rFonts w:ascii="Century Gothic" w:cs="Century Gothic" w:eastAsia="Century Gothic" w:hAnsi="Century Gothic"/>
          <w:b/>
          <w:bCs/>
          <w:color w:val="1A1F1D"/>
        </w:rPr>
        <w:t xml:space="preserve">Int2 · </w:t>
      </w:r>
      <w:r>
        <w:rPr>
          <w:rFonts w:ascii="Century Gothic" w:cs="Century Gothic" w:eastAsia="Century Gothic" w:hAnsi="Century Gothic"/>
          <w:color w:val="1A1F1D"/>
        </w:rPr>
        <w:t xml:space="preserve">The adult knows the target the pupil is working towards, and the steps to achieve it.</w:t>
      </w:r>
    </w:p>
    <w:p>
      <w:pPr>
        <w:pStyle w:val="ListParagraph"/>
        <w:numPr>
          <w:ilvl w:val="0"/>
          <w:numId w:val="2"/>
        </w:numPr>
        <w:spacing w:after="60" w:line="264"/>
      </w:pPr>
      <w:r>
        <w:rPr>
          <w:rFonts w:ascii="Century Gothic" w:cs="Century Gothic" w:eastAsia="Century Gothic" w:hAnsi="Century Gothic"/>
          <w:b/>
          <w:bCs/>
          <w:color w:val="1A1F1D"/>
        </w:rPr>
        <w:t xml:space="preserve">Int3 · </w:t>
      </w:r>
      <w:r>
        <w:rPr>
          <w:rFonts w:ascii="Century Gothic" w:cs="Century Gothic" w:eastAsia="Century Gothic" w:hAnsi="Century Gothic"/>
          <w:color w:val="1A1F1D"/>
        </w:rPr>
        <w:t xml:space="preserve">Resources are prepared in advance, accessible and appropriate.</w:t>
      </w:r>
    </w:p>
    <w:p>
      <w:pPr>
        <w:pStyle w:val="ListParagraph"/>
        <w:numPr>
          <w:ilvl w:val="0"/>
          <w:numId w:val="2"/>
        </w:numPr>
        <w:spacing w:after="60" w:line="264"/>
      </w:pPr>
      <w:r>
        <w:rPr>
          <w:rFonts w:ascii="Century Gothic" w:cs="Century Gothic" w:eastAsia="Century Gothic" w:hAnsi="Century Gothic"/>
          <w:b/>
          <w:bCs/>
          <w:color w:val="1A1F1D"/>
        </w:rPr>
        <w:t xml:space="preserve">Int4 · </w:t>
      </w:r>
      <w:r>
        <w:rPr>
          <w:rFonts w:ascii="Century Gothic" w:cs="Century Gothic" w:eastAsia="Century Gothic" w:hAnsi="Century Gothic"/>
          <w:color w:val="1A1F1D"/>
        </w:rPr>
        <w:t xml:space="preserve">Learning is broken into steps with clear instructions.</w:t>
      </w:r>
    </w:p>
    <w:p>
      <w:pPr>
        <w:pStyle w:val="ListParagraph"/>
        <w:numPr>
          <w:ilvl w:val="0"/>
          <w:numId w:val="2"/>
        </w:numPr>
        <w:spacing w:after="60" w:line="264"/>
      </w:pPr>
      <w:r>
        <w:rPr>
          <w:rFonts w:ascii="Century Gothic" w:cs="Century Gothic" w:eastAsia="Century Gothic" w:hAnsi="Century Gothic"/>
          <w:b/>
          <w:bCs/>
          <w:color w:val="1A1F1D"/>
        </w:rPr>
        <w:t xml:space="preserve">Int5 · </w:t>
      </w:r>
      <w:r>
        <w:rPr>
          <w:rFonts w:ascii="Century Gothic" w:cs="Century Gothic" w:eastAsia="Century Gothic" w:hAnsi="Century Gothic"/>
          <w:color w:val="1A1F1D"/>
        </w:rPr>
        <w:t xml:space="preserve">The pupil is engaged with the session and supported when needed.</w:t>
      </w:r>
    </w:p>
    <w:p>
      <w:pPr>
        <w:pStyle w:val="ListParagraph"/>
        <w:numPr>
          <w:ilvl w:val="0"/>
          <w:numId w:val="2"/>
        </w:numPr>
        <w:spacing w:after="60" w:line="264"/>
      </w:pPr>
      <w:r>
        <w:rPr>
          <w:rFonts w:ascii="Century Gothic" w:cs="Century Gothic" w:eastAsia="Century Gothic" w:hAnsi="Century Gothic"/>
          <w:b/>
          <w:bCs/>
          <w:color w:val="1A1F1D"/>
        </w:rPr>
        <w:t xml:space="preserve">Int6 · </w:t>
      </w:r>
      <w:r>
        <w:rPr>
          <w:rFonts w:ascii="Century Gothic" w:cs="Century Gothic" w:eastAsia="Century Gothic" w:hAnsi="Century Gothic"/>
          <w:color w:val="1A1F1D"/>
        </w:rPr>
        <w:t xml:space="preserve">Behaviour for learning is managed well, with no low‑level disruption.</w:t>
      </w:r>
    </w:p>
    <w:p>
      <w:pPr>
        <w:pStyle w:val="ListParagraph"/>
        <w:numPr>
          <w:ilvl w:val="0"/>
          <w:numId w:val="2"/>
        </w:numPr>
        <w:spacing w:after="60" w:line="264"/>
      </w:pPr>
      <w:r>
        <w:rPr>
          <w:rFonts w:ascii="Century Gothic" w:cs="Century Gothic" w:eastAsia="Century Gothic" w:hAnsi="Century Gothic"/>
          <w:b/>
          <w:bCs/>
          <w:color w:val="1A1F1D"/>
        </w:rPr>
        <w:t xml:space="preserve">Int7 · </w:t>
      </w:r>
      <w:r>
        <w:rPr>
          <w:rFonts w:ascii="Century Gothic" w:cs="Century Gothic" w:eastAsia="Century Gothic" w:hAnsi="Century Gothic"/>
          <w:color w:val="1A1F1D"/>
        </w:rPr>
        <w:t xml:space="preserve">The pupil makes progress in the session.</w:t>
      </w:r>
    </w:p>
    <w:p>
      <w:pPr>
        <w:pStyle w:val="ListParagraph"/>
        <w:numPr>
          <w:ilvl w:val="0"/>
          <w:numId w:val="2"/>
        </w:numPr>
        <w:spacing w:after="60" w:line="264"/>
      </w:pPr>
      <w:r>
        <w:rPr>
          <w:rFonts w:ascii="Century Gothic" w:cs="Century Gothic" w:eastAsia="Century Gothic" w:hAnsi="Century Gothic"/>
          <w:b/>
          <w:bCs/>
          <w:color w:val="1A1F1D"/>
        </w:rPr>
        <w:t xml:space="preserve">Int8 · </w:t>
      </w:r>
      <w:r>
        <w:rPr>
          <w:rFonts w:ascii="Century Gothic" w:cs="Century Gothic" w:eastAsia="Century Gothic" w:hAnsi="Century Gothic"/>
          <w:color w:val="1A1F1D"/>
        </w:rPr>
        <w:t xml:space="preserve">Assessments are recorded using an appropriate method.</w:t>
      </w:r>
    </w:p>
    <w:p>
      <w:pPr>
        <w:pStyle w:val="ListParagraph"/>
        <w:numPr>
          <w:ilvl w:val="0"/>
          <w:numId w:val="2"/>
        </w:numPr>
        <w:spacing w:after="60" w:line="264"/>
      </w:pPr>
      <w:r>
        <w:rPr>
          <w:rFonts w:ascii="Century Gothic" w:cs="Century Gothic" w:eastAsia="Century Gothic" w:hAnsi="Century Gothic"/>
          <w:b/>
          <w:bCs/>
          <w:color w:val="1A1F1D"/>
        </w:rPr>
        <w:t xml:space="preserve">Int9 · </w:t>
      </w:r>
      <w:r>
        <w:rPr>
          <w:rFonts w:ascii="Century Gothic" w:cs="Century Gothic" w:eastAsia="Century Gothic" w:hAnsi="Century Gothic"/>
          <w:color w:val="1A1F1D"/>
        </w:rPr>
        <w:t xml:space="preserve">There is a method of delivering post‑intervention feedback to the class teacher, SLT or SENDCO.</w:t>
      </w:r>
    </w:p>
    <w:p>
      <w:pPr>
        <w:spacing w:after="120" w:line="276"/>
      </w:pPr>
      <w:r>
        <w:rPr>
          <w:rFonts w:ascii="Century Gothic" w:cs="Century Gothic" w:eastAsia="Century Gothic" w:hAnsi="Century Gothic"/>
          <w:color w:val="1A1F1D"/>
        </w:rPr>
        <w:t xml:space="preserve">The two items that make the difference are the first and the last: a clear purpose (Int1) and a feedback loop (Int9). Without them, an intervention becomes detached from the lesson it is meant to support.</w:t>
      </w:r>
    </w:p>
    <w:p>
      <w:pPr>
        <w:pStyle w:val="Heading1"/>
        <w:pageBreakBefore/>
        <w:spacing w:after="120" w:before="0"/>
      </w:pPr>
      <w:r>
        <w:rPr>
          <w:rFonts w:ascii="Century Gothic" w:cs="Century Gothic" w:eastAsia="Century Gothic" w:hAnsi="Century Gothic"/>
          <w:b/>
          <w:bCs/>
          <w:color w:val="14322D"/>
          <w:sz w:val="30"/>
          <w:szCs w:val="30"/>
        </w:rPr>
        <w:t xml:space="preserve">Your inclusive practice, this term</w:t>
      </w:r>
    </w:p>
    <w:p>
      <w:pPr>
        <w:spacing w:after="120" w:line="276"/>
      </w:pPr>
      <w:r>
        <w:rPr>
          <w:rFonts w:ascii="Century Gothic" w:cs="Century Gothic" w:eastAsia="Century Gothic" w:hAnsi="Century Gothic"/>
          <w:color w:val="1A1F1D"/>
        </w:rPr>
        <w:t xml:space="preserve">Inclusion is built pupil by pupil, lesson by lesson. Use the space below to turn the reading and the checklists into 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pupil, one barrier</w:t>
            </w:r>
          </w:p>
          <w:p>
            <w:pPr>
              <w:spacing w:after="120" w:line="276"/>
            </w:pPr>
            <w:r>
              <w:rPr>
                <w:rFonts w:ascii="Century Gothic" w:cs="Century Gothic" w:eastAsia="Century Gothic" w:hAnsi="Century Gothic"/>
                <w:color w:val="1A1F1D"/>
              </w:rPr>
              <w:t xml:space="preserve">Choose one pupil who finds your lessons hardest. Name the single biggest barrier to their access, and the one adaptation — from the SP items — you will make consistently this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Independence, not reliance</w:t>
            </w:r>
          </w:p>
          <w:p>
            <w:pPr>
              <w:spacing w:after="120" w:line="276"/>
            </w:pPr>
            <w:r>
              <w:rPr>
                <w:rFonts w:ascii="Century Gothic" w:cs="Century Gothic" w:eastAsia="Century Gothic" w:hAnsi="Century Gothic"/>
                <w:color w:val="1A1F1D"/>
              </w:rPr>
              <w:t xml:space="preserve">If you work with an additional adult, plan one change to how they are deployed (SP8, Int) so that a pupil leans on them less and on themselves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Pillar 2 modules online cover the inclusive classroom, adaptive teaching, and SEND intervention in full — with worked examples, the scaffolding-and-fading sequence, and the AI scenario tester for each.</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 SP and Int checklists let you hold yourself to an inclusive, adaptive lesson and a purposeful intervention.</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Adaptation keeps the work demanding and gives the pupils who need it a way in. Teaching the ordinary lesson well is the first and best inclusion.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2 · Adaptive Teaching &amp; Inclusion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2026-06-17T09:23:22.440Z</dcterms:created>
  <dcterms:modified xsi:type="dcterms:W3CDTF">2026-06-17T09:23:22.440Z</dcterms:modified>
</cp:coreProperties>
</file>

<file path=docProps/custom.xml><?xml version="1.0" encoding="utf-8"?>
<Properties xmlns="http://schemas.openxmlformats.org/officeDocument/2006/custom-properties" xmlns:vt="http://schemas.openxmlformats.org/officeDocument/2006/docPropsVTypes"/>
</file>