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Pillar Five</w:t>
      </w:r>
    </w:p>
    <w:p>
      <w:pPr>
        <w:spacing w:after="60"/>
      </w:pPr>
      <w:r>
        <w:rPr>
          <w:rFonts w:ascii="Century Gothic" w:cs="Century Gothic" w:eastAsia="Century Gothic" w:hAnsi="Century Gothic"/>
          <w:b/>
          <w:bCs/>
          <w:color w:val="14322D"/>
          <w:sz w:val="44"/>
          <w:szCs w:val="44"/>
        </w:rPr>
        <w:t xml:space="preserve">Questioning &amp; Dialogue</w:t>
      </w:r>
    </w:p>
    <w:p>
      <w:pPr>
        <w:spacing w:after="300"/>
      </w:pPr>
      <w:r>
        <w:rPr>
          <w:rFonts w:ascii="Century Gothic" w:cs="Century Gothic" w:eastAsia="Century Gothic" w:hAnsi="Century Gothic"/>
          <w:color w:val="1A1F1D"/>
          <w:sz w:val="36"/>
          <w:szCs w:val="36"/>
        </w:rPr>
        <w:t xml:space="preserve">Questions that make every pupil think, and talk that deepens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“Questioning works when every pupil has to think, including those who would never raise a hand.”</w:t>
            </w:r>
          </w:p>
          <w:p>
            <w:pPr>
              <w:spacing w:before="40"/>
            </w:pPr>
            <w:r>
              <w:rPr>
                <w:rFonts w:ascii="Century Gothic" w:cs="Century Gothic" w:eastAsia="Century Gothic" w:hAnsi="Century Gothic"/>
                <w:color w:val="555F5A"/>
                <w:sz w:val="20"/>
                <w:szCs w:val="20"/>
              </w:rPr>
              <w:t xml:space="preserve">— Pillar 5, Teaching Excellence Programme</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class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Reading — the question that makes everyone think</w:t>
      </w:r>
    </w:p>
    <w:p>
      <w:pPr>
        <w:spacing w:after="120" w:line="276"/>
      </w:pPr>
      <w:r>
        <w:rPr>
          <w:rFonts w:ascii="Century Gothic" w:cs="Century Gothic" w:eastAsia="Century Gothic" w:hAnsi="Century Gothic"/>
          <w:color w:val="1A1F1D"/>
          <w:sz w:val="24"/>
          <w:szCs w:val="24"/>
        </w:rPr>
        <w:t xml:space="preserve">Cold-calling</w:t>
      </w:r>
    </w:p>
    <w:p>
      <w:pPr>
        <w:spacing w:after="120" w:line="276"/>
      </w:pPr>
      <w:r>
        <w:rPr>
          <w:rFonts w:ascii="Century Gothic" w:cs="Century Gothic" w:eastAsia="Century Gothic" w:hAnsi="Century Gothic"/>
          <w:color w:val="1A1F1D"/>
          <w:sz w:val="24"/>
          <w:szCs w:val="24"/>
        </w:rPr>
        <w:t xml:space="preserve">Probing questions</w:t>
      </w:r>
    </w:p>
    <w:p>
      <w:pPr>
        <w:spacing w:after="120" w:line="276"/>
      </w:pPr>
      <w:r>
        <w:rPr>
          <w:rFonts w:ascii="Century Gothic" w:cs="Century Gothic" w:eastAsia="Century Gothic" w:hAnsi="Century Gothic"/>
          <w:color w:val="1A1F1D"/>
          <w:sz w:val="24"/>
          <w:szCs w:val="24"/>
        </w:rPr>
        <w:t xml:space="preserve">Pair-share and the questioning sequence</w:t>
      </w:r>
    </w:p>
    <w:p>
      <w:pPr>
        <w:spacing w:after="120" w:line="276"/>
      </w:pPr>
      <w:r>
        <w:rPr>
          <w:rFonts w:ascii="Century Gothic" w:cs="Century Gothic" w:eastAsia="Century Gothic" w:hAnsi="Century Gothic"/>
          <w:color w:val="1A1F1D"/>
          <w:sz w:val="24"/>
          <w:szCs w:val="24"/>
        </w:rPr>
        <w:t xml:space="preserve">Your questioning, this term</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class team. </w:t>
            </w:r>
            <w:r>
              <w:rPr>
                <w:rFonts w:ascii="Century Gothic" w:cs="Century Gothic" w:eastAsia="Century Gothic" w:hAnsi="Century Gothic"/>
                <w:color w:val="1A1F1D"/>
              </w:rPr>
              <w:t xml:space="preserve">Adapt each method to your class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Reading: the question that makes everyone think</w:t>
      </w:r>
    </w:p>
    <w:p>
      <w:pPr>
        <w:spacing w:after="120" w:line="276"/>
      </w:pPr>
      <w:r>
        <w:rPr>
          <w:rFonts w:ascii="Century Gothic" w:cs="Century Gothic" w:eastAsia="Century Gothic" w:hAnsi="Century Gothic"/>
          <w:color w:val="1A1F1D"/>
        </w:rPr>
        <w:t xml:space="preserve">A question asked to the room, answered by a volunteer, tells a teacher one thing: that one pupil knew. The rest may have thought, or may have switched off the moment a hand went up elsewhere. Good questioning is designed so that every pupil has to think, and so that the thinking goes deeper than a first answer.</w:t>
      </w:r>
    </w:p>
    <w:p>
      <w:pPr>
        <w:spacing w:after="120" w:line="276"/>
      </w:pPr>
      <w:r>
        <w:rPr>
          <w:rFonts w:ascii="Century Gothic" w:cs="Century Gothic" w:eastAsia="Century Gothic" w:hAnsi="Century Gothic"/>
          <w:color w:val="1A1F1D"/>
        </w:rPr>
        <w:t xml:space="preserve">Dylan Wiliam makes the case against the show of hands: when pupils volunteer, the teacher hears from those who already know, and the others learn that thinking is optional. His remedy is to remove the choice — every pupil is a candidate to answer — and to build in wait time, the few seconds of silence after a question that, the research of Mary Budd Rowe showed, transforms the length and quality of answers.</w:t>
      </w:r>
    </w:p>
    <w:p>
      <w:pPr>
        <w:spacing w:after="120" w:line="276"/>
      </w:pPr>
      <w:r>
        <w:rPr>
          <w:rFonts w:ascii="Century Gothic" w:cs="Century Gothic" w:eastAsia="Century Gothic" w:hAnsi="Century Gothic"/>
          <w:color w:val="1A1F1D"/>
        </w:rPr>
        <w:t xml:space="preserve">Doug Lemov turns this into named techniques: Cold Call, where the question is posed to the class, a pause is held, and then a pupil is named; and Turn and Talk, the brief paired rehearsal that lets every pupil frame an answer before anyone says it aloud. The point throughout is participation that is universal rather than volunteered.</w:t>
      </w:r>
    </w:p>
    <w:p>
      <w:pPr>
        <w:spacing w:after="120" w:line="276"/>
      </w:pPr>
      <w:r>
        <w:rPr>
          <w:rFonts w:ascii="Century Gothic" w:cs="Century Gothic" w:eastAsia="Century Gothic" w:hAnsi="Century Gothic"/>
          <w:color w:val="1A1F1D"/>
        </w:rPr>
        <w:t xml:space="preserve">Robin Alexander’s work on dialogic teaching adds the depth: classroom talk is most powerful when answers are followed up, built on, and connected — when a first answer is the start of the thinking, not the end of it. That is the work of probing.</w:t>
      </w:r>
    </w:p>
    <w:p>
      <w:pPr>
        <w:spacing w:after="120" w:line="276"/>
      </w:pPr>
      <w:r>
        <w:rPr>
          <w:rFonts w:ascii="Century Gothic" w:cs="Century Gothic" w:eastAsia="Century Gothic" w:hAnsi="Century Gothic"/>
          <w:color w:val="1A1F1D"/>
        </w:rPr>
        <w:t xml:space="preserve">Pillar 5 combines three routines — cold‑calling, probing, and pair‑share — which, with choral response and mini‑whiteboards from the earlier pillars, form the Choral → MWB → Pair → Cold‑call sequence the school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First reflections</w:t>
            </w:r>
          </w:p>
          <w:p>
            <w:pPr>
              <w:spacing w:after="120" w:line="276"/>
            </w:pPr>
            <w:r>
              <w:rPr>
                <w:rFonts w:ascii="Century Gothic" w:cs="Century Gothic" w:eastAsia="Century Gothic" w:hAnsi="Century Gothic"/>
                <w:color w:val="1A1F1D"/>
              </w:rPr>
              <w:t xml:space="preserve">In your classroom, who does most of the answering? Note how often you take hands up, and what the pupils who never volunteer are doing while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Cold-calling</w:t>
      </w:r>
    </w:p>
    <w:p>
      <w:pPr>
        <w:spacing w:after="120" w:line="276"/>
      </w:pPr>
      <w:r>
        <w:rPr>
          <w:rFonts w:ascii="Century Gothic" w:cs="Century Gothic" w:eastAsia="Century Gothic" w:hAnsi="Century Gothic"/>
          <w:color w:val="1A1F1D"/>
        </w:rPr>
        <w:t xml:space="preserve">Cold‑calling makes thinking non‑optional: the question is posed to the whole class with no name attached, a pause is held, and only then is a pupil named. Because anyone might be asked, everyone thinks. Done warmly, it includes pupils rather than catching them out.</w:t>
      </w:r>
    </w:p>
    <w:p>
      <w:pPr>
        <w:pStyle w:val="ListParagraph"/>
        <w:numPr>
          <w:ilvl w:val="0"/>
          <w:numId w:val="3"/>
        </w:numPr>
        <w:spacing w:after="60" w:line="264"/>
      </w:pPr>
      <w:r>
        <w:rPr>
          <w:rFonts w:ascii="Century Gothic" w:cs="Century Gothic" w:eastAsia="Century Gothic" w:hAnsi="Century Gothic"/>
          <w:color w:val="1A1F1D"/>
        </w:rPr>
        <w:t xml:space="preserve">Stand in a strong position and pose the question to the whole class (CC1, CC3).</w:t>
      </w:r>
    </w:p>
    <w:p>
      <w:pPr>
        <w:pStyle w:val="ListParagraph"/>
        <w:numPr>
          <w:ilvl w:val="0"/>
          <w:numId w:val="3"/>
        </w:numPr>
        <w:spacing w:after="60" w:line="264"/>
      </w:pPr>
      <w:r>
        <w:rPr>
          <w:rFonts w:ascii="Century Gothic" w:cs="Century Gothic" w:eastAsia="Century Gothic" w:hAnsi="Century Gothic"/>
          <w:color w:val="1A1F1D"/>
        </w:rPr>
        <w:t xml:space="preserve">Attach no name to the initial question (CC4).</w:t>
      </w:r>
    </w:p>
    <w:p>
      <w:pPr>
        <w:pStyle w:val="ListParagraph"/>
        <w:numPr>
          <w:ilvl w:val="0"/>
          <w:numId w:val="3"/>
        </w:numPr>
        <w:spacing w:after="60" w:line="264"/>
      </w:pPr>
      <w:r>
        <w:rPr>
          <w:rFonts w:ascii="Century Gothic" w:cs="Century Gothic" w:eastAsia="Century Gothic" w:hAnsi="Century Gothic"/>
          <w:color w:val="1A1F1D"/>
        </w:rPr>
        <w:t xml:space="preserve">Hold thinking time — around three seconds — before naming anyone (CC5).</w:t>
      </w:r>
    </w:p>
    <w:p>
      <w:pPr>
        <w:pStyle w:val="ListParagraph"/>
        <w:numPr>
          <w:ilvl w:val="0"/>
          <w:numId w:val="3"/>
        </w:numPr>
        <w:spacing w:after="60" w:line="264"/>
      </w:pPr>
      <w:r>
        <w:rPr>
          <w:rFonts w:ascii="Century Gothic" w:cs="Century Gothic" w:eastAsia="Century Gothic" w:hAnsi="Century Gothic"/>
          <w:color w:val="1A1F1D"/>
        </w:rPr>
        <w:t xml:space="preserve">Name a pupil, then take the response (CC6).</w:t>
      </w:r>
    </w:p>
    <w:p>
      <w:pPr>
        <w:pStyle w:val="ListParagraph"/>
        <w:numPr>
          <w:ilvl w:val="0"/>
          <w:numId w:val="3"/>
        </w:numPr>
        <w:spacing w:after="60" w:line="264"/>
      </w:pPr>
      <w:r>
        <w:rPr>
          <w:rFonts w:ascii="Century Gothic" w:cs="Century Gothic" w:eastAsia="Century Gothic" w:hAnsi="Century Gothic"/>
          <w:color w:val="1A1F1D"/>
        </w:rPr>
        <w:t xml:space="preserve">Acknowledge, then ask them to elaborate or explain; address misconceptions (CC8–CC11).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Reflection</w:t>
            </w:r>
          </w:p>
          <w:p>
            <w:pPr>
              <w:spacing w:after="120" w:line="276"/>
            </w:pPr>
            <w:r>
              <w:rPr>
                <w:rFonts w:ascii="Century Gothic" w:cs="Century Gothic" w:eastAsia="Century Gothic" w:hAnsi="Century Gothic"/>
                <w:color w:val="1A1F1D"/>
              </w:rPr>
              <w:t xml:space="preserve">What stops you holding a full three seconds of silence before naming a pupil? Try doubling your wait time in one lesson and note what changes in the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Probing questions</w:t>
      </w:r>
    </w:p>
    <w:p>
      <w:pPr>
        <w:spacing w:after="120" w:line="276"/>
      </w:pPr>
      <w:r>
        <w:rPr>
          <w:rFonts w:ascii="Century Gothic" w:cs="Century Gothic" w:eastAsia="Century Gothic" w:hAnsi="Century Gothic"/>
          <w:color w:val="1A1F1D"/>
        </w:rPr>
        <w:t xml:space="preserve">Probing is the follow‑up that develops a first answer into deeper thinking. The answer is the starting point, not the destination. A good probe pushes a pupil to justify, connect, or extend — and the stem can be chosen to match the level of thinking you want.</w:t>
      </w:r>
    </w:p>
    <w:p>
      <w:pPr>
        <w:pStyle w:val="ListParagraph"/>
        <w:numPr>
          <w:ilvl w:val="0"/>
          <w:numId w:val="2"/>
        </w:numPr>
        <w:spacing w:after="60" w:line="264"/>
      </w:pPr>
      <w:r>
        <w:rPr>
          <w:rFonts w:ascii="Century Gothic" w:cs="Century Gothic" w:eastAsia="Century Gothic" w:hAnsi="Century Gothic"/>
          <w:b/>
          <w:bCs/>
          <w:color w:val="1A1F1D"/>
        </w:rPr>
        <w:t xml:space="preserve">Remember. </w:t>
      </w:r>
      <w:r>
        <w:rPr>
          <w:rFonts w:ascii="Century Gothic" w:cs="Century Gothic" w:eastAsia="Century Gothic" w:hAnsi="Century Gothic"/>
          <w:color w:val="1A1F1D"/>
        </w:rPr>
        <w:t xml:space="preserve">‘What do we know about…?’</w:t>
      </w:r>
    </w:p>
    <w:p>
      <w:pPr>
        <w:pStyle w:val="ListParagraph"/>
        <w:numPr>
          <w:ilvl w:val="0"/>
          <w:numId w:val="2"/>
        </w:numPr>
        <w:spacing w:after="60" w:line="264"/>
      </w:pPr>
      <w:r>
        <w:rPr>
          <w:rFonts w:ascii="Century Gothic" w:cs="Century Gothic" w:eastAsia="Century Gothic" w:hAnsi="Century Gothic"/>
          <w:b/>
          <w:bCs/>
          <w:color w:val="1A1F1D"/>
        </w:rPr>
        <w:t xml:space="preserve">Apply. </w:t>
      </w:r>
      <w:r>
        <w:rPr>
          <w:rFonts w:ascii="Century Gothic" w:cs="Century Gothic" w:eastAsia="Century Gothic" w:hAnsi="Century Gothic"/>
          <w:color w:val="1A1F1D"/>
        </w:rPr>
        <w:t xml:space="preserve">‘How would you use this in…?’</w:t>
      </w:r>
    </w:p>
    <w:p>
      <w:pPr>
        <w:pStyle w:val="ListParagraph"/>
        <w:numPr>
          <w:ilvl w:val="0"/>
          <w:numId w:val="2"/>
        </w:numPr>
        <w:spacing w:after="60" w:line="264"/>
      </w:pPr>
      <w:r>
        <w:rPr>
          <w:rFonts w:ascii="Century Gothic" w:cs="Century Gothic" w:eastAsia="Century Gothic" w:hAnsi="Century Gothic"/>
          <w:b/>
          <w:bCs/>
          <w:color w:val="1A1F1D"/>
        </w:rPr>
        <w:t xml:space="preserve">Analyse. </w:t>
      </w:r>
      <w:r>
        <w:rPr>
          <w:rFonts w:ascii="Century Gothic" w:cs="Century Gothic" w:eastAsia="Century Gothic" w:hAnsi="Century Gothic"/>
          <w:color w:val="1A1F1D"/>
        </w:rPr>
        <w:t xml:space="preserve">‘What are the key differences between…?’</w:t>
      </w:r>
    </w:p>
    <w:p>
      <w:pPr>
        <w:pStyle w:val="ListParagraph"/>
        <w:numPr>
          <w:ilvl w:val="0"/>
          <w:numId w:val="2"/>
        </w:numPr>
        <w:spacing w:after="60" w:line="264"/>
      </w:pPr>
      <w:r>
        <w:rPr>
          <w:rFonts w:ascii="Century Gothic" w:cs="Century Gothic" w:eastAsia="Century Gothic" w:hAnsi="Century Gothic"/>
          <w:b/>
          <w:bCs/>
          <w:color w:val="1A1F1D"/>
        </w:rPr>
        <w:t xml:space="preserve">Evaluate. </w:t>
      </w:r>
      <w:r>
        <w:rPr>
          <w:rFonts w:ascii="Century Gothic" w:cs="Century Gothic" w:eastAsia="Century Gothic" w:hAnsi="Century Gothic"/>
          <w:color w:val="1A1F1D"/>
        </w:rPr>
        <w:t xml:space="preserve">‘Which of these is more effective, and why?’</w:t>
      </w:r>
    </w:p>
    <w:p>
      <w:pPr>
        <w:pStyle w:val="ListParagraph"/>
        <w:numPr>
          <w:ilvl w:val="0"/>
          <w:numId w:val="2"/>
        </w:numPr>
        <w:spacing w:after="60" w:line="264"/>
      </w:pPr>
      <w:r>
        <w:rPr>
          <w:rFonts w:ascii="Century Gothic" w:cs="Century Gothic" w:eastAsia="Century Gothic" w:hAnsi="Century Gothic"/>
          <w:b/>
          <w:bCs/>
          <w:color w:val="1A1F1D"/>
        </w:rPr>
        <w:t xml:space="preserve">Create. </w:t>
      </w:r>
      <w:r>
        <w:rPr>
          <w:rFonts w:ascii="Century Gothic" w:cs="Century Gothic" w:eastAsia="Century Gothic" w:hAnsi="Century Gothic"/>
          <w:color w:val="1A1F1D"/>
        </w:rPr>
        <w:t xml:space="preserve">‘What might happen if…?’</w:t>
      </w:r>
    </w:p>
    <w:p>
      <w:pPr>
        <w:spacing w:after="120" w:line="276"/>
      </w:pPr>
      <w:r>
        <w:rPr>
          <w:rFonts w:ascii="Century Gothic" w:cs="Century Gothic" w:eastAsia="Century Gothic" w:hAnsi="Century Gothic"/>
          <w:color w:val="1A1F1D"/>
        </w:rPr>
        <w:t xml:space="preserve">The skill is to ask a second question after the first answer, and to hold the pause again. Two probes in sequence, each after a real pause, will take a pupil further than a dozen quick questions to different hands.</w:t>
      </w:r>
    </w:p>
    <w:p>
      <w:pPr>
        <w:pStyle w:val="Heading1"/>
        <w:pageBreakBefore/>
        <w:spacing w:after="120" w:before="0"/>
      </w:pPr>
      <w:r>
        <w:rPr>
          <w:rFonts w:ascii="Century Gothic" w:cs="Century Gothic" w:eastAsia="Century Gothic" w:hAnsi="Century Gothic"/>
          <w:b/>
          <w:bCs/>
          <w:color w:val="14322D"/>
          <w:sz w:val="30"/>
          <w:szCs w:val="30"/>
        </w:rPr>
        <w:t xml:space="preserve">Pair-share and the questioning sequence</w:t>
      </w:r>
    </w:p>
    <w:p>
      <w:pPr>
        <w:spacing w:after="120" w:line="276"/>
      </w:pPr>
      <w:r>
        <w:rPr>
          <w:rFonts w:ascii="Century Gothic" w:cs="Century Gothic" w:eastAsia="Century Gothic" w:hAnsi="Century Gothic"/>
          <w:color w:val="1A1F1D"/>
        </w:rPr>
        <w:t xml:space="preserve">Pair‑share is the brief paired discussion that gives every pupil thinking time and a chance to rehearse an answer before saying it to the class. It is the transition routine that feeds cold‑calling: pupils who have just rehearsed an answer in a pair are far more ready to give it aloud.</w:t>
      </w:r>
    </w:p>
    <w:p>
      <w:pPr>
        <w:pStyle w:val="ListParagraph"/>
        <w:numPr>
          <w:ilvl w:val="0"/>
          <w:numId w:val="4"/>
        </w:numPr>
        <w:spacing w:after="60" w:line="264"/>
      </w:pPr>
      <w:r>
        <w:rPr>
          <w:rFonts w:ascii="Century Gothic" w:cs="Century Gothic" w:eastAsia="Century Gothic" w:hAnsi="Century Gothic"/>
          <w:color w:val="1A1F1D"/>
        </w:rPr>
        <w:t xml:space="preserve">Pose the question and set the pairs talking, audibly, on task.</w:t>
      </w:r>
    </w:p>
    <w:p>
      <w:pPr>
        <w:pStyle w:val="ListParagraph"/>
        <w:numPr>
          <w:ilvl w:val="0"/>
          <w:numId w:val="4"/>
        </w:numPr>
        <w:spacing w:after="60" w:line="264"/>
      </w:pPr>
      <w:r>
        <w:rPr>
          <w:rFonts w:ascii="Century Gothic" w:cs="Century Gothic" w:eastAsia="Century Gothic" w:hAnsi="Century Gothic"/>
          <w:color w:val="1A1F1D"/>
        </w:rPr>
        <w:t xml:space="preserve">Circulate silently for the full time — around sixty seconds — listening, not interrupting.</w:t>
      </w:r>
    </w:p>
    <w:p>
      <w:pPr>
        <w:pStyle w:val="ListParagraph"/>
        <w:numPr>
          <w:ilvl w:val="0"/>
          <w:numId w:val="4"/>
        </w:numPr>
        <w:spacing w:after="60" w:line="264"/>
      </w:pPr>
      <w:r>
        <w:rPr>
          <w:rFonts w:ascii="Century Gothic" w:cs="Century Gothic" w:eastAsia="Century Gothic" w:hAnsi="Century Gothic"/>
          <w:color w:val="1A1F1D"/>
        </w:rPr>
        <w:t xml:space="preserve">Trigger diligence to bring the room back: ‘3‑2‑1, eyes’.</w:t>
      </w:r>
    </w:p>
    <w:p>
      <w:pPr>
        <w:pStyle w:val="ListParagraph"/>
        <w:numPr>
          <w:ilvl w:val="0"/>
          <w:numId w:val="4"/>
        </w:numPr>
        <w:spacing w:after="60" w:line="264"/>
      </w:pPr>
      <w:r>
        <w:rPr>
          <w:rFonts w:ascii="Century Gothic" w:cs="Century Gothic" w:eastAsia="Century Gothic" w:hAnsi="Century Gothic"/>
          <w:color w:val="1A1F1D"/>
        </w:rPr>
        <w:t xml:space="preserve">Cold‑call from what you heard while circulating.</w:t>
      </w:r>
    </w:p>
    <w:p>
      <w:pPr>
        <w:spacing w:after="120" w:line="276"/>
      </w:pPr>
      <w:r>
        <w:rPr>
          <w:rFonts w:ascii="Century Gothic" w:cs="Century Gothic" w:eastAsia="Century Gothic" w:hAnsi="Century Gothic"/>
          <w:color w:val="1A1F1D"/>
        </w:rPr>
        <w:t xml:space="preserve">Placed in sequence — Choral → MWB → Pair → Cold‑call — the routines build on one another: choral response for fluency, whiteboards for an all‑pupil check, pair‑share for rehearsal, cold‑call for accountable talk.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Questioning that includes every pupil is an act of </w:t>
            </w:r>
            <w:r>
              <w:rPr>
                <w:rFonts w:ascii="Century Gothic" w:cs="Century Gothic" w:eastAsia="Century Gothic" w:hAnsi="Century Gothic"/>
                <w:b/>
                <w:bCs/>
                <w:color w:val="1A1F1D"/>
              </w:rPr>
              <w:t xml:space="preserve">Peacefulness</w:t>
            </w:r>
            <w:r>
              <w:rPr>
                <w:rFonts w:ascii="Century Gothic" w:cs="Century Gothic" w:eastAsia="Century Gothic" w:hAnsi="Century Gothic"/>
                <w:color w:val="1A1F1D"/>
              </w:rPr>
              <w:t xml:space="preserve"> — calm, warm, never a gotcha — and of </w:t>
            </w:r>
            <w:r>
              <w:rPr>
                <w:rFonts w:ascii="Century Gothic" w:cs="Century Gothic" w:eastAsia="Century Gothic" w:hAnsi="Century Gothic"/>
                <w:b/>
                <w:bCs/>
                <w:color w:val="1A1F1D"/>
              </w:rPr>
              <w:t xml:space="preserve">Determination</w:t>
            </w:r>
            <w:r>
              <w:rPr>
                <w:rFonts w:ascii="Century Gothic" w:cs="Century Gothic" w:eastAsia="Century Gothic" w:hAnsi="Century Gothic"/>
                <w:color w:val="1A1F1D"/>
              </w:rPr>
              <w:t xml:space="preserve">: the insistence that every pupil, not just the eager few, does the thinking.</w:t>
            </w:r>
          </w:p>
        </w:tc>
      </w:tr>
    </w:tbl>
    <w:p>
      <w:pPr>
        <w:pStyle w:val="Heading1"/>
        <w:pageBreakBefore/>
        <w:spacing w:after="120" w:before="0"/>
      </w:pPr>
      <w:r>
        <w:rPr>
          <w:rFonts w:ascii="Century Gothic" w:cs="Century Gothic" w:eastAsia="Century Gothic" w:hAnsi="Century Gothic"/>
          <w:b/>
          <w:bCs/>
          <w:color w:val="14322D"/>
          <w:sz w:val="30"/>
          <w:szCs w:val="30"/>
        </w:rPr>
        <w:t xml:space="preserve">Your questioning, this term</w:t>
      </w:r>
    </w:p>
    <w:p>
      <w:pPr>
        <w:spacing w:after="120" w:line="276"/>
      </w:pPr>
      <w:r>
        <w:rPr>
          <w:rFonts w:ascii="Century Gothic" w:cs="Century Gothic" w:eastAsia="Century Gothic" w:hAnsi="Century Gothic"/>
          <w:color w:val="1A1F1D"/>
        </w:rPr>
        <w:t xml:space="preserve">Universal, deeper thinking is built one routine at a time. Use the space below to plan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Hands down</w:t>
            </w:r>
          </w:p>
          <w:p>
            <w:pPr>
              <w:spacing w:after="120" w:line="276"/>
            </w:pPr>
            <w:r>
              <w:rPr>
                <w:rFonts w:ascii="Century Gothic" w:cs="Century Gothic" w:eastAsia="Century Gothic" w:hAnsi="Century Gothic"/>
                <w:color w:val="1A1F1D"/>
              </w:rPr>
              <w:t xml:space="preserve">Plan one lesson where you take no hands up. Note the questions you will cold‑call, the wait time you will hold, and how you will keep it warm rather than threatening.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One probe, deeper</w:t>
            </w:r>
          </w:p>
          <w:p>
            <w:pPr>
              <w:spacing w:after="120" w:line="276"/>
            </w:pPr>
            <w:r>
              <w:rPr>
                <w:rFonts w:ascii="Century Gothic" w:cs="Century Gothic" w:eastAsia="Century Gothic" w:hAnsi="Century Gothic"/>
                <w:color w:val="1A1F1D"/>
              </w:rPr>
              <w:t xml:space="preserve">Choose a concept and write two probing questions in sequence that would push a pupil from a first answer to real justification. Note where you will use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The Pillar 5 modules online cover cold‑calling, probing and pair‑share in full — with the probe‑stem bank, the full questioning sequence, and the AI scenario tester for each.</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The CC checklist and the probe‑stem bank let you hold yourself to questioning that makes every pupil think and then go deeper.</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Take the hands down, hold the pause, and follow the first answer with a second question — and the whole class is thinking.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Pillar 5 · Questioning &amp; Dialogue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2026-06-17T09:23:23.805Z</dcterms:created>
  <dcterms:modified xsi:type="dcterms:W3CDTF">2026-06-17T09:23:23.805Z</dcterms:modified>
</cp:coreProperties>
</file>

<file path=docProps/custom.xml><?xml version="1.0" encoding="utf-8"?>
<Properties xmlns="http://schemas.openxmlformats.org/officeDocument/2006/custom-properties" xmlns:vt="http://schemas.openxmlformats.org/officeDocument/2006/docPropsVTypes"/>
</file>