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Six</w:t>
      </w:r>
    </w:p>
    <w:p>
      <w:pPr>
        <w:spacing w:after="60"/>
      </w:pPr>
      <w:r>
        <w:rPr>
          <w:rFonts w:ascii="Century Gothic" w:cs="Century Gothic" w:eastAsia="Century Gothic" w:hAnsi="Century Gothic"/>
          <w:b/>
          <w:bCs/>
          <w:color w:val="14322D"/>
          <w:sz w:val="44"/>
          <w:szCs w:val="44"/>
        </w:rPr>
        <w:t xml:space="preserve">Standards &amp; Curriculum</w:t>
      </w:r>
    </w:p>
    <w:p>
      <w:pPr>
        <w:spacing w:after="300"/>
      </w:pPr>
      <w:r>
        <w:rPr>
          <w:rFonts w:ascii="Century Gothic" w:cs="Century Gothic" w:eastAsia="Century Gothic" w:hAnsi="Century Gothic"/>
          <w:color w:val="1A1F1D"/>
          <w:sz w:val="36"/>
          <w:szCs w:val="36"/>
        </w:rPr>
        <w:t xml:space="preserve">The curriculum enacted, and the standards held in every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“A pupil’s book is the record of a whole year’s thinking. It shows the standard the teacher expects.”</w:t>
            </w:r>
          </w:p>
          <w:p>
            <w:pPr>
              <w:spacing w:before="40"/>
            </w:pPr>
            <w:r>
              <w:rPr>
                <w:rFonts w:ascii="Century Gothic" w:cs="Century Gothic" w:eastAsia="Century Gothic" w:hAnsi="Century Gothic"/>
                <w:color w:val="555F5A"/>
                <w:sz w:val="20"/>
                <w:szCs w:val="20"/>
              </w:rPr>
              <w:t xml:space="preserve">— Pillar 6, Teaching Excellence Programme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class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Reading — a curriculum, and the books that record it</w:t>
      </w:r>
    </w:p>
    <w:p>
      <w:pPr>
        <w:spacing w:after="120" w:line="276"/>
      </w:pPr>
      <w:r>
        <w:rPr>
          <w:rFonts w:ascii="Century Gothic" w:cs="Century Gothic" w:eastAsia="Century Gothic" w:hAnsi="Century Gothic"/>
          <w:color w:val="1A1F1D"/>
          <w:sz w:val="24"/>
          <w:szCs w:val="24"/>
        </w:rPr>
        <w:t xml:space="preserve">Curriculum delivery</w:t>
      </w:r>
    </w:p>
    <w:p>
      <w:pPr>
        <w:spacing w:after="120" w:line="276"/>
      </w:pPr>
      <w:r>
        <w:rPr>
          <w:rFonts w:ascii="Century Gothic" w:cs="Century Gothic" w:eastAsia="Century Gothic" w:hAnsi="Century Gothic"/>
          <w:color w:val="1A1F1D"/>
          <w:sz w:val="24"/>
          <w:szCs w:val="24"/>
        </w:rPr>
        <w:t xml:space="preserve">Book look — the standard in every book</w:t>
      </w:r>
    </w:p>
    <w:p>
      <w:pPr>
        <w:spacing w:after="120" w:line="276"/>
      </w:pPr>
      <w:r>
        <w:rPr>
          <w:rFonts w:ascii="Century Gothic" w:cs="Century Gothic" w:eastAsia="Century Gothic" w:hAnsi="Century Gothic"/>
          <w:color w:val="1A1F1D"/>
          <w:sz w:val="24"/>
          <w:szCs w:val="24"/>
        </w:rPr>
        <w:t xml:space="preserve">Reading for pleasure</w:t>
      </w:r>
    </w:p>
    <w:p>
      <w:pPr>
        <w:spacing w:after="120" w:line="276"/>
      </w:pPr>
      <w:r>
        <w:rPr>
          <w:rFonts w:ascii="Century Gothic" w:cs="Century Gothic" w:eastAsia="Century Gothic" w:hAnsi="Century Gothic"/>
          <w:color w:val="1A1F1D"/>
          <w:sz w:val="24"/>
          <w:szCs w:val="24"/>
        </w:rPr>
        <w:t xml:space="preserve">Your standards, this term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class team. </w:t>
            </w:r>
            <w:r>
              <w:rPr>
                <w:rFonts w:ascii="Century Gothic" w:cs="Century Gothic" w:eastAsia="Century Gothic" w:hAnsi="Century Gothic"/>
                <w:color w:val="1A1F1D"/>
              </w:rPr>
              <w:t xml:space="preserve">Adapt each method to your class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a curriculum, and the books that record it</w:t>
      </w:r>
    </w:p>
    <w:p>
      <w:pPr>
        <w:spacing w:after="120" w:line="276"/>
      </w:pPr>
      <w:r>
        <w:rPr>
          <w:rFonts w:ascii="Century Gothic" w:cs="Century Gothic" w:eastAsia="Century Gothic" w:hAnsi="Century Gothic"/>
          <w:color w:val="1A1F1D"/>
        </w:rPr>
        <w:t xml:space="preserve">If the earlier pillars are about how a lesson is taught, this one is about what is taught, in what order, and to what standard. It is the pillar that connects a single lesson to the long arc of a pupil’s education — and to the books that record it.</w:t>
      </w:r>
    </w:p>
    <w:p>
      <w:pPr>
        <w:spacing w:after="120" w:line="276"/>
      </w:pPr>
      <w:r>
        <w:rPr>
          <w:rFonts w:ascii="Century Gothic" w:cs="Century Gothic" w:eastAsia="Century Gothic" w:hAnsi="Century Gothic"/>
          <w:color w:val="1A1F1D"/>
        </w:rPr>
        <w:t xml:space="preserve">Christine Counsell’s influential argument is that the curriculum is the progression model: progress is not a generic skill that floats free of content, but the gradual accumulation of specific knowledge, in a deliberate sequence, where each lesson makes sense because of the ones before it. To plan a curriculum is to decide what pupils will know, and when, so that later ideas have somewhere to land.</w:t>
      </w:r>
    </w:p>
    <w:p>
      <w:pPr>
        <w:spacing w:after="120" w:line="276"/>
      </w:pPr>
      <w:r>
        <w:rPr>
          <w:rFonts w:ascii="Century Gothic" w:cs="Century Gothic" w:eastAsia="Century Gothic" w:hAnsi="Century Gothic"/>
          <w:color w:val="1A1F1D"/>
        </w:rPr>
        <w:t xml:space="preserve">Mary Myatt presses the case for coherence and depth: doing fewer things in greater depth, with the connections between them made explicit, rather than racing through coverage. A strong curriculum is a narrative, not a checklist, and the teacher’s job is to deliver it so that the story holds together — with key vocabulary taught explicitly and disciplinary thinking modelled accurately.</w:t>
      </w:r>
    </w:p>
    <w:p>
      <w:pPr>
        <w:spacing w:after="120" w:line="276"/>
      </w:pPr>
      <w:r>
        <w:rPr>
          <w:rFonts w:ascii="Century Gothic" w:cs="Century Gothic" w:eastAsia="Century Gothic" w:hAnsi="Century Gothic"/>
          <w:color w:val="1A1F1D"/>
        </w:rPr>
        <w:t xml:space="preserve">Books are where that curriculum becomes visible. A book is the record of a year’s thinking, and what a school chooses to accept in it — the presentation, the response to feedback, the completion, the increasing challenge — signals what it expects. The book look is not bureaucracy; it is the shared standard made concrete, read for patterns rather than ticked.</w:t>
      </w:r>
    </w:p>
    <w:p>
      <w:pPr>
        <w:spacing w:after="120" w:line="276"/>
      </w:pPr>
      <w:r>
        <w:rPr>
          <w:rFonts w:ascii="Century Gothic" w:cs="Century Gothic" w:eastAsia="Century Gothic" w:hAnsi="Century Gothic"/>
          <w:color w:val="1A1F1D"/>
        </w:rPr>
        <w:t xml:space="preserve">Finally, reading. Teresa Cremin’s research, and the Department for Education’s reading framework, make the link between reading for pleasure and both attainment and wellbeing: pupils who read widely and willingly do better, and a reading culture is built deliberately by adults who read aloud, model being readers, and make books visible and valued.</w:t>
      </w:r>
    </w:p>
    <w:p>
      <w:pPr>
        <w:spacing w:after="120" w:line="276"/>
      </w:pPr>
      <w:r>
        <w:rPr>
          <w:rFonts w:ascii="Century Gothic" w:cs="Century Gothic" w:eastAsia="Century Gothic" w:hAnsi="Century Gothic"/>
          <w:color w:val="1A1F1D"/>
        </w:rPr>
        <w:t xml:space="preserve">Pillar 6 turns this into the school’s own practice across three families: curriculum delivery (CD), the book look (BL), and reading for pleasure (RFP).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Look at one of your classes’ books as if you were seeing them for the first time. What do they tell you about what is expected — and what story do they tell about the curriculum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Curriculum delivery</w:t>
      </w:r>
    </w:p>
    <w:p>
      <w:pPr>
        <w:spacing w:after="120" w:line="276"/>
      </w:pPr>
      <w:r>
        <w:rPr>
          <w:rFonts w:ascii="Century Gothic" w:cs="Century Gothic" w:eastAsia="Century Gothic" w:hAnsi="Century Gothic"/>
          <w:color w:val="1A1F1D"/>
        </w:rPr>
        <w:t xml:space="preserve">Curriculum delivery is the disciplined enactment of the agreed scheme of learning: the right content, in the right order, taught with the clarity and adaptation of the earlier pillars, and assessed so that the sequence actually builds.</w:t>
      </w:r>
    </w:p>
    <w:p>
      <w:pPr>
        <w:pStyle w:val="ListParagraph"/>
        <w:numPr>
          <w:ilvl w:val="0"/>
          <w:numId w:val="2"/>
        </w:numPr>
        <w:spacing w:after="60" w:line="264"/>
      </w:pPr>
      <w:r>
        <w:rPr>
          <w:rFonts w:ascii="Century Gothic" w:cs="Century Gothic" w:eastAsia="Century Gothic" w:hAnsi="Century Gothic"/>
          <w:b/>
          <w:bCs/>
          <w:color w:val="1A1F1D"/>
        </w:rPr>
        <w:t xml:space="preserve">CD1 · </w:t>
      </w:r>
      <w:r>
        <w:rPr>
          <w:rFonts w:ascii="Century Gothic" w:cs="Century Gothic" w:eastAsia="Century Gothic" w:hAnsi="Century Gothic"/>
          <w:color w:val="1A1F1D"/>
        </w:rPr>
        <w:t xml:space="preserve">Lesson delivery follows the agreed scheme of learning, sequenced to build on prior knowledge.</w:t>
      </w:r>
    </w:p>
    <w:p>
      <w:pPr>
        <w:pStyle w:val="ListParagraph"/>
        <w:numPr>
          <w:ilvl w:val="0"/>
          <w:numId w:val="2"/>
        </w:numPr>
        <w:spacing w:after="60" w:line="264"/>
      </w:pPr>
      <w:r>
        <w:rPr>
          <w:rFonts w:ascii="Century Gothic" w:cs="Century Gothic" w:eastAsia="Century Gothic" w:hAnsi="Century Gothic"/>
          <w:b/>
          <w:bCs/>
          <w:color w:val="1A1F1D"/>
        </w:rPr>
        <w:t xml:space="preserve">CD2 · </w:t>
      </w:r>
      <w:r>
        <w:rPr>
          <w:rFonts w:ascii="Century Gothic" w:cs="Century Gothic" w:eastAsia="Century Gothic" w:hAnsi="Century Gothic"/>
          <w:color w:val="1A1F1D"/>
        </w:rPr>
        <w:t xml:space="preserve">Delivery is consistent: clear modelling, concise language, manageable instructions, and adaptation informed by assessment and need.</w:t>
      </w:r>
    </w:p>
    <w:p>
      <w:pPr>
        <w:pStyle w:val="ListParagraph"/>
        <w:numPr>
          <w:ilvl w:val="0"/>
          <w:numId w:val="2"/>
        </w:numPr>
        <w:spacing w:after="60" w:line="264"/>
      </w:pPr>
      <w:r>
        <w:rPr>
          <w:rFonts w:ascii="Century Gothic" w:cs="Century Gothic" w:eastAsia="Century Gothic" w:hAnsi="Century Gothic"/>
          <w:b/>
          <w:bCs/>
          <w:color w:val="1A1F1D"/>
        </w:rPr>
        <w:t xml:space="preserve">CD3 · </w:t>
      </w:r>
      <w:r>
        <w:rPr>
          <w:rFonts w:ascii="Century Gothic" w:cs="Century Gothic" w:eastAsia="Century Gothic" w:hAnsi="Century Gothic"/>
          <w:color w:val="1A1F1D"/>
        </w:rPr>
        <w:t xml:space="preserve">Appropriate SEND adaptations and scaffolds enable all pupils to access, participate and succeed.</w:t>
      </w:r>
    </w:p>
    <w:p>
      <w:pPr>
        <w:pStyle w:val="ListParagraph"/>
        <w:numPr>
          <w:ilvl w:val="0"/>
          <w:numId w:val="2"/>
        </w:numPr>
        <w:spacing w:after="60" w:line="264"/>
      </w:pPr>
      <w:r>
        <w:rPr>
          <w:rFonts w:ascii="Century Gothic" w:cs="Century Gothic" w:eastAsia="Century Gothic" w:hAnsi="Century Gothic"/>
          <w:b/>
          <w:bCs/>
          <w:color w:val="1A1F1D"/>
        </w:rPr>
        <w:t xml:space="preserve">CD4 · </w:t>
      </w:r>
      <w:r>
        <w:rPr>
          <w:rFonts w:ascii="Century Gothic" w:cs="Century Gothic" w:eastAsia="Century Gothic" w:hAnsi="Century Gothic"/>
          <w:color w:val="1A1F1D"/>
        </w:rPr>
        <w:t xml:space="preserve">Pupils are engaged, and supported to work independently, collaboratively, and at an appropriately challenging level.</w:t>
      </w:r>
    </w:p>
    <w:p>
      <w:pPr>
        <w:pStyle w:val="ListParagraph"/>
        <w:numPr>
          <w:ilvl w:val="0"/>
          <w:numId w:val="2"/>
        </w:numPr>
        <w:spacing w:after="60" w:line="264"/>
      </w:pPr>
      <w:r>
        <w:rPr>
          <w:rFonts w:ascii="Century Gothic" w:cs="Century Gothic" w:eastAsia="Century Gothic" w:hAnsi="Century Gothic"/>
          <w:b/>
          <w:bCs/>
          <w:color w:val="1A1F1D"/>
        </w:rPr>
        <w:t xml:space="preserve">CD5 · </w:t>
      </w:r>
      <w:r>
        <w:rPr>
          <w:rFonts w:ascii="Century Gothic" w:cs="Century Gothic" w:eastAsia="Century Gothic" w:hAnsi="Century Gothic"/>
          <w:color w:val="1A1F1D"/>
        </w:rPr>
        <w:t xml:space="preserve">Subject vocabulary is explicitly taught, modelled and revisited; disciplinary knowledge is used accurately by teachers and pupils.</w:t>
      </w:r>
    </w:p>
    <w:p>
      <w:pPr>
        <w:pStyle w:val="ListParagraph"/>
        <w:numPr>
          <w:ilvl w:val="0"/>
          <w:numId w:val="2"/>
        </w:numPr>
        <w:spacing w:after="60" w:line="264"/>
      </w:pPr>
      <w:r>
        <w:rPr>
          <w:rFonts w:ascii="Century Gothic" w:cs="Century Gothic" w:eastAsia="Century Gothic" w:hAnsi="Century Gothic"/>
          <w:b/>
          <w:bCs/>
          <w:color w:val="1A1F1D"/>
        </w:rPr>
        <w:t xml:space="preserve">CD6 · </w:t>
      </w:r>
      <w:r>
        <w:rPr>
          <w:rFonts w:ascii="Century Gothic" w:cs="Century Gothic" w:eastAsia="Century Gothic" w:hAnsi="Century Gothic"/>
          <w:color w:val="1A1F1D"/>
        </w:rPr>
        <w:t xml:space="preserve">Where appropriate, links are made to virtues, vices and golden threads to deepen understanding and character.</w:t>
      </w:r>
    </w:p>
    <w:p>
      <w:pPr>
        <w:pStyle w:val="ListParagraph"/>
        <w:numPr>
          <w:ilvl w:val="0"/>
          <w:numId w:val="2"/>
        </w:numPr>
        <w:spacing w:after="60" w:line="264"/>
      </w:pPr>
      <w:r>
        <w:rPr>
          <w:rFonts w:ascii="Century Gothic" w:cs="Century Gothic" w:eastAsia="Century Gothic" w:hAnsi="Century Gothic"/>
          <w:b/>
          <w:bCs/>
          <w:color w:val="1A1F1D"/>
        </w:rPr>
        <w:t xml:space="preserve">CD7 · </w:t>
      </w:r>
      <w:r>
        <w:rPr>
          <w:rFonts w:ascii="Century Gothic" w:cs="Century Gothic" w:eastAsia="Century Gothic" w:hAnsi="Century Gothic"/>
          <w:color w:val="1A1F1D"/>
        </w:rPr>
        <w:t xml:space="preserve">Assessment, including AfL and feedback, is used to monitor understanding and inform teaching.</w:t>
      </w:r>
    </w:p>
    <w:p>
      <w:pPr>
        <w:pStyle w:val="ListParagraph"/>
        <w:numPr>
          <w:ilvl w:val="0"/>
          <w:numId w:val="2"/>
        </w:numPr>
        <w:spacing w:after="60" w:line="264"/>
      </w:pPr>
      <w:r>
        <w:rPr>
          <w:rFonts w:ascii="Century Gothic" w:cs="Century Gothic" w:eastAsia="Century Gothic" w:hAnsi="Century Gothic"/>
          <w:b/>
          <w:bCs/>
          <w:color w:val="1A1F1D"/>
        </w:rPr>
        <w:t xml:space="preserve">CD8 · </w:t>
      </w:r>
      <w:r>
        <w:rPr>
          <w:rFonts w:ascii="Century Gothic" w:cs="Century Gothic" w:eastAsia="Century Gothic" w:hAnsi="Century Gothic"/>
          <w:color w:val="1A1F1D"/>
        </w:rPr>
        <w:t xml:space="preserve">Work is reviewed regularly and shows progression, adaptation, and that misconceptions are addressed.</w:t>
      </w:r>
    </w:p>
    <w:p>
      <w:pPr>
        <w:pStyle w:val="ListParagraph"/>
        <w:numPr>
          <w:ilvl w:val="0"/>
          <w:numId w:val="2"/>
        </w:numPr>
        <w:spacing w:after="60" w:line="264"/>
      </w:pPr>
      <w:r>
        <w:rPr>
          <w:rFonts w:ascii="Century Gothic" w:cs="Century Gothic" w:eastAsia="Century Gothic" w:hAnsi="Century Gothic"/>
          <w:b/>
          <w:bCs/>
          <w:color w:val="1A1F1D"/>
        </w:rPr>
        <w:t xml:space="preserve">CD9 · </w:t>
      </w:r>
      <w:r>
        <w:rPr>
          <w:rFonts w:ascii="Century Gothic" w:cs="Century Gothic" w:eastAsia="Century Gothic" w:hAnsi="Century Gothic"/>
          <w:color w:val="1A1F1D"/>
        </w:rPr>
        <w:t xml:space="preserve">Pupils show progress over time, secure understanding, and can apply learning in different contexts.</w:t>
      </w:r>
    </w:p>
    <w:p>
      <w:pPr>
        <w:pStyle w:val="ListParagraph"/>
        <w:numPr>
          <w:ilvl w:val="0"/>
          <w:numId w:val="2"/>
        </w:numPr>
        <w:spacing w:after="60" w:line="264"/>
      </w:pPr>
      <w:r>
        <w:rPr>
          <w:rFonts w:ascii="Century Gothic" w:cs="Century Gothic" w:eastAsia="Century Gothic" w:hAnsi="Century Gothic"/>
          <w:b/>
          <w:bCs/>
          <w:color w:val="1A1F1D"/>
        </w:rPr>
        <w:t xml:space="preserve">CD10 · </w:t>
      </w:r>
      <w:r>
        <w:rPr>
          <w:rFonts w:ascii="Century Gothic" w:cs="Century Gothic" w:eastAsia="Century Gothic" w:hAnsi="Century Gothic"/>
          <w:color w:val="1A1F1D"/>
        </w:rPr>
        <w:t xml:space="preserve">Presentation in books matches expectations: titles and dates, neat handwriting, completed tasks.</w:t>
      </w:r>
    </w:p>
    <w:p>
      <w:pPr>
        <w:spacing w:after="120" w:line="276"/>
      </w:pPr>
      <w:r>
        <w:rPr>
          <w:rFonts w:ascii="Century Gothic" w:cs="Century Gothic" w:eastAsia="Century Gothic" w:hAnsi="Century Gothic"/>
          <w:color w:val="1A1F1D"/>
        </w:rPr>
        <w:t xml:space="preserve">Much of this is the earlier pillars seen at the level of the whole curriculum: clear modelling (CD2), adaptation (CD3), checking (CD7). What is distinctive here is sequence and coherence (CD1, CD9) and the deliberate teaching of vocabulary (CD5).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The curriculum is where the school’s character work lives in the everyday (CD6): virtues, vices and golden threads woven through the curriculum, so that </w:t>
            </w:r>
            <w:r>
              <w:rPr>
                <w:rFonts w:ascii="Century Gothic" w:cs="Century Gothic" w:eastAsia="Century Gothic" w:hAnsi="Century Gothic"/>
                <w:b/>
                <w:bCs/>
                <w:color w:val="1A1F1D"/>
              </w:rPr>
              <w:t xml:space="preserve">Diligence and Determination</w:t>
            </w:r>
            <w:r>
              <w:rPr>
                <w:rFonts w:ascii="Century Gothic" w:cs="Century Gothic" w:eastAsia="Century Gothic" w:hAnsi="Century Gothic"/>
                <w:color w:val="1A1F1D"/>
              </w:rPr>
              <w:t xml:space="preserve"> are not posters but the actual habits a strong curriculum demands and rewards.</w:t>
            </w:r>
          </w:p>
        </w:tc>
      </w:tr>
    </w:tbl>
    <w:p>
      <w:pPr>
        <w:pStyle w:val="Heading1"/>
        <w:pageBreakBefore/>
        <w:spacing w:after="120" w:before="0"/>
      </w:pPr>
      <w:r>
        <w:rPr>
          <w:rFonts w:ascii="Century Gothic" w:cs="Century Gothic" w:eastAsia="Century Gothic" w:hAnsi="Century Gothic"/>
          <w:b/>
          <w:bCs/>
          <w:color w:val="14322D"/>
          <w:sz w:val="30"/>
          <w:szCs w:val="30"/>
        </w:rPr>
        <w:t xml:space="preserve">Book look — the standard in every book</w:t>
      </w:r>
    </w:p>
    <w:p>
      <w:pPr>
        <w:spacing w:after="120" w:line="276"/>
      </w:pPr>
      <w:r>
        <w:rPr>
          <w:rFonts w:ascii="Century Gothic" w:cs="Century Gothic" w:eastAsia="Century Gothic" w:hAnsi="Century Gothic"/>
          <w:color w:val="1A1F1D"/>
        </w:rPr>
        <w:t xml:space="preserve">The book look is the shared standard made visible. Colleagues read a sample of books together, looking for patterns against a common set of expectations — not to catch anyone out, but to agree what ‘good’ looks like and hold it consistently across a year group.</w:t>
      </w:r>
    </w:p>
    <w:p>
      <w:pPr>
        <w:pStyle w:val="ListParagraph"/>
        <w:numPr>
          <w:ilvl w:val="0"/>
          <w:numId w:val="2"/>
        </w:numPr>
        <w:spacing w:after="60" w:line="264"/>
      </w:pPr>
      <w:r>
        <w:rPr>
          <w:rFonts w:ascii="Century Gothic" w:cs="Century Gothic" w:eastAsia="Century Gothic" w:hAnsi="Century Gothic"/>
          <w:b/>
          <w:bCs/>
          <w:color w:val="1A1F1D"/>
        </w:rPr>
        <w:t xml:space="preserve">BL1 · </w:t>
      </w:r>
      <w:r>
        <w:rPr>
          <w:rFonts w:ascii="Century Gothic" w:cs="Century Gothic" w:eastAsia="Century Gothic" w:hAnsi="Century Gothic"/>
          <w:color w:val="1A1F1D"/>
        </w:rPr>
        <w:t xml:space="preserve">The sequence of lessons follows the scheme of learning.</w:t>
      </w:r>
    </w:p>
    <w:p>
      <w:pPr>
        <w:pStyle w:val="ListParagraph"/>
        <w:numPr>
          <w:ilvl w:val="0"/>
          <w:numId w:val="2"/>
        </w:numPr>
        <w:spacing w:after="60" w:line="264"/>
      </w:pPr>
      <w:r>
        <w:rPr>
          <w:rFonts w:ascii="Century Gothic" w:cs="Century Gothic" w:eastAsia="Century Gothic" w:hAnsi="Century Gothic"/>
          <w:b/>
          <w:bCs/>
          <w:color w:val="1A1F1D"/>
        </w:rPr>
        <w:t xml:space="preserve">BL2 · </w:t>
      </w:r>
      <w:r>
        <w:rPr>
          <w:rFonts w:ascii="Century Gothic" w:cs="Century Gothic" w:eastAsia="Century Gothic" w:hAnsi="Century Gothic"/>
          <w:color w:val="1A1F1D"/>
        </w:rPr>
        <w:t xml:space="preserve">There is evidence of errors and misconceptions being addressed.</w:t>
      </w:r>
    </w:p>
    <w:p>
      <w:pPr>
        <w:pStyle w:val="ListParagraph"/>
        <w:numPr>
          <w:ilvl w:val="0"/>
          <w:numId w:val="2"/>
        </w:numPr>
        <w:spacing w:after="60" w:line="264"/>
      </w:pPr>
      <w:r>
        <w:rPr>
          <w:rFonts w:ascii="Century Gothic" w:cs="Century Gothic" w:eastAsia="Century Gothic" w:hAnsi="Century Gothic"/>
          <w:b/>
          <w:bCs/>
          <w:color w:val="1A1F1D"/>
        </w:rPr>
        <w:t xml:space="preserve">BL3 · </w:t>
      </w:r>
      <w:r>
        <w:rPr>
          <w:rFonts w:ascii="Century Gothic" w:cs="Century Gothic" w:eastAsia="Century Gothic" w:hAnsi="Century Gothic"/>
          <w:color w:val="1A1F1D"/>
        </w:rPr>
        <w:t xml:space="preserve">Presentation is in line with subject guidelines (the non‑negotiables).</w:t>
      </w:r>
    </w:p>
    <w:p>
      <w:pPr>
        <w:pStyle w:val="ListParagraph"/>
        <w:numPr>
          <w:ilvl w:val="0"/>
          <w:numId w:val="2"/>
        </w:numPr>
        <w:spacing w:after="60" w:line="264"/>
      </w:pPr>
      <w:r>
        <w:rPr>
          <w:rFonts w:ascii="Century Gothic" w:cs="Century Gothic" w:eastAsia="Century Gothic" w:hAnsi="Century Gothic"/>
          <w:b/>
          <w:bCs/>
          <w:color w:val="1A1F1D"/>
        </w:rPr>
        <w:t xml:space="preserve">BL4 · </w:t>
      </w:r>
      <w:r>
        <w:rPr>
          <w:rFonts w:ascii="Century Gothic" w:cs="Century Gothic" w:eastAsia="Century Gothic" w:hAnsi="Century Gothic"/>
          <w:color w:val="1A1F1D"/>
        </w:rPr>
        <w:t xml:space="preserve">The marking policy is being followed (including the calculation policy for Maths).</w:t>
      </w:r>
    </w:p>
    <w:p>
      <w:pPr>
        <w:pStyle w:val="ListParagraph"/>
        <w:numPr>
          <w:ilvl w:val="0"/>
          <w:numId w:val="2"/>
        </w:numPr>
        <w:spacing w:after="60" w:line="264"/>
      </w:pPr>
      <w:r>
        <w:rPr>
          <w:rFonts w:ascii="Century Gothic" w:cs="Century Gothic" w:eastAsia="Century Gothic" w:hAnsi="Century Gothic"/>
          <w:b/>
          <w:bCs/>
          <w:color w:val="1A1F1D"/>
        </w:rPr>
        <w:t xml:space="preserve">BL5 · </w:t>
      </w:r>
      <w:r>
        <w:rPr>
          <w:rFonts w:ascii="Century Gothic" w:cs="Century Gothic" w:eastAsia="Century Gothic" w:hAnsi="Century Gothic"/>
          <w:color w:val="1A1F1D"/>
        </w:rPr>
        <w:t xml:space="preserve">Pupil responses to feedback are evident (purple pen).</w:t>
      </w:r>
    </w:p>
    <w:p>
      <w:pPr>
        <w:pStyle w:val="ListParagraph"/>
        <w:numPr>
          <w:ilvl w:val="0"/>
          <w:numId w:val="2"/>
        </w:numPr>
        <w:spacing w:after="60" w:line="264"/>
      </w:pPr>
      <w:r>
        <w:rPr>
          <w:rFonts w:ascii="Century Gothic" w:cs="Century Gothic" w:eastAsia="Century Gothic" w:hAnsi="Century Gothic"/>
          <w:b/>
          <w:bCs/>
          <w:color w:val="1A1F1D"/>
        </w:rPr>
        <w:t xml:space="preserve">BL6 · </w:t>
      </w:r>
      <w:r>
        <w:rPr>
          <w:rFonts w:ascii="Century Gothic" w:cs="Century Gothic" w:eastAsia="Century Gothic" w:hAnsi="Century Gothic"/>
          <w:color w:val="1A1F1D"/>
        </w:rPr>
        <w:t xml:space="preserve">There is clear evidence of adaptations for SEND and PP where required.</w:t>
      </w:r>
    </w:p>
    <w:p>
      <w:pPr>
        <w:pStyle w:val="ListParagraph"/>
        <w:numPr>
          <w:ilvl w:val="0"/>
          <w:numId w:val="2"/>
        </w:numPr>
        <w:spacing w:after="60" w:line="264"/>
      </w:pPr>
      <w:r>
        <w:rPr>
          <w:rFonts w:ascii="Century Gothic" w:cs="Century Gothic" w:eastAsia="Century Gothic" w:hAnsi="Century Gothic"/>
          <w:b/>
          <w:bCs/>
          <w:color w:val="1A1F1D"/>
        </w:rPr>
        <w:t xml:space="preserve">BL7 · </w:t>
      </w:r>
      <w:r>
        <w:rPr>
          <w:rFonts w:ascii="Century Gothic" w:cs="Century Gothic" w:eastAsia="Century Gothic" w:hAnsi="Century Gothic"/>
          <w:color w:val="1A1F1D"/>
        </w:rPr>
        <w:t xml:space="preserve">There is clear evidence of pupils being stretched and challenged.</w:t>
      </w:r>
    </w:p>
    <w:p>
      <w:pPr>
        <w:spacing w:after="120" w:line="276"/>
      </w:pPr>
      <w:r>
        <w:rPr>
          <w:rFonts w:ascii="Century Gothic" w:cs="Century Gothic" w:eastAsia="Century Gothic" w:hAnsi="Century Gothic"/>
          <w:color w:val="1A1F1D"/>
        </w:rPr>
        <w:t xml:space="preserve">Read books for the story they tell over time (BL1, BL7): does the work get harder, are misconceptions caught and corrected (BL2), do pupils act on feedback (BL5)? A book look raises the standard generally; it never raises it by naming whose book fell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 — read your own set</w:t>
            </w:r>
          </w:p>
          <w:p>
            <w:pPr>
              <w:spacing w:after="120" w:line="276"/>
            </w:pPr>
            <w:r>
              <w:rPr>
                <w:rFonts w:ascii="Century Gothic" w:cs="Century Gothic" w:eastAsia="Century Gothic" w:hAnsi="Century Gothic"/>
                <w:color w:val="1A1F1D"/>
              </w:rPr>
              <w:t xml:space="preserve">Read one of your classes’ books against BL1–BL7. Name the two things you would most want to see change, and the one you will act on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Reading for pleasure</w:t>
      </w:r>
    </w:p>
    <w:p>
      <w:pPr>
        <w:spacing w:after="120" w:line="276"/>
      </w:pPr>
      <w:r>
        <w:rPr>
          <w:rFonts w:ascii="Century Gothic" w:cs="Century Gothic" w:eastAsia="Century Gothic" w:hAnsi="Century Gothic"/>
          <w:color w:val="1A1F1D"/>
        </w:rPr>
        <w:t xml:space="preserve">A reading culture is built, not hoped for. The Reading for Pleasure standard is the set of visible, everyday practices that make a school one where pupils read widely and willingly — and where adults model being readers themselves.</w:t>
      </w:r>
    </w:p>
    <w:p>
      <w:pPr>
        <w:pStyle w:val="ListParagraph"/>
        <w:numPr>
          <w:ilvl w:val="0"/>
          <w:numId w:val="2"/>
        </w:numPr>
        <w:spacing w:after="60" w:line="264"/>
      </w:pPr>
      <w:r>
        <w:rPr>
          <w:rFonts w:ascii="Century Gothic" w:cs="Century Gothic" w:eastAsia="Century Gothic" w:hAnsi="Century Gothic"/>
          <w:b/>
          <w:bCs/>
          <w:color w:val="1A1F1D"/>
        </w:rPr>
        <w:t xml:space="preserve">RFP1 · </w:t>
      </w:r>
      <w:r>
        <w:rPr>
          <w:rFonts w:ascii="Century Gothic" w:cs="Century Gothic" w:eastAsia="Century Gothic" w:hAnsi="Century Gothic"/>
          <w:color w:val="1A1F1D"/>
        </w:rPr>
        <w:t xml:space="preserve">Regular reading aloud is evident, led by the teacher.</w:t>
      </w:r>
    </w:p>
    <w:p>
      <w:pPr>
        <w:pStyle w:val="ListParagraph"/>
        <w:numPr>
          <w:ilvl w:val="0"/>
          <w:numId w:val="2"/>
        </w:numPr>
        <w:spacing w:after="60" w:line="264"/>
      </w:pPr>
      <w:r>
        <w:rPr>
          <w:rFonts w:ascii="Century Gothic" w:cs="Century Gothic" w:eastAsia="Century Gothic" w:hAnsi="Century Gothic"/>
          <w:b/>
          <w:bCs/>
          <w:color w:val="1A1F1D"/>
        </w:rPr>
        <w:t xml:space="preserve">RFP2 · </w:t>
      </w:r>
      <w:r>
        <w:rPr>
          <w:rFonts w:ascii="Century Gothic" w:cs="Century Gothic" w:eastAsia="Century Gothic" w:hAnsi="Century Gothic"/>
          <w:color w:val="1A1F1D"/>
        </w:rPr>
        <w:t xml:space="preserve">Class door signs are complete and up to date.</w:t>
      </w:r>
    </w:p>
    <w:p>
      <w:pPr>
        <w:pStyle w:val="ListParagraph"/>
        <w:numPr>
          <w:ilvl w:val="0"/>
          <w:numId w:val="2"/>
        </w:numPr>
        <w:spacing w:after="60" w:line="264"/>
      </w:pPr>
      <w:r>
        <w:rPr>
          <w:rFonts w:ascii="Century Gothic" w:cs="Century Gothic" w:eastAsia="Century Gothic" w:hAnsi="Century Gothic"/>
          <w:b/>
          <w:bCs/>
          <w:color w:val="1A1F1D"/>
        </w:rPr>
        <w:t xml:space="preserve">RFP3 · </w:t>
      </w:r>
      <w:r>
        <w:rPr>
          <w:rFonts w:ascii="Century Gothic" w:cs="Century Gothic" w:eastAsia="Century Gothic" w:hAnsi="Century Gothic"/>
          <w:color w:val="1A1F1D"/>
        </w:rPr>
        <w:t xml:space="preserve">Hounslow book boxes are on the class bookshelves.</w:t>
      </w:r>
    </w:p>
    <w:p>
      <w:pPr>
        <w:pStyle w:val="ListParagraph"/>
        <w:numPr>
          <w:ilvl w:val="0"/>
          <w:numId w:val="2"/>
        </w:numPr>
        <w:spacing w:after="60" w:line="264"/>
      </w:pPr>
      <w:r>
        <w:rPr>
          <w:rFonts w:ascii="Century Gothic" w:cs="Century Gothic" w:eastAsia="Century Gothic" w:hAnsi="Century Gothic"/>
          <w:b/>
          <w:bCs/>
          <w:color w:val="1A1F1D"/>
        </w:rPr>
        <w:t xml:space="preserve">RFP4 · </w:t>
      </w:r>
      <w:r>
        <w:rPr>
          <w:rFonts w:ascii="Century Gothic" w:cs="Century Gothic" w:eastAsia="Century Gothic" w:hAnsi="Century Gothic"/>
          <w:color w:val="1A1F1D"/>
        </w:rPr>
        <w:t xml:space="preserve">Book stands are used to display books on the top shelf.</w:t>
      </w:r>
    </w:p>
    <w:p>
      <w:pPr>
        <w:pStyle w:val="ListParagraph"/>
        <w:numPr>
          <w:ilvl w:val="0"/>
          <w:numId w:val="2"/>
        </w:numPr>
        <w:spacing w:after="60" w:line="264"/>
      </w:pPr>
      <w:r>
        <w:rPr>
          <w:rFonts w:ascii="Century Gothic" w:cs="Century Gothic" w:eastAsia="Century Gothic" w:hAnsi="Century Gothic"/>
          <w:b/>
          <w:bCs/>
          <w:color w:val="1A1F1D"/>
        </w:rPr>
        <w:t xml:space="preserve">RFP5 · </w:t>
      </w:r>
      <w:r>
        <w:rPr>
          <w:rFonts w:ascii="Century Gothic" w:cs="Century Gothic" w:eastAsia="Century Gothic" w:hAnsi="Century Gothic"/>
          <w:color w:val="1A1F1D"/>
        </w:rPr>
        <w:t xml:space="preserve">The Friday book club takes place each week (Years 3–6).</w:t>
      </w:r>
    </w:p>
    <w:p>
      <w:pPr>
        <w:pStyle w:val="ListParagraph"/>
        <w:numPr>
          <w:ilvl w:val="0"/>
          <w:numId w:val="2"/>
        </w:numPr>
        <w:spacing w:after="60" w:line="264"/>
      </w:pPr>
      <w:r>
        <w:rPr>
          <w:rFonts w:ascii="Century Gothic" w:cs="Century Gothic" w:eastAsia="Century Gothic" w:hAnsi="Century Gothic"/>
          <w:b/>
          <w:bCs/>
          <w:color w:val="1A1F1D"/>
        </w:rPr>
        <w:t xml:space="preserve">RFP6 · </w:t>
      </w:r>
      <w:r>
        <w:rPr>
          <w:rFonts w:ascii="Century Gothic" w:cs="Century Gothic" w:eastAsia="Century Gothic" w:hAnsi="Century Gothic"/>
          <w:color w:val="1A1F1D"/>
        </w:rPr>
        <w:t xml:space="preserve">The timetabled library slot is used effectively.</w:t>
      </w:r>
    </w:p>
    <w:p>
      <w:pPr>
        <w:pStyle w:val="ListParagraph"/>
        <w:numPr>
          <w:ilvl w:val="0"/>
          <w:numId w:val="2"/>
        </w:numPr>
        <w:spacing w:after="60" w:line="264"/>
      </w:pPr>
      <w:r>
        <w:rPr>
          <w:rFonts w:ascii="Century Gothic" w:cs="Century Gothic" w:eastAsia="Century Gothic" w:hAnsi="Century Gothic"/>
          <w:b/>
          <w:bCs/>
          <w:color w:val="1A1F1D"/>
        </w:rPr>
        <w:t xml:space="preserve">RFP7 · </w:t>
      </w:r>
      <w:r>
        <w:rPr>
          <w:rFonts w:ascii="Century Gothic" w:cs="Century Gothic" w:eastAsia="Century Gothic" w:hAnsi="Century Gothic"/>
          <w:color w:val="1A1F1D"/>
        </w:rPr>
        <w:t xml:space="preserve">There is clear evidence of pupils developing a love of reading.</w:t>
      </w:r>
    </w:p>
    <w:p>
      <w:pPr>
        <w:spacing w:after="120" w:line="276"/>
      </w:pPr>
      <w:r>
        <w:rPr>
          <w:rFonts w:ascii="Century Gothic" w:cs="Century Gothic" w:eastAsia="Century Gothic" w:hAnsi="Century Gothic"/>
          <w:color w:val="1A1F1D"/>
        </w:rPr>
        <w:t xml:space="preserve">Most of these are the visible scaffolding of a reading culture (RFP2–RFP6); the one that matters most is the last (RFP7), the love of reading those practices are there to grow. Reading aloud, well and often, is the single most powerful of them.</w:t>
      </w:r>
    </w:p>
    <w:p>
      <w:pPr>
        <w:pStyle w:val="Heading1"/>
        <w:pageBreakBefore/>
        <w:spacing w:after="120" w:before="0"/>
      </w:pPr>
      <w:r>
        <w:rPr>
          <w:rFonts w:ascii="Century Gothic" w:cs="Century Gothic" w:eastAsia="Century Gothic" w:hAnsi="Century Gothic"/>
          <w:b/>
          <w:bCs/>
          <w:color w:val="14322D"/>
          <w:sz w:val="30"/>
          <w:szCs w:val="30"/>
        </w:rPr>
        <w:t xml:space="preserve">Your standards, this term</w:t>
      </w:r>
    </w:p>
    <w:p>
      <w:pPr>
        <w:spacing w:after="120" w:line="276"/>
      </w:pPr>
      <w:r>
        <w:rPr>
          <w:rFonts w:ascii="Century Gothic" w:cs="Century Gothic" w:eastAsia="Century Gothic" w:hAnsi="Century Gothic"/>
          <w:color w:val="1A1F1D"/>
        </w:rPr>
        <w:t xml:space="preserve">Standards are held one book, one lesson, one read‑aloud at a time. Use the space below to plan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non-negotiable</w:t>
            </w:r>
          </w:p>
          <w:p>
            <w:pPr>
              <w:spacing w:after="120" w:line="276"/>
            </w:pPr>
            <w:r>
              <w:rPr>
                <w:rFonts w:ascii="Century Gothic" w:cs="Century Gothic" w:eastAsia="Century Gothic" w:hAnsi="Century Gothic"/>
                <w:color w:val="1A1F1D"/>
              </w:rPr>
              <w:t xml:space="preserve">Name the single presentation or standard expectation (from BL or CD10) that your classes most need to meet consistently, and how you will teach and hold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read-aloud</w:t>
            </w:r>
          </w:p>
          <w:p>
            <w:pPr>
              <w:spacing w:after="120" w:line="276"/>
            </w:pPr>
            <w:r>
              <w:rPr>
                <w:rFonts w:ascii="Century Gothic" w:cs="Century Gothic" w:eastAsia="Century Gothic" w:hAnsi="Century Gothic"/>
                <w:color w:val="1A1F1D"/>
              </w:rPr>
              <w:t xml:space="preserve">Plan how you will build reading aloud (RFP1) into the coming half‑term. What will you read, and when, so that pupils hear a fluent reader regularly?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Pillar 6 modules online cover curriculum delivery, the book look, and reading for pleasure in full — with worked examples and the AI scenario tester for each.</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 CD, BL and RFP checklists let you hold yourself, and a year group, to a coherent curriculum, a shared book standard, and a real reading culture.</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A curriculum is what pupils learn and in what order; their books record it, and reading sustains it. Standards are not bureaucracy, but the expectations we hold of every pupil.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6 · Standards &amp;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2026-06-17T09:23:24.259Z</dcterms:created>
  <dcterms:modified xsi:type="dcterms:W3CDTF">2026-06-17T09:23:24.259Z</dcterms:modified>
</cp:coreProperties>
</file>

<file path=docProps/custom.xml><?xml version="1.0" encoding="utf-8"?>
<Properties xmlns="http://schemas.openxmlformats.org/officeDocument/2006/custom-properties" xmlns:vt="http://schemas.openxmlformats.org/officeDocument/2006/docPropsVTypes"/>
</file>