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drawing>
          <wp:inline distT="0" distB="0" distL="0" distR="0">
            <wp:extent cx="14287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238250"/>
                    </a:xfrm>
                    <a:prstGeom prst="rect">
                      <a:avLst/>
                    </a:prstGeom>
                  </pic:spPr>
                </pic:pic>
              </a:graphicData>
            </a:graphic>
          </wp:inline>
        </w:drawing>
      </w:r>
    </w:p>
    <w:p>
      <w:pPr>
        <w:spacing w:after="0" w:before="0"/>
      </w:pPr>
      <w:r>
        <w:rPr>
          <w:rFonts w:ascii="Century Gothic" w:cs="Century Gothic" w:eastAsia="Century Gothic" w:hAnsi="Century Gothic"/>
          <w:b/>
          <w:bCs/>
          <w:caps/>
          <w:color w:val="3F9488"/>
          <w:sz w:val="24"/>
          <w:szCs w:val="24"/>
        </w:rPr>
        <w:t xml:space="preserve">TEACHING EXCELLENCE PROGRAMME</w:t>
      </w:r>
    </w:p>
    <w:p>
      <w:pPr>
        <w:spacing w:after="40"/>
      </w:pPr>
      <w:r>
        <w:rPr>
          <w:rFonts w:ascii="Century Gothic" w:cs="Century Gothic" w:eastAsia="Century Gothic" w:hAnsi="Century Gothic"/>
          <w:color w:val="555F5A"/>
          <w:sz w:val="18"/>
          <w:szCs w:val="18"/>
        </w:rPr>
        <w:t xml:space="preserve">A professional development programme developed by Nishkam Schools</w:t>
      </w:r>
    </w:p>
    <w:p>
      <w:pPr>
        <w:pBdr>
          <w:bottom w:val="single" w:color="B07D2B" w:sz="12" w:space="6"/>
        </w:pBdr>
      </w:pPr>
      <w:r>
        <w:rPr>
          <w:rFonts w:ascii="Century Gothic" w:cs="Century Gothic" w:eastAsia="Century Gothic" w:hAnsi="Century Gothic"/>
          <w:color w:val="1A1F1D"/>
        </w:rPr>
        <w:t xml:space="preserve"/>
      </w:r>
    </w:p>
    <w:p>
      <w:pPr>
        <w:spacing w:after="260"/>
      </w:pPr>
      <w:r>
        <w:rPr>
          <w:rFonts w:ascii="Century Gothic" w:cs="Century Gothic" w:eastAsia="Century Gothic" w:hAnsi="Century Gothic"/>
          <w:color w:val="1A1F1D"/>
        </w:rPr>
        <w:t xml:space="preserve"/>
      </w:r>
    </w:p>
    <w:p>
      <w:pPr>
        <w:spacing w:after="0"/>
      </w:pPr>
      <w:r>
        <w:rPr>
          <w:rFonts w:ascii="Century Gothic" w:cs="Century Gothic" w:eastAsia="Century Gothic" w:hAnsi="Century Gothic"/>
          <w:b/>
          <w:bCs/>
          <w:color w:val="B07D2B"/>
          <w:sz w:val="26"/>
          <w:szCs w:val="26"/>
        </w:rPr>
        <w:t xml:space="preserve">PILLAR 1</w:t>
      </w:r>
    </w:p>
    <w:p>
      <w:pPr>
        <w:spacing w:after="60"/>
      </w:pPr>
      <w:r>
        <w:rPr>
          <w:rFonts w:ascii="Century Gothic" w:cs="Century Gothic" w:eastAsia="Century Gothic" w:hAnsi="Century Gothic"/>
          <w:b/>
          <w:bCs/>
          <w:color w:val="14322D"/>
          <w:sz w:val="64"/>
          <w:szCs w:val="64"/>
        </w:rPr>
        <w:t xml:space="preserve">Behaviour &amp; Climate</w:t>
      </w:r>
    </w:p>
    <w:p>
      <w:pPr>
        <w:spacing w:after="300"/>
      </w:pPr>
      <w:r>
        <w:rPr>
          <w:rFonts w:ascii="Century Gothic" w:cs="Century Gothic" w:eastAsia="Century Gothic" w:hAnsi="Century Gothic"/>
          <w:color w:val="1A1F1D"/>
          <w:sz w:val="36"/>
          <w:szCs w:val="36"/>
        </w:rPr>
        <w:t xml:space="preserve">Routines for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r>
              <w:rPr>
                <w:rFonts w:ascii="Century Gothic" w:cs="Century Gothic" w:eastAsia="Century Gothic" w:hAnsi="Century Gothic"/>
                <w:i/>
                <w:iCs/>
                <w:color w:val="14322D"/>
                <w:sz w:val="26"/>
                <w:szCs w:val="26"/>
              </w:rPr>
              <w:t xml:space="preserve">“Attention is the currency of the classroom.”</w:t>
            </w:r>
          </w:p>
          <w:p>
            <w:pPr>
              <w:spacing w:before="40"/>
            </w:pPr>
            <w:r>
              <w:rPr>
                <w:rFonts w:ascii="Century Gothic" w:cs="Century Gothic" w:eastAsia="Century Gothic" w:hAnsi="Century Gothic"/>
                <w:color w:val="555F5A"/>
                <w:sz w:val="20"/>
                <w:szCs w:val="20"/>
              </w:rPr>
              <w:t xml:space="preserve">Doug Lemov</w:t>
            </w:r>
          </w:p>
        </w:tc>
      </w:tr>
    </w:tbl>
    <w:p>
      <w:pPr>
        <w:spacing w:after="30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Work through this booklet </w:t>
      </w:r>
      <w:r>
        <w:rPr>
          <w:rFonts w:ascii="Century Gothic" w:cs="Century Gothic" w:eastAsia="Century Gothic" w:hAnsi="Century Gothic"/>
          <w:b/>
          <w:bCs/>
          <w:color w:val="1A1F1D"/>
        </w:rPr>
        <w:t xml:space="preserve">on your own</w:t>
      </w:r>
      <w:r>
        <w:rPr>
          <w:rFonts w:ascii="Century Gothic" w:cs="Century Gothic" w:eastAsia="Century Gothic" w:hAnsi="Century Gothic"/>
          <w:color w:val="1A1F1D"/>
        </w:rPr>
        <w:t xml:space="preserve">, in a </w:t>
      </w:r>
      <w:r>
        <w:rPr>
          <w:rFonts w:ascii="Century Gothic" w:cs="Century Gothic" w:eastAsia="Century Gothic" w:hAnsi="Century Gothic"/>
          <w:b/>
          <w:bCs/>
          <w:color w:val="1A1F1D"/>
        </w:rPr>
        <w:t xml:space="preserve">coaching group of three or four</w:t>
      </w:r>
      <w:r>
        <w:rPr>
          <w:rFonts w:ascii="Century Gothic" w:cs="Century Gothic" w:eastAsia="Century Gothic" w:hAnsi="Century Gothic"/>
          <w:color w:val="1A1F1D"/>
        </w:rPr>
        <w:t xml:space="preserve">, or as a </w:t>
      </w:r>
      <w:r>
        <w:rPr>
          <w:rFonts w:ascii="Century Gothic" w:cs="Century Gothic" w:eastAsia="Century Gothic" w:hAnsi="Century Gothic"/>
          <w:b/>
          <w:bCs/>
          <w:color w:val="1A1F1D"/>
        </w:rPr>
        <w:t xml:space="preserve">subject team</w:t>
      </w:r>
      <w:r>
        <w:rPr>
          <w:rFonts w:ascii="Century Gothic" w:cs="Century Gothic" w:eastAsia="Century Gothic" w:hAnsi="Century Gothic"/>
          <w:color w:val="1A1F1D"/>
        </w:rPr>
        <w:t xml:space="preserve">. It is designed to be used alongside the session that accompanies it, and the self‑guided pages online.</w:t>
      </w:r>
    </w:p>
    <w:p>
      <w:pPr>
        <w:spacing w:after="1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sz w:val="24"/>
          <w:szCs w:val="24"/>
        </w:rPr>
        <w:t xml:space="preserve">Name: </w:t>
      </w:r>
      <w:r>
        <w:rPr>
          <w:rFonts w:ascii="Century Gothic" w:cs="Century Gothic" w:eastAsia="Century Gothic" w:hAnsi="Century Gothic"/>
          <w:color w:val="1A1F1D"/>
          <w:u w:val="single"/>
        </w:rPr>
        <w:t xml:space="preserve">              </w:t>
      </w:r>
    </w:p>
    <w:p>
      <w:pPr>
        <w:pStyle w:val="Heading1"/>
        <w:pageBreakBefore/>
        <w:spacing w:after="120" w:before="0"/>
      </w:pPr>
      <w:r>
        <w:rPr>
          <w:rFonts w:ascii="Century Gothic" w:cs="Century Gothic" w:eastAsia="Century Gothic" w:hAnsi="Century Gothic"/>
          <w:b/>
          <w:bCs/>
          <w:color w:val="14322D"/>
          <w:sz w:val="30"/>
          <w:szCs w:val="30"/>
        </w:rPr>
        <w:t xml:space="preserve">In this booklet</w:t>
      </w:r>
    </w:p>
    <w:p>
      <w:pPr>
        <w:spacing w:after="120" w:line="276"/>
      </w:pPr>
      <w:r>
        <w:rPr>
          <w:rFonts w:ascii="Century Gothic" w:cs="Century Gothic" w:eastAsia="Century Gothic" w:hAnsi="Century Gothic"/>
          <w:color w:val="1A1F1D"/>
          <w:sz w:val="24"/>
          <w:szCs w:val="24"/>
        </w:rPr>
        <w:t xml:space="preserve">1 · Purpose and shared practice</w:t>
      </w:r>
    </w:p>
    <w:p>
      <w:pPr>
        <w:spacing w:after="120" w:line="276"/>
      </w:pPr>
      <w:r>
        <w:rPr>
          <w:rFonts w:ascii="Century Gothic" w:cs="Century Gothic" w:eastAsia="Century Gothic" w:hAnsi="Century Gothic"/>
          <w:color w:val="1A1F1D"/>
          <w:sz w:val="24"/>
          <w:szCs w:val="24"/>
        </w:rPr>
        <w:t xml:space="preserve">2 · The foundations of behaviour for learning</w:t>
      </w:r>
    </w:p>
    <w:p>
      <w:pPr>
        <w:spacing w:after="120" w:line="276"/>
      </w:pPr>
      <w:r>
        <w:rPr>
          <w:rFonts w:ascii="Century Gothic" w:cs="Century Gothic" w:eastAsia="Century Gothic" w:hAnsi="Century Gothic"/>
          <w:color w:val="1A1F1D"/>
          <w:sz w:val="24"/>
          <w:szCs w:val="24"/>
        </w:rPr>
        <w:t xml:space="preserve">3 · High expectations in action</w:t>
      </w:r>
    </w:p>
    <w:p>
      <w:pPr>
        <w:spacing w:after="120" w:line="276"/>
      </w:pPr>
      <w:r>
        <w:rPr>
          <w:rFonts w:ascii="Century Gothic" w:cs="Century Gothic" w:eastAsia="Century Gothic" w:hAnsi="Century Gothic"/>
          <w:color w:val="1A1F1D"/>
          <w:sz w:val="24"/>
          <w:szCs w:val="24"/>
        </w:rPr>
        <w:t xml:space="preserve">4 · Core routines for classroom culture — the attention reset and the BfL checklist</w:t>
      </w:r>
    </w:p>
    <w:p>
      <w:pPr>
        <w:spacing w:after="120" w:line="276"/>
      </w:pPr>
      <w:r>
        <w:rPr>
          <w:rFonts w:ascii="Century Gothic" w:cs="Century Gothic" w:eastAsia="Century Gothic" w:hAnsi="Century Gothic"/>
          <w:color w:val="1A1F1D"/>
          <w:sz w:val="24"/>
          <w:szCs w:val="24"/>
        </w:rPr>
        <w:t xml:space="preserve">5 · Inclusion and adaptive practice</w:t>
      </w:r>
    </w:p>
    <w:p>
      <w:pPr>
        <w:spacing w:after="120" w:line="276"/>
      </w:pPr>
      <w:r>
        <w:rPr>
          <w:rFonts w:ascii="Century Gothic" w:cs="Century Gothic" w:eastAsia="Century Gothic" w:hAnsi="Century Gothic"/>
          <w:color w:val="1A1F1D"/>
          <w:sz w:val="24"/>
          <w:szCs w:val="24"/>
        </w:rPr>
        <w:t xml:space="preserve">6 · Practical routines and team planning</w:t>
      </w:r>
    </w:p>
    <w:p>
      <w:pPr>
        <w:spacing w:after="8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How to use this booklet</w:t>
      </w:r>
    </w:p>
    <w:p>
      <w:pPr>
        <w:spacing w:after="120" w:line="276"/>
      </w:pPr>
      <w:r>
        <w:rPr>
          <w:rFonts w:ascii="Century Gothic" w:cs="Century Gothic" w:eastAsia="Century Gothic" w:hAnsi="Century Gothic"/>
          <w:color w:val="1A1F1D"/>
        </w:rPr>
        <w:t xml:space="preserve">This is one of six booklets in the programme, each building expertise in a different area of classroom practice. It is a starting point, not the finish line: pair it with video footage of your own teaching, with coaching and deliberate practice, and with the checklists that sit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Three ways to work</w:t>
            </w:r>
          </w:p>
          <w:p>
            <w:pPr>
              <w:pStyle w:val="ListParagraph"/>
              <w:numPr>
                <w:ilvl w:val="0"/>
                <w:numId w:val="2"/>
              </w:numPr>
              <w:spacing w:after="60" w:line="264"/>
            </w:pPr>
            <w:r>
              <w:rPr>
                <w:rFonts w:ascii="Century Gothic" w:cs="Century Gothic" w:eastAsia="Century Gothic" w:hAnsi="Century Gothic"/>
                <w:b/>
                <w:bCs/>
                <w:color w:val="1A1F1D"/>
              </w:rPr>
              <w:t xml:space="preserve">On your own. </w:t>
            </w:r>
            <w:r>
              <w:rPr>
                <w:rFonts w:ascii="Century Gothic" w:cs="Century Gothic" w:eastAsia="Century Gothic" w:hAnsi="Century Gothic"/>
                <w:color w:val="1A1F1D"/>
              </w:rPr>
              <w:t xml:space="preserve">Read, audit your current practice, and complete the independent tasks.</w:t>
            </w:r>
          </w:p>
          <w:p>
            <w:pPr>
              <w:pStyle w:val="ListParagraph"/>
              <w:numPr>
                <w:ilvl w:val="0"/>
                <w:numId w:val="2"/>
              </w:numPr>
              <w:spacing w:after="60" w:line="264"/>
            </w:pPr>
            <w:r>
              <w:rPr>
                <w:rFonts w:ascii="Century Gothic" w:cs="Century Gothic" w:eastAsia="Century Gothic" w:hAnsi="Century Gothic"/>
                <w:b/>
                <w:bCs/>
                <w:color w:val="1A1F1D"/>
              </w:rPr>
              <w:t xml:space="preserve">In a coaching group. </w:t>
            </w:r>
            <w:r>
              <w:rPr>
                <w:rFonts w:ascii="Century Gothic" w:cs="Century Gothic" w:eastAsia="Century Gothic" w:hAnsi="Century Gothic"/>
                <w:color w:val="1A1F1D"/>
              </w:rPr>
              <w:t xml:space="preserve">Three or four colleagues rehearse the routines, observe, and coach one another.</w:t>
            </w:r>
          </w:p>
          <w:p>
            <w:pPr>
              <w:pStyle w:val="ListParagraph"/>
              <w:numPr>
                <w:ilvl w:val="0"/>
                <w:numId w:val="2"/>
              </w:numPr>
              <w:spacing w:after="60" w:line="264"/>
            </w:pPr>
            <w:r>
              <w:rPr>
                <w:rFonts w:ascii="Century Gothic" w:cs="Century Gothic" w:eastAsia="Century Gothic" w:hAnsi="Century Gothic"/>
                <w:b/>
                <w:bCs/>
                <w:color w:val="1A1F1D"/>
              </w:rPr>
              <w:t xml:space="preserve">As a subject team. </w:t>
            </w:r>
            <w:r>
              <w:rPr>
                <w:rFonts w:ascii="Century Gothic" w:cs="Century Gothic" w:eastAsia="Century Gothic" w:hAnsi="Century Gothic"/>
                <w:color w:val="1A1F1D"/>
              </w:rPr>
              <w:t xml:space="preserve">Adapt each routine to your subject and agree what ‘water‑tight’ looks like for you.</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This programme is faith‑inspired and virtues‑led, and the routines below are anchored in the virtues of </w:t>
            </w:r>
            <w:r>
              <w:rPr>
                <w:rFonts w:ascii="Century Gothic" w:cs="Century Gothic" w:eastAsia="Century Gothic" w:hAnsi="Century Gothic"/>
                <w:b/>
                <w:bCs/>
                <w:color w:val="1A1F1D"/>
              </w:rPr>
              <w:t xml:space="preserve">Peacefulness, Diligence and Determination</w:t>
            </w:r>
            <w:r>
              <w:rPr>
                <w:rFonts w:ascii="Century Gothic" w:cs="Century Gothic" w:eastAsia="Century Gothic" w:hAnsi="Century Gothic"/>
                <w:color w:val="1A1F1D"/>
              </w:rPr>
              <w:t xml:space="preserve">. Throughout, boxes like this one show the Nishkam version of a practice. Everything else is written to be lifted straight into any classroom — keep the routine, give it the language that fits your setting.</w:t>
            </w:r>
          </w:p>
        </w:tc>
      </w:tr>
    </w:tbl>
    <w:p>
      <w:pPr>
        <w:pStyle w:val="Heading1"/>
        <w:pageBreakBefore/>
        <w:spacing w:after="120" w:before="0"/>
      </w:pPr>
      <w:r>
        <w:rPr>
          <w:rFonts w:ascii="Century Gothic" w:cs="Century Gothic" w:eastAsia="Century Gothic" w:hAnsi="Century Gothic"/>
          <w:b/>
          <w:bCs/>
          <w:color w:val="14322D"/>
          <w:sz w:val="30"/>
          <w:szCs w:val="30"/>
        </w:rPr>
        <w:t xml:space="preserve">1 · Purpose and shared practice</w:t>
      </w:r>
    </w:p>
    <w:p>
      <w:pPr>
        <w:pStyle w:val="Heading2"/>
        <w:spacing w:after="80" w:before="240"/>
      </w:pPr>
      <w:r>
        <w:rPr>
          <w:rFonts w:ascii="Century Gothic" w:cs="Century Gothic" w:eastAsia="Century Gothic" w:hAnsi="Century Gothic"/>
          <w:b/>
          <w:bCs/>
          <w:color w:val="14322D"/>
          <w:sz w:val="24"/>
          <w:szCs w:val="24"/>
        </w:rPr>
        <w:t xml:space="preserve">What this pillar is for</w:t>
      </w:r>
    </w:p>
    <w:p>
      <w:pPr>
        <w:pStyle w:val="ListParagraph"/>
        <w:numPr>
          <w:ilvl w:val="0"/>
          <w:numId w:val="2"/>
        </w:numPr>
        <w:spacing w:after="60" w:line="264"/>
      </w:pPr>
      <w:r>
        <w:rPr>
          <w:rFonts w:ascii="Century Gothic" w:cs="Century Gothic" w:eastAsia="Century Gothic" w:hAnsi="Century Gothic"/>
          <w:color w:val="1A1F1D"/>
        </w:rPr>
        <w:t xml:space="preserve">To embed consistent, effective routines that improve behaviour for learning and reduce cognitive load.</w:t>
      </w:r>
    </w:p>
    <w:p>
      <w:pPr>
        <w:pStyle w:val="ListParagraph"/>
        <w:numPr>
          <w:ilvl w:val="0"/>
          <w:numId w:val="2"/>
        </w:numPr>
        <w:spacing w:after="60" w:line="264"/>
      </w:pPr>
      <w:r>
        <w:rPr>
          <w:rFonts w:ascii="Century Gothic" w:cs="Century Gothic" w:eastAsia="Century Gothic" w:hAnsi="Century Gothic"/>
          <w:color w:val="1A1F1D"/>
        </w:rPr>
        <w:t xml:space="preserve">To rehearse high‑leverage strategies that create a calm, purposeful, inclusive room.</w:t>
      </w:r>
    </w:p>
    <w:p>
      <w:pPr>
        <w:pStyle w:val="ListParagraph"/>
        <w:numPr>
          <w:ilvl w:val="0"/>
          <w:numId w:val="2"/>
        </w:numPr>
        <w:spacing w:after="60" w:line="264"/>
      </w:pPr>
      <w:r>
        <w:rPr>
          <w:rFonts w:ascii="Century Gothic" w:cs="Century Gothic" w:eastAsia="Century Gothic" w:hAnsi="Century Gothic"/>
          <w:color w:val="1A1F1D"/>
        </w:rPr>
        <w:t xml:space="preserve">To build a shared language and approach across a school, so pupils meet the same clarity and high expectations in every classroom.</w:t>
      </w:r>
    </w:p>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Effective behaviour management is possible in every classroom. It is not a matter of personality, charisma or status. </w:t>
      </w:r>
      <w:r>
        <w:rPr>
          <w:rFonts w:ascii="Century Gothic" w:cs="Century Gothic" w:eastAsia="Century Gothic" w:hAnsi="Century Gothic"/>
          <w:b/>
          <w:bCs/>
          <w:color w:val="1A1F1D"/>
        </w:rPr>
        <w:t xml:space="preserve">It is built from clear, replicable routines</w:t>
      </w:r>
      <w:r>
        <w:rPr>
          <w:rFonts w:ascii="Century Gothic" w:cs="Century Gothic" w:eastAsia="Century Gothic" w:hAnsi="Century Gothic"/>
          <w:color w:val="1A1F1D"/>
        </w:rPr>
        <w:t xml:space="preserve"> — taught, practised and reinforced until they become habit.</w:t>
      </w:r>
    </w:p>
    <w:p>
      <w:pPr>
        <w:spacing w:after="4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What strong everyday practice looks like</w:t>
      </w:r>
    </w:p>
    <w:p>
      <w:pPr>
        <w:spacing w:after="120" w:line="276"/>
      </w:pPr>
      <w:r>
        <w:rPr>
          <w:rFonts w:ascii="Century Gothic" w:cs="Century Gothic" w:eastAsia="Century Gothic" w:hAnsi="Century Gothic"/>
          <w:color w:val="1A1F1D"/>
        </w:rPr>
        <w:t xml:space="preserve">A useful starting audit. In classrooms where every minute matters, the teacher tends to:</w:t>
      </w:r>
    </w:p>
    <w:p>
      <w:pPr>
        <w:pStyle w:val="ListParagraph"/>
        <w:numPr>
          <w:ilvl w:val="0"/>
          <w:numId w:val="2"/>
        </w:numPr>
        <w:spacing w:after="60" w:line="264"/>
      </w:pPr>
      <w:r>
        <w:rPr>
          <w:rFonts w:ascii="Century Gothic" w:cs="Century Gothic" w:eastAsia="Century Gothic" w:hAnsi="Century Gothic"/>
          <w:color w:val="1A1F1D"/>
        </w:rPr>
        <w:t xml:space="preserve">run well‑practised routines at the start and end of every lesson;</w:t>
      </w:r>
    </w:p>
    <w:p>
      <w:pPr>
        <w:pStyle w:val="ListParagraph"/>
        <w:numPr>
          <w:ilvl w:val="0"/>
          <w:numId w:val="2"/>
        </w:numPr>
        <w:spacing w:after="60" w:line="264"/>
      </w:pPr>
      <w:r>
        <w:rPr>
          <w:rFonts w:ascii="Century Gothic" w:cs="Century Gothic" w:eastAsia="Century Gothic" w:hAnsi="Century Gothic"/>
          <w:color w:val="1A1F1D"/>
        </w:rPr>
        <w:t xml:space="preserve">have a worthwhile ‘do now’ task ready before pupils arrive;</w:t>
      </w:r>
    </w:p>
    <w:p>
      <w:pPr>
        <w:pStyle w:val="ListParagraph"/>
        <w:numPr>
          <w:ilvl w:val="0"/>
          <w:numId w:val="2"/>
        </w:numPr>
        <w:spacing w:after="60" w:line="264"/>
      </w:pPr>
      <w:r>
        <w:rPr>
          <w:rFonts w:ascii="Century Gothic" w:cs="Century Gothic" w:eastAsia="Century Gothic" w:hAnsi="Century Gothic"/>
          <w:color w:val="1A1F1D"/>
        </w:rPr>
        <w:t xml:space="preserve">give succinct, direct instructions — no more than three steps at a time;</w:t>
      </w:r>
    </w:p>
    <w:p>
      <w:pPr>
        <w:pStyle w:val="ListParagraph"/>
        <w:numPr>
          <w:ilvl w:val="0"/>
          <w:numId w:val="2"/>
        </w:numPr>
        <w:spacing w:after="60" w:line="264"/>
      </w:pPr>
      <w:r>
        <w:rPr>
          <w:rFonts w:ascii="Century Gothic" w:cs="Century Gothic" w:eastAsia="Century Gothic" w:hAnsi="Century Gothic"/>
          <w:color w:val="1A1F1D"/>
        </w:rPr>
        <w:t xml:space="preserve">use a single, trained attention cue to mean ‘pens down, eyes on me’;</w:t>
      </w:r>
    </w:p>
    <w:p>
      <w:pPr>
        <w:pStyle w:val="ListParagraph"/>
        <w:numPr>
          <w:ilvl w:val="0"/>
          <w:numId w:val="2"/>
        </w:numPr>
        <w:spacing w:after="60" w:line="264"/>
      </w:pPr>
      <w:r>
        <w:rPr>
          <w:rFonts w:ascii="Century Gothic" w:cs="Century Gothic" w:eastAsia="Century Gothic" w:hAnsi="Century Gothic"/>
          <w:color w:val="1A1F1D"/>
        </w:rPr>
        <w:t xml:space="preserve">use short turn‑and‑talk moments to keep thinking active;</w:t>
      </w:r>
    </w:p>
    <w:p>
      <w:pPr>
        <w:pStyle w:val="ListParagraph"/>
        <w:numPr>
          <w:ilvl w:val="0"/>
          <w:numId w:val="2"/>
        </w:numPr>
        <w:spacing w:after="60" w:line="264"/>
      </w:pPr>
      <w:r>
        <w:rPr>
          <w:rFonts w:ascii="Century Gothic" w:cs="Century Gothic" w:eastAsia="Century Gothic" w:hAnsi="Century Gothic"/>
          <w:color w:val="1A1F1D"/>
        </w:rPr>
        <w:t xml:space="preserve">check for understanding regularly, often with mini‑whiteboards;</w:t>
      </w:r>
    </w:p>
    <w:p>
      <w:pPr>
        <w:pStyle w:val="ListParagraph"/>
        <w:numPr>
          <w:ilvl w:val="0"/>
          <w:numId w:val="2"/>
        </w:numPr>
        <w:spacing w:after="60" w:line="264"/>
      </w:pPr>
      <w:r>
        <w:rPr>
          <w:rFonts w:ascii="Century Gothic" w:cs="Century Gothic" w:eastAsia="Century Gothic" w:hAnsi="Century Gothic"/>
          <w:color w:val="1A1F1D"/>
        </w:rPr>
        <w:t xml:space="preserve">model under a visualiser using ‘I do, we do, you do’;</w:t>
      </w:r>
    </w:p>
    <w:p>
      <w:pPr>
        <w:pStyle w:val="ListParagraph"/>
        <w:numPr>
          <w:ilvl w:val="0"/>
          <w:numId w:val="2"/>
        </w:numPr>
        <w:spacing w:after="60" w:line="264"/>
      </w:pPr>
      <w:r>
        <w:rPr>
          <w:rFonts w:ascii="Century Gothic" w:cs="Century Gothic" w:eastAsia="Century Gothic" w:hAnsi="Century Gothic"/>
          <w:color w:val="1A1F1D"/>
        </w:rPr>
        <w:t xml:space="preserve">teach from a strong, settled position in the room;</w:t>
      </w:r>
    </w:p>
    <w:p>
      <w:pPr>
        <w:pStyle w:val="ListParagraph"/>
        <w:numPr>
          <w:ilvl w:val="0"/>
          <w:numId w:val="2"/>
        </w:numPr>
        <w:spacing w:after="60" w:line="264"/>
      </w:pPr>
      <w:r>
        <w:rPr>
          <w:rFonts w:ascii="Century Gothic" w:cs="Century Gothic" w:eastAsia="Century Gothic" w:hAnsi="Century Gothic"/>
          <w:color w:val="1A1F1D"/>
        </w:rPr>
        <w:t xml:space="preserve">cold call to secure attention and full participation;</w:t>
      </w:r>
    </w:p>
    <w:p>
      <w:pPr>
        <w:pStyle w:val="ListParagraph"/>
        <w:numPr>
          <w:ilvl w:val="0"/>
          <w:numId w:val="2"/>
        </w:numPr>
        <w:spacing w:after="60" w:line="264"/>
      </w:pPr>
      <w:r>
        <w:rPr>
          <w:rFonts w:ascii="Century Gothic" w:cs="Century Gothic" w:eastAsia="Century Gothic" w:hAnsi="Century Gothic"/>
          <w:color w:val="1A1F1D"/>
        </w:rPr>
        <w:t xml:space="preserve">circulate purposefully, checking for progress and misconceptions;</w:t>
      </w:r>
    </w:p>
    <w:p>
      <w:pPr>
        <w:pStyle w:val="ListParagraph"/>
        <w:numPr>
          <w:ilvl w:val="0"/>
          <w:numId w:val="2"/>
        </w:numPr>
        <w:spacing w:after="60" w:line="264"/>
      </w:pPr>
      <w:r>
        <w:rPr>
          <w:rFonts w:ascii="Century Gothic" w:cs="Century Gothic" w:eastAsia="Century Gothic" w:hAnsi="Century Gothic"/>
          <w:color w:val="1A1F1D"/>
        </w:rPr>
        <w:t xml:space="preserve">manage behaviour through reliable, consistent rewards and sanctions;</w:t>
      </w:r>
    </w:p>
    <w:p>
      <w:pPr>
        <w:pStyle w:val="ListParagraph"/>
        <w:numPr>
          <w:ilvl w:val="0"/>
          <w:numId w:val="2"/>
        </w:numPr>
        <w:spacing w:after="60" w:line="264"/>
      </w:pPr>
      <w:r>
        <w:rPr>
          <w:rFonts w:ascii="Century Gothic" w:cs="Century Gothic" w:eastAsia="Century Gothic" w:hAnsi="Century Gothic"/>
          <w:color w:val="1A1F1D"/>
        </w:rPr>
        <w:t xml:space="preserve">use seating plans and keep to them;</w:t>
      </w:r>
    </w:p>
    <w:p>
      <w:pPr>
        <w:pStyle w:val="ListParagraph"/>
        <w:numPr>
          <w:ilvl w:val="0"/>
          <w:numId w:val="2"/>
        </w:numPr>
        <w:spacing w:after="60" w:line="264"/>
      </w:pPr>
      <w:r>
        <w:rPr>
          <w:rFonts w:ascii="Century Gothic" w:cs="Century Gothic" w:eastAsia="Century Gothic" w:hAnsi="Century Gothic"/>
          <w:color w:val="1A1F1D"/>
        </w:rPr>
        <w:t xml:space="preserve">hold high, visible standards for presentation and effort.</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Our attention cue is the virtue word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 meaning ‘pens down, arms folded, eyes on me’ — used alongside ‘Peacefulness’ to settle the room and ‘Determination’ to begin work with purpose. The principle is what travels: choose </w:t>
            </w:r>
            <w:r>
              <w:rPr>
                <w:rFonts w:ascii="Century Gothic" w:cs="Century Gothic" w:eastAsia="Century Gothic" w:hAnsi="Century Gothic"/>
                <w:i/>
                <w:iCs/>
                <w:color w:val="1A1F1D"/>
              </w:rPr>
              <w:t xml:space="preserve">one</w:t>
            </w:r>
            <w:r>
              <w:rPr>
                <w:rFonts w:ascii="Century Gothic" w:cs="Century Gothic" w:eastAsia="Century Gothic" w:hAnsi="Century Gothic"/>
                <w:color w:val="1A1F1D"/>
              </w:rPr>
              <w:t xml:space="preserve"> word your whole school will use, teach it explicitly, and use it the same way every time.</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Independent task</w:t>
            </w:r>
          </w:p>
          <w:p>
            <w:pPr>
              <w:spacing w:after="120" w:line="276"/>
            </w:pPr>
            <w:r>
              <w:rPr>
                <w:rFonts w:ascii="Century Gothic" w:cs="Century Gothic" w:eastAsia="Century Gothic" w:hAnsi="Century Gothic"/>
                <w:color w:val="1A1F1D"/>
              </w:rPr>
              <w:t xml:space="preserve">Reflect on the qualities of self‑discipline and reliability. How might the steady pursuit of these link to strong, consistent routines in your own classroom?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2 · The foundations of behaviour for learning</w:t>
      </w:r>
    </w:p>
    <w:p>
      <w:pPr>
        <w:spacing w:after="120" w:line="276"/>
      </w:pPr>
      <w:r>
        <w:rPr>
          <w:rFonts w:ascii="Century Gothic" w:cs="Century Gothic" w:eastAsia="Century Gothic" w:hAnsi="Century Gothic"/>
          <w:b/>
          <w:bCs/>
          <w:color w:val="1A1F1D"/>
        </w:rPr>
        <w:t xml:space="preserve">Behaviour is taught. </w:t>
      </w:r>
      <w:r>
        <w:rPr>
          <w:rFonts w:ascii="Century Gothic" w:cs="Century Gothic" w:eastAsia="Century Gothic" w:hAnsi="Century Gothic"/>
          <w:color w:val="1A1F1D"/>
        </w:rPr>
        <w:t xml:space="preserve">The habits and attitudes that make a class run well are not innate; they are learned, and they must be taught as deliberately as any part of the curriculum. Teachers who assume all pupils already know how to behave well soon discover they do not. So we treat behaviour as a curriculum — introduced clearly, practised, reinforced, and refreshed.</w:t>
      </w:r>
    </w:p>
    <w:p>
      <w:pPr>
        <w:spacing w:after="4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Four ideas that sit underneath every routine</w:t>
      </w:r>
    </w:p>
    <w:p>
      <w:pPr>
        <w:pStyle w:val="ListParagraph"/>
        <w:numPr>
          <w:ilvl w:val="0"/>
          <w:numId w:val="2"/>
        </w:numPr>
        <w:spacing w:after="60" w:line="264"/>
      </w:pPr>
      <w:r>
        <w:rPr>
          <w:rFonts w:ascii="Century Gothic" w:cs="Century Gothic" w:eastAsia="Century Gothic" w:hAnsi="Century Gothic"/>
          <w:b/>
          <w:bCs/>
          <w:color w:val="1A1F1D"/>
        </w:rPr>
        <w:t xml:space="preserve">Predictability. </w:t>
      </w:r>
      <w:r>
        <w:rPr>
          <w:rFonts w:ascii="Century Gothic" w:cs="Century Gothic" w:eastAsia="Century Gothic" w:hAnsi="Century Gothic"/>
          <w:color w:val="1A1F1D"/>
        </w:rPr>
        <w:t xml:space="preserve">Routines reduce ambiguity. Clear, repeated expectations help pupils feel secure and ready to learn.</w:t>
      </w:r>
    </w:p>
    <w:p>
      <w:pPr>
        <w:pStyle w:val="ListParagraph"/>
        <w:numPr>
          <w:ilvl w:val="0"/>
          <w:numId w:val="2"/>
        </w:numPr>
        <w:spacing w:after="60" w:line="264"/>
      </w:pPr>
      <w:r>
        <w:rPr>
          <w:rFonts w:ascii="Century Gothic" w:cs="Century Gothic" w:eastAsia="Century Gothic" w:hAnsi="Century Gothic"/>
          <w:b/>
          <w:bCs/>
          <w:color w:val="1A1F1D"/>
        </w:rPr>
        <w:t xml:space="preserve">Attention. </w:t>
      </w:r>
      <w:r>
        <w:rPr>
          <w:rFonts w:ascii="Century Gothic" w:cs="Century Gothic" w:eastAsia="Century Gothic" w:hAnsi="Century Gothic"/>
          <w:color w:val="1A1F1D"/>
        </w:rPr>
        <w:t xml:space="preserve">Secure full focus before giving instructions. Attention enables precision, saves time, and signals importance.</w:t>
      </w:r>
    </w:p>
    <w:p>
      <w:pPr>
        <w:pStyle w:val="ListParagraph"/>
        <w:numPr>
          <w:ilvl w:val="0"/>
          <w:numId w:val="2"/>
        </w:numPr>
        <w:spacing w:after="60" w:line="264"/>
      </w:pPr>
      <w:r>
        <w:rPr>
          <w:rFonts w:ascii="Century Gothic" w:cs="Century Gothic" w:eastAsia="Century Gothic" w:hAnsi="Century Gothic"/>
          <w:b/>
          <w:bCs/>
          <w:color w:val="1A1F1D"/>
        </w:rPr>
        <w:t xml:space="preserve">Consistency. </w:t>
      </w:r>
      <w:r>
        <w:rPr>
          <w:rFonts w:ascii="Century Gothic" w:cs="Century Gothic" w:eastAsia="Century Gothic" w:hAnsi="Century Gothic"/>
          <w:color w:val="1A1F1D"/>
        </w:rPr>
        <w:t xml:space="preserve">Use the same routine every time. Consistency builds trust, prevents drift, and keeps the room calm and purposeful.</w:t>
      </w:r>
    </w:p>
    <w:p>
      <w:pPr>
        <w:pStyle w:val="ListParagraph"/>
        <w:numPr>
          <w:ilvl w:val="0"/>
          <w:numId w:val="2"/>
        </w:numPr>
        <w:spacing w:after="60" w:line="264"/>
      </w:pPr>
      <w:r>
        <w:rPr>
          <w:rFonts w:ascii="Century Gothic" w:cs="Century Gothic" w:eastAsia="Century Gothic" w:hAnsi="Century Gothic"/>
          <w:b/>
          <w:bCs/>
          <w:color w:val="1A1F1D"/>
        </w:rPr>
        <w:t xml:space="preserve">Rehearsal. </w:t>
      </w:r>
      <w:r>
        <w:rPr>
          <w:rFonts w:ascii="Century Gothic" w:cs="Century Gothic" w:eastAsia="Century Gothic" w:hAnsi="Century Gothic"/>
          <w:color w:val="1A1F1D"/>
        </w:rPr>
        <w:t xml:space="preserve">Great routines are taught and practised, not assumed. Rehearse entry, transitions and behaviour cues as you would any skill.</w:t>
      </w:r>
    </w:p>
    <w:p>
      <w:pPr>
        <w:spacing w:after="6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A short summary of the evidence</w:t>
      </w:r>
    </w:p>
    <w:p>
      <w:pPr>
        <w:spacing w:after="120" w:line="276"/>
      </w:pPr>
      <w:r>
        <w:rPr>
          <w:rFonts w:ascii="Century Gothic" w:cs="Century Gothic" w:eastAsia="Century Gothic" w:hAnsi="Century Gothic"/>
          <w:color w:val="1A1F1D"/>
        </w:rPr>
        <w:t xml:space="preserve">This pillar draws on Tom Bennett’s work for the Department for Education and on his book </w:t>
      </w:r>
      <w:r>
        <w:rPr>
          <w:rFonts w:ascii="Century Gothic" w:cs="Century Gothic" w:eastAsia="Century Gothic" w:hAnsi="Century Gothic"/>
          <w:i/>
          <w:iCs/>
          <w:color w:val="1A1F1D"/>
        </w:rPr>
        <w:t xml:space="preserve">Running the Room</w:t>
      </w:r>
      <w:r>
        <w:rPr>
          <w:rFonts w:ascii="Century Gothic" w:cs="Century Gothic" w:eastAsia="Century Gothic" w:hAnsi="Century Gothic"/>
          <w:color w:val="1A1F1D"/>
        </w:rPr>
        <w:t xml:space="preserve">. The argument, in brief, runs as follows.</w:t>
      </w:r>
    </w:p>
    <w:p>
      <w:pPr>
        <w:spacing w:after="60" w:before="160"/>
      </w:pPr>
      <w:r>
        <w:rPr>
          <w:rFonts w:ascii="Century Gothic" w:cs="Century Gothic" w:eastAsia="Century Gothic" w:hAnsi="Century Gothic"/>
          <w:b/>
          <w:bCs/>
          <w:color w:val="3F9488"/>
          <w:sz w:val="22"/>
          <w:szCs w:val="22"/>
        </w:rPr>
        <w:t xml:space="preserve">Proactive over reactive</w:t>
      </w:r>
    </w:p>
    <w:p>
      <w:pPr>
        <w:spacing w:after="120" w:line="276"/>
      </w:pPr>
      <w:r>
        <w:rPr>
          <w:rFonts w:ascii="Century Gothic" w:cs="Century Gothic" w:eastAsia="Century Gothic" w:hAnsi="Century Gothic"/>
          <w:color w:val="1A1F1D"/>
        </w:rPr>
        <w:t xml:space="preserve">Behaviour management is a process, not a reaction. More important than responding to misbehaviour is teaching pupils, clearly and early, what good conduct looks like and how it will help them succeed. Be precise. Avoid grey areas. Communicate what is expected, model it, and check pupils have understood — then reinforce it constantly.</w:t>
      </w:r>
    </w:p>
    <w:p>
      <w:pPr>
        <w:spacing w:after="60" w:before="160"/>
      </w:pPr>
      <w:r>
        <w:rPr>
          <w:rFonts w:ascii="Century Gothic" w:cs="Century Gothic" w:eastAsia="Century Gothic" w:hAnsi="Century Gothic"/>
          <w:b/>
          <w:bCs/>
          <w:color w:val="3F9488"/>
          <w:sz w:val="22"/>
          <w:szCs w:val="22"/>
        </w:rPr>
        <w:t xml:space="preserve">Norms and routines</w:t>
      </w:r>
    </w:p>
    <w:p>
      <w:pPr>
        <w:spacing w:after="120" w:line="276"/>
      </w:pPr>
      <w:r>
        <w:rPr>
          <w:rFonts w:ascii="Century Gothic" w:cs="Century Gothic" w:eastAsia="Century Gothic" w:hAnsi="Century Gothic"/>
          <w:color w:val="1A1F1D"/>
        </w:rPr>
        <w:t xml:space="preserve">Pupils read one another for cues about what is normal. The teacher’s job is to assert what the norm should be, using normative language (‘In this class we…’) and demonstrating it consistently. Routines — specific sequences pupils perform the same way each time, such as entry, transitions and gaining silence — are a powerful form of norm. They take time to become habit, and the effort is repaid many times over.</w:t>
      </w:r>
    </w:p>
    <w:p>
      <w:pPr>
        <w:spacing w:after="60" w:before="160"/>
      </w:pPr>
      <w:r>
        <w:rPr>
          <w:rFonts w:ascii="Century Gothic" w:cs="Century Gothic" w:eastAsia="Century Gothic" w:hAnsi="Century Gothic"/>
          <w:b/>
          <w:bCs/>
          <w:color w:val="3F9488"/>
          <w:sz w:val="22"/>
          <w:szCs w:val="22"/>
        </w:rPr>
        <w:t xml:space="preserve">Consequences, used well</w:t>
      </w:r>
    </w:p>
    <w:p>
      <w:pPr>
        <w:spacing w:after="120" w:line="276"/>
      </w:pPr>
      <w:r>
        <w:rPr>
          <w:rFonts w:ascii="Century Gothic" w:cs="Century Gothic" w:eastAsia="Century Gothic" w:hAnsi="Century Gothic"/>
          <w:color w:val="1A1F1D"/>
        </w:rPr>
        <w:t xml:space="preserve">Even where rules and routines are taught well, pupils will test the boundaries; that is normal. Sanctions work less through severity than through certainty — pupils need to be reasonably sure a consequence will follow. Rewards should encourage both good conduct and a genuine valuing of learning for its own sake. Above all, treat pupils with dignity, ask for support when you need it, and keep relationships at the centre.</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Read more</w:t>
            </w:r>
          </w:p>
          <w:p>
            <w:pPr>
              <w:pStyle w:val="ListParagraph"/>
              <w:numPr>
                <w:ilvl w:val="0"/>
                <w:numId w:val="2"/>
              </w:numPr>
              <w:spacing w:after="60" w:line="264"/>
            </w:pPr>
            <w:r>
              <w:rPr>
                <w:rFonts w:ascii="Century Gothic" w:cs="Century Gothic" w:eastAsia="Century Gothic" w:hAnsi="Century Gothic"/>
                <w:i/>
                <w:iCs/>
                <w:color w:val="1A1F1D"/>
              </w:rPr>
              <w:t xml:space="preserve">‘The Beginning Teacher’s Behaviour Toolkit: A Summary’</w:t>
            </w:r>
            <w:r>
              <w:rPr>
                <w:rFonts w:ascii="Century Gothic" w:cs="Century Gothic" w:eastAsia="Century Gothic" w:hAnsi="Century Gothic"/>
                <w:color w:val="1A1F1D"/>
              </w:rPr>
              <w:t xml:space="preserve"> — Tom Bennett (researchED). A free summary of the DfE behaviour reviews.</w:t>
            </w:r>
          </w:p>
          <w:p>
            <w:pPr>
              <w:pStyle w:val="ListParagraph"/>
              <w:numPr>
                <w:ilvl w:val="0"/>
                <w:numId w:val="2"/>
              </w:numPr>
              <w:spacing w:after="60" w:line="264"/>
            </w:pPr>
            <w:r>
              <w:rPr>
                <w:rFonts w:ascii="Century Gothic" w:cs="Century Gothic" w:eastAsia="Century Gothic" w:hAnsi="Century Gothic"/>
                <w:i/>
                <w:iCs/>
                <w:color w:val="1A1F1D"/>
              </w:rPr>
              <w:t xml:space="preserve">Running the Room</w:t>
            </w:r>
            <w:r>
              <w:rPr>
                <w:rFonts w:ascii="Century Gothic" w:cs="Century Gothic" w:eastAsia="Century Gothic" w:hAnsi="Century Gothic"/>
                <w:color w:val="1A1F1D"/>
              </w:rPr>
              <w:t xml:space="preserve"> — Tom Bennett (John Catt). The fuller account of teaching behaviour as a craft.</w:t>
            </w:r>
          </w:p>
        </w:tc>
      </w:tr>
    </w:tbl>
    <w:p>
      <w:pPr>
        <w:spacing w:after="6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Independent task — pre‑training self‑audit</w:t>
            </w:r>
          </w:p>
          <w:p>
            <w:pPr>
              <w:pStyle w:val="ListParagraph"/>
              <w:numPr>
                <w:ilvl w:val="0"/>
                <w:numId w:val="2"/>
              </w:numPr>
              <w:spacing w:after="60" w:line="264"/>
            </w:pPr>
            <w:r>
              <w:rPr>
                <w:rFonts w:ascii="Century Gothic" w:cs="Century Gothic" w:eastAsia="Century Gothic" w:hAnsi="Century Gothic"/>
                <w:color w:val="1A1F1D"/>
              </w:rPr>
              <w:t xml:space="preserve">What are the current behaviour norms in your classroom?</w:t>
            </w:r>
          </w:p>
          <w:p>
            <w:pPr>
              <w:pStyle w:val="ListParagraph"/>
              <w:numPr>
                <w:ilvl w:val="0"/>
                <w:numId w:val="2"/>
              </w:numPr>
              <w:spacing w:after="60" w:line="264"/>
            </w:pPr>
            <w:r>
              <w:rPr>
                <w:rFonts w:ascii="Century Gothic" w:cs="Century Gothic" w:eastAsia="Century Gothic" w:hAnsi="Century Gothic"/>
                <w:color w:val="1A1F1D"/>
              </w:rPr>
              <w:t xml:space="preserve">How reliably do you secure full attention before you give instructions?</w:t>
            </w:r>
          </w:p>
          <w:p>
            <w:pPr>
              <w:pStyle w:val="ListParagraph"/>
              <w:numPr>
                <w:ilvl w:val="0"/>
                <w:numId w:val="2"/>
              </w:numPr>
              <w:spacing w:after="60" w:line="264"/>
            </w:pPr>
            <w:r>
              <w:rPr>
                <w:rFonts w:ascii="Century Gothic" w:cs="Century Gothic" w:eastAsia="Century Gothic" w:hAnsi="Century Gothic"/>
                <w:color w:val="1A1F1D"/>
              </w:rPr>
              <w:t xml:space="preserve">Which routines are already securely in place?</w:t>
            </w:r>
          </w:p>
          <w:p>
            <w:pPr>
              <w:pStyle w:val="ListParagraph"/>
              <w:numPr>
                <w:ilvl w:val="0"/>
                <w:numId w:val="2"/>
              </w:numPr>
              <w:spacing w:after="60" w:line="264"/>
            </w:pPr>
            <w:r>
              <w:rPr>
                <w:rFonts w:ascii="Century Gothic" w:cs="Century Gothic" w:eastAsia="Century Gothic" w:hAnsi="Century Gothic"/>
                <w:color w:val="1A1F1D"/>
              </w:rPr>
              <w:t xml:space="preserve">Think of a recent lesson where behaviour was not as you hoped. How might it have been managed differently?</w:t>
            </w:r>
          </w:p>
          <w:p>
            <w:pPr>
              <w:spacing w:after="4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rPr>
              <w:t xml:space="preserve">What’s working well: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pPr>
              <w:spacing w:after="120" w:line="276"/>
            </w:pPr>
            <w:r>
              <w:rPr>
                <w:rFonts w:ascii="Century Gothic" w:cs="Century Gothic" w:eastAsia="Century Gothic" w:hAnsi="Century Gothic"/>
                <w:b/>
                <w:bCs/>
                <w:color w:val="1A1F1D"/>
              </w:rPr>
              <w:t xml:space="preserve">Even better if: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3 · High expectations in action</w:t>
      </w:r>
    </w:p>
    <w:p>
      <w:pPr>
        <w:spacing w:after="120" w:line="276"/>
      </w:pPr>
      <w:r>
        <w:rPr>
          <w:rFonts w:ascii="Century Gothic" w:cs="Century Gothic" w:eastAsia="Century Gothic" w:hAnsi="Century Gothic"/>
          <w:color w:val="1A1F1D"/>
        </w:rPr>
        <w:t xml:space="preserve">This section draws on Doug Lemov’s </w:t>
      </w:r>
      <w:r>
        <w:rPr>
          <w:rFonts w:ascii="Century Gothic" w:cs="Century Gothic" w:eastAsia="Century Gothic" w:hAnsi="Century Gothic"/>
          <w:i/>
          <w:iCs/>
          <w:color w:val="1A1F1D"/>
        </w:rPr>
        <w:t xml:space="preserve">Teach Like a Champion 3.0</w:t>
      </w:r>
      <w:r>
        <w:rPr>
          <w:rFonts w:ascii="Century Gothic" w:cs="Century Gothic" w:eastAsia="Century Gothic" w:hAnsi="Century Gothic"/>
          <w:color w:val="1A1F1D"/>
        </w:rPr>
        <w:t xml:space="preserve">, and in particular his chapter on high behavioural expectations.</w:t>
      </w:r>
    </w:p>
    <w:p>
      <w:pPr>
        <w:spacing w:after="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The central claim is straightforward: a classroom has to be orderly for learning to take place. ‘Orderly’ does not mean silent and joyless — it means the right amount of structure, chosen and designed by the teacher, so that the pupils who want to think deeply, follow an argument, or pursue a difficult idea are protected and supported in doing so. A single pupil’s freedom to opt out of listening is often, in practice, a decision made on behalf of everyone else in the room.</w:t>
      </w:r>
    </w:p>
    <w:p>
      <w:pPr>
        <w:spacing w:after="120" w:line="276"/>
      </w:pPr>
      <w:r>
        <w:rPr>
          <w:rFonts w:ascii="Century Gothic" w:cs="Century Gothic" w:eastAsia="Century Gothic" w:hAnsi="Century Gothic"/>
          <w:color w:val="1A1F1D"/>
        </w:rPr>
        <w:t xml:space="preserve">Order is not the opposite of warmth. The false divide between being ‘warm’ and being ‘strict’ is one of the most persistent myths in teaching. Done with skill, the work of keeping a room focused can be — and should be — a form of care: less visible, stripped of caustic emotion, and often headed off before conflict arises. Setting high expectations is itself a way of communicating respect: it tells pupils that what they are here to do matters, and that they are capable of more than they might think.</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Group discussion</w:t>
            </w:r>
          </w:p>
          <w:p>
            <w:pPr>
              <w:pStyle w:val="ListParagraph"/>
              <w:numPr>
                <w:ilvl w:val="0"/>
                <w:numId w:val="2"/>
              </w:numPr>
              <w:spacing w:after="60" w:line="264"/>
            </w:pPr>
            <w:r>
              <w:rPr>
                <w:rFonts w:ascii="Century Gothic" w:cs="Century Gothic" w:eastAsia="Century Gothic" w:hAnsi="Century Gothic"/>
                <w:color w:val="1A1F1D"/>
              </w:rPr>
              <w:t xml:space="preserve">How do you see the relationship between behaviour and learning in your own classroom?</w:t>
            </w:r>
          </w:p>
          <w:p>
            <w:pPr>
              <w:pStyle w:val="ListParagraph"/>
              <w:numPr>
                <w:ilvl w:val="0"/>
                <w:numId w:val="2"/>
              </w:numPr>
              <w:spacing w:after="60" w:line="264"/>
            </w:pPr>
            <w:r>
              <w:rPr>
                <w:rFonts w:ascii="Century Gothic" w:cs="Century Gothic" w:eastAsia="Century Gothic" w:hAnsi="Century Gothic"/>
                <w:color w:val="1A1F1D"/>
              </w:rPr>
              <w:t xml:space="preserve">What are the signs that your classroom culture is supporting — or quietly hindering — a safe, focused environment?</w:t>
            </w:r>
          </w:p>
          <w:p>
            <w:pPr>
              <w:pStyle w:val="ListParagraph"/>
              <w:numPr>
                <w:ilvl w:val="0"/>
                <w:numId w:val="2"/>
              </w:numPr>
              <w:spacing w:after="60" w:line="264"/>
            </w:pPr>
            <w:r>
              <w:rPr>
                <w:rFonts w:ascii="Century Gothic" w:cs="Century Gothic" w:eastAsia="Century Gothic" w:hAnsi="Century Gothic"/>
                <w:color w:val="1A1F1D"/>
              </w:rPr>
              <w:t xml:space="preserve">Why do you think the ‘warm versus strict’ myth persists?</w:t>
            </w:r>
          </w:p>
          <w:p>
            <w:pPr>
              <w:pStyle w:val="ListParagraph"/>
              <w:numPr>
                <w:ilvl w:val="0"/>
                <w:numId w:val="2"/>
              </w:numPr>
              <w:spacing w:after="60" w:line="264"/>
            </w:pPr>
            <w:r>
              <w:rPr>
                <w:rFonts w:ascii="Century Gothic" w:cs="Century Gothic" w:eastAsia="Century Gothic" w:hAnsi="Century Gothic"/>
                <w:color w:val="1A1F1D"/>
              </w:rPr>
              <w:t xml:space="preserve">In what ways does setting high behavioural expectations communicate respect for pupils? How can we make sure that message comes through?</w:t>
            </w:r>
          </w:p>
        </w:tc>
      </w:tr>
    </w:tbl>
    <w:p>
      <w:pPr>
        <w:spacing w:after="6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Video study</w:t>
      </w:r>
    </w:p>
    <w:p>
      <w:pPr>
        <w:spacing w:after="120" w:line="276"/>
      </w:pPr>
      <w:r>
        <w:rPr>
          <w:rFonts w:ascii="Century Gothic" w:cs="Century Gothic" w:eastAsia="Century Gothic" w:hAnsi="Century Gothic"/>
          <w:color w:val="1A1F1D"/>
        </w:rPr>
        <w:t xml:space="preserve">Watch the short clips below from the </w:t>
      </w:r>
      <w:r>
        <w:rPr>
          <w:rFonts w:ascii="Century Gothic" w:cs="Century Gothic" w:eastAsia="Century Gothic" w:hAnsi="Century Gothic"/>
          <w:i/>
          <w:iCs/>
          <w:color w:val="1A1F1D"/>
        </w:rPr>
        <w:t xml:space="preserve">Teach Like a Champion</w:t>
      </w:r>
      <w:r>
        <w:rPr>
          <w:rFonts w:ascii="Century Gothic" w:cs="Century Gothic" w:eastAsia="Century Gothic" w:hAnsi="Century Gothic"/>
          <w:color w:val="1A1F1D"/>
        </w:rPr>
        <w:t xml:space="preserve"> video collection, then discuss as a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FFFFF" w:val="clear"/>
            <w:tcMar>
              <w:top w:type="dxa" w:w="140"/>
              <w:left w:type="dxa" w:w="220"/>
              <w:bottom w:type="dxa" w:w="140"/>
              <w:right w:type="dxa" w:w="200"/>
            </w:tcMar>
          </w:tcPr>
          <w:p>
            <w:pPr>
              <w:spacing w:after="120" w:line="276"/>
            </w:pPr>
            <w:r>
              <w:rPr>
                <w:rFonts w:ascii="Century Gothic" w:cs="Century Gothic" w:eastAsia="Century Gothic" w:hAnsi="Century Gothic"/>
                <w:b/>
                <w:bCs/>
                <w:color w:val="1A1F1D"/>
              </w:rPr>
              <w:t xml:space="preserve">Video portal: </w:t>
            </w:r>
            <w:r>
              <w:rPr>
                <w:rFonts w:ascii="Century Gothic" w:cs="Century Gothic" w:eastAsia="Century Gothic" w:hAnsi="Century Gothic"/>
                <w:color w:val="3F9488"/>
              </w:rPr>
              <w:t xml:space="preserve">books.wiley.com/titles/9781119712619</w:t>
            </w:r>
          </w:p>
          <w:p>
            <w:pPr>
              <w:spacing w:after="120" w:line="276"/>
            </w:pPr>
            <w:r>
              <w:rPr>
                <w:rFonts w:ascii="Century Gothic" w:cs="Century Gothic" w:eastAsia="Century Gothic" w:hAnsi="Century Gothic"/>
                <w:b/>
                <w:bCs/>
                <w:color w:val="1A1F1D"/>
              </w:rPr>
              <w:t xml:space="preserve">Password: </w:t>
            </w:r>
            <w:r>
              <w:rPr>
                <w:rFonts w:ascii="Century Gothic" w:cs="Century Gothic" w:eastAsia="Century Gothic" w:hAnsi="Century Gothic"/>
                <w:color w:val="1A1F1D"/>
              </w:rPr>
              <w:t xml:space="preserve">consider</w:t>
            </w:r>
          </w:p>
          <w:p>
            <w:pPr>
              <w:spacing w:after="120" w:line="276"/>
            </w:pPr>
            <w:r>
              <w:rPr>
                <w:rFonts w:ascii="Century Gothic" w:cs="Century Gothic" w:eastAsia="Century Gothic" w:hAnsi="Century Gothic"/>
                <w:color w:val="1A1F1D"/>
              </w:rPr>
              <w:t xml:space="preserve">Go to </w:t>
            </w:r>
            <w:r>
              <w:rPr>
                <w:rFonts w:ascii="Century Gothic" w:cs="Century Gothic" w:eastAsia="Century Gothic" w:hAnsi="Century Gothic"/>
                <w:b/>
                <w:bCs/>
                <w:color w:val="1A1F1D"/>
              </w:rPr>
              <w:t xml:space="preserve">Chapter 11 (Behavioural Expectations)</w:t>
            </w:r>
            <w:r>
              <w:rPr>
                <w:rFonts w:ascii="Century Gothic" w:cs="Century Gothic" w:eastAsia="Century Gothic" w:hAnsi="Century Gothic"/>
                <w:color w:val="1A1F1D"/>
              </w:rPr>
              <w:t xml:space="preserve"> and watch clips 104, 105, 106, 107, 108, 114 and 115.</w:t>
            </w:r>
          </w:p>
        </w:tc>
      </w:tr>
    </w:tbl>
    <w:p>
      <w:pPr>
        <w:spacing w:after="2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Discussion after watching</w:t>
            </w:r>
          </w:p>
          <w:p>
            <w:pPr>
              <w:pStyle w:val="ListParagraph"/>
              <w:numPr>
                <w:ilvl w:val="0"/>
                <w:numId w:val="2"/>
              </w:numPr>
              <w:spacing w:after="60" w:line="264"/>
            </w:pPr>
            <w:r>
              <w:rPr>
                <w:rFonts w:ascii="Century Gothic" w:cs="Century Gothic" w:eastAsia="Century Gothic" w:hAnsi="Century Gothic"/>
                <w:color w:val="1A1F1D"/>
              </w:rPr>
              <w:t xml:space="preserve">What are the key similarities in the behaviour‑for‑learning practice across these clips?</w:t>
            </w:r>
          </w:p>
          <w:p>
            <w:pPr>
              <w:pStyle w:val="ListParagraph"/>
              <w:numPr>
                <w:ilvl w:val="0"/>
                <w:numId w:val="2"/>
              </w:numPr>
              <w:spacing w:after="60" w:line="264"/>
            </w:pPr>
            <w:r>
              <w:rPr>
                <w:rFonts w:ascii="Century Gothic" w:cs="Century Gothic" w:eastAsia="Century Gothic" w:hAnsi="Century Gothic"/>
                <w:color w:val="1A1F1D"/>
              </w:rPr>
              <w:t xml:space="preserve">What is the effect of ‘being seen to look’ on all pupils — not just the one being addressed?</w:t>
            </w:r>
          </w:p>
          <w:p>
            <w:pPr>
              <w:pStyle w:val="ListParagraph"/>
              <w:numPr>
                <w:ilvl w:val="0"/>
                <w:numId w:val="2"/>
              </w:numPr>
              <w:spacing w:after="60" w:line="264"/>
            </w:pPr>
            <w:r>
              <w:rPr>
                <w:rFonts w:ascii="Century Gothic" w:cs="Century Gothic" w:eastAsia="Century Gothic" w:hAnsi="Century Gothic"/>
                <w:color w:val="1A1F1D"/>
              </w:rPr>
              <w:t xml:space="preserve">What do you notice about the instructions the teachers give?</w:t>
            </w:r>
          </w:p>
          <w:p>
            <w:pPr>
              <w:pStyle w:val="ListParagraph"/>
              <w:numPr>
                <w:ilvl w:val="0"/>
                <w:numId w:val="2"/>
              </w:numPr>
              <w:spacing w:after="60" w:line="264"/>
            </w:pPr>
            <w:r>
              <w:rPr>
                <w:rFonts w:ascii="Century Gothic" w:cs="Century Gothic" w:eastAsia="Century Gothic" w:hAnsi="Century Gothic"/>
                <w:color w:val="1A1F1D"/>
              </w:rPr>
              <w:t xml:space="preserve">How would you describe the learning environments and the teacher–pupil relationships?</w:t>
            </w:r>
          </w:p>
        </w:tc>
      </w:tr>
    </w:tbl>
    <w:p>
      <w:pPr>
        <w:pStyle w:val="Heading1"/>
        <w:pageBreakBefore/>
        <w:spacing w:after="120" w:before="0"/>
      </w:pPr>
      <w:r>
        <w:rPr>
          <w:rFonts w:ascii="Century Gothic" w:cs="Century Gothic" w:eastAsia="Century Gothic" w:hAnsi="Century Gothic"/>
          <w:b/>
          <w:bCs/>
          <w:color w:val="14322D"/>
          <w:sz w:val="30"/>
          <w:szCs w:val="30"/>
        </w:rPr>
        <w:t xml:space="preserve">4 · Core routines for classroom culture</w:t>
      </w:r>
    </w:p>
    <w:p>
      <w:pPr>
        <w:pStyle w:val="Heading2"/>
        <w:spacing w:after="80" w:before="240"/>
      </w:pPr>
      <w:r>
        <w:rPr>
          <w:rFonts w:ascii="Century Gothic" w:cs="Century Gothic" w:eastAsia="Century Gothic" w:hAnsi="Century Gothic"/>
          <w:b/>
          <w:bCs/>
          <w:color w:val="14322D"/>
          <w:sz w:val="24"/>
          <w:szCs w:val="24"/>
        </w:rPr>
        <w:t xml:space="preserve">The attention reset</w:t>
      </w:r>
    </w:p>
    <w:p>
      <w:pPr>
        <w:spacing w:after="120" w:line="276"/>
      </w:pPr>
      <w:r>
        <w:rPr>
          <w:rFonts w:ascii="Century Gothic" w:cs="Century Gothic" w:eastAsia="Century Gothic" w:hAnsi="Century Gothic"/>
          <w:color w:val="1A1F1D"/>
        </w:rPr>
        <w:t xml:space="preserve">The single most useful routine to get right is the one that brings the room to attention. It rests on the technique </w:t>
      </w:r>
      <w:r>
        <w:rPr>
          <w:rFonts w:ascii="Century Gothic" w:cs="Century Gothic" w:eastAsia="Century Gothic" w:hAnsi="Century Gothic"/>
          <w:b/>
          <w:bCs/>
          <w:color w:val="1A1F1D"/>
        </w:rPr>
        <w:t xml:space="preserve">SLANT</w:t>
      </w:r>
      <w:r>
        <w:rPr>
          <w:rFonts w:ascii="Century Gothic" w:cs="Century Gothic" w:eastAsia="Century Gothic" w:hAnsi="Century Gothic"/>
          <w:color w:val="1A1F1D"/>
        </w:rPr>
        <w:t xml:space="preserve"> (Lemov): </w:t>
      </w:r>
    </w:p>
    <w:p>
      <w:pPr>
        <w:pStyle w:val="ListParagraph"/>
        <w:numPr>
          <w:ilvl w:val="0"/>
          <w:numId w:val="2"/>
        </w:numPr>
        <w:spacing w:after="60" w:line="264"/>
      </w:pPr>
      <w:r>
        <w:rPr>
          <w:rFonts w:ascii="Century Gothic" w:cs="Century Gothic" w:eastAsia="Century Gothic" w:hAnsi="Century Gothic"/>
          <w:b/>
          <w:bCs/>
          <w:color w:val="3F9488"/>
        </w:rPr>
        <w:t xml:space="preserve">S</w:t>
      </w:r>
      <w:r>
        <w:rPr>
          <w:rFonts w:ascii="Century Gothic" w:cs="Century Gothic" w:eastAsia="Century Gothic" w:hAnsi="Century Gothic"/>
          <w:color w:val="1A1F1D"/>
        </w:rPr>
        <w:t xml:space="preserve"> — Sit up</w:t>
      </w:r>
    </w:p>
    <w:p>
      <w:pPr>
        <w:pStyle w:val="ListParagraph"/>
        <w:numPr>
          <w:ilvl w:val="0"/>
          <w:numId w:val="2"/>
        </w:numPr>
        <w:spacing w:after="60" w:line="264"/>
      </w:pPr>
      <w:r>
        <w:rPr>
          <w:rFonts w:ascii="Century Gothic" w:cs="Century Gothic" w:eastAsia="Century Gothic" w:hAnsi="Century Gothic"/>
          <w:b/>
          <w:bCs/>
          <w:color w:val="3F9488"/>
        </w:rPr>
        <w:t xml:space="preserve">L</w:t>
      </w:r>
      <w:r>
        <w:rPr>
          <w:rFonts w:ascii="Century Gothic" w:cs="Century Gothic" w:eastAsia="Century Gothic" w:hAnsi="Century Gothic"/>
          <w:color w:val="1A1F1D"/>
        </w:rPr>
        <w:t xml:space="preserve"> — Listen</w:t>
      </w:r>
    </w:p>
    <w:p>
      <w:pPr>
        <w:pStyle w:val="ListParagraph"/>
        <w:numPr>
          <w:ilvl w:val="0"/>
          <w:numId w:val="2"/>
        </w:numPr>
        <w:spacing w:after="60" w:line="264"/>
      </w:pPr>
      <w:r>
        <w:rPr>
          <w:rFonts w:ascii="Century Gothic" w:cs="Century Gothic" w:eastAsia="Century Gothic" w:hAnsi="Century Gothic"/>
          <w:b/>
          <w:bCs/>
          <w:color w:val="3F9488"/>
        </w:rPr>
        <w:t xml:space="preserve">A</w:t>
      </w:r>
      <w:r>
        <w:rPr>
          <w:rFonts w:ascii="Century Gothic" w:cs="Century Gothic" w:eastAsia="Century Gothic" w:hAnsi="Century Gothic"/>
          <w:color w:val="1A1F1D"/>
        </w:rPr>
        <w:t xml:space="preserve"> — Ask and answer questions</w:t>
      </w:r>
    </w:p>
    <w:p>
      <w:pPr>
        <w:pStyle w:val="ListParagraph"/>
        <w:numPr>
          <w:ilvl w:val="0"/>
          <w:numId w:val="2"/>
        </w:numPr>
        <w:spacing w:after="60" w:line="264"/>
      </w:pPr>
      <w:r>
        <w:rPr>
          <w:rFonts w:ascii="Century Gothic" w:cs="Century Gothic" w:eastAsia="Century Gothic" w:hAnsi="Century Gothic"/>
          <w:b/>
          <w:bCs/>
          <w:color w:val="3F9488"/>
        </w:rPr>
        <w:t xml:space="preserve">N</w:t>
      </w:r>
      <w:r>
        <w:rPr>
          <w:rFonts w:ascii="Century Gothic" w:cs="Century Gothic" w:eastAsia="Century Gothic" w:hAnsi="Century Gothic"/>
          <w:color w:val="1A1F1D"/>
        </w:rPr>
        <w:t xml:space="preserve"> — Nod to show you follow</w:t>
      </w:r>
    </w:p>
    <w:p>
      <w:pPr>
        <w:pStyle w:val="ListParagraph"/>
        <w:numPr>
          <w:ilvl w:val="0"/>
          <w:numId w:val="2"/>
        </w:numPr>
        <w:spacing w:after="60" w:line="264"/>
      </w:pPr>
      <w:r>
        <w:rPr>
          <w:rFonts w:ascii="Century Gothic" w:cs="Century Gothic" w:eastAsia="Century Gothic" w:hAnsi="Century Gothic"/>
          <w:b/>
          <w:bCs/>
          <w:color w:val="3F9488"/>
        </w:rPr>
        <w:t xml:space="preserve">T</w:t>
      </w:r>
      <w:r>
        <w:rPr>
          <w:rFonts w:ascii="Century Gothic" w:cs="Century Gothic" w:eastAsia="Century Gothic" w:hAnsi="Century Gothic"/>
          <w:color w:val="1A1F1D"/>
        </w:rPr>
        <w:t xml:space="preserve"> — Track the speaker</w:t>
      </w:r>
    </w:p>
    <w:p>
      <w:pPr>
        <w:spacing w:after="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Train pupils to respond to a single cue word, decisively and the same way every time. On the cue, pupils put pens down, sit up, fold their arms and look at the teacher. Used well, it is quick and undramatic — never slow or ponderous.</w:t>
      </w:r>
    </w:p>
    <w:p>
      <w:pPr>
        <w:spacing w:after="60" w:before="160"/>
      </w:pPr>
      <w:r>
        <w:rPr>
          <w:rFonts w:ascii="Century Gothic" w:cs="Century Gothic" w:eastAsia="Century Gothic" w:hAnsi="Century Gothic"/>
          <w:b/>
          <w:bCs/>
          <w:color w:val="3F9488"/>
          <w:sz w:val="22"/>
          <w:szCs w:val="22"/>
        </w:rPr>
        <w:t xml:space="preserve">The process, step by step</w:t>
      </w:r>
    </w:p>
    <w:p>
      <w:pPr>
        <w:pStyle w:val="ListParagraph"/>
        <w:numPr>
          <w:ilvl w:val="0"/>
          <w:numId w:val="3"/>
        </w:numPr>
        <w:spacing w:after="60" w:line="264"/>
      </w:pPr>
      <w:r>
        <w:rPr>
          <w:rFonts w:ascii="Century Gothic" w:cs="Century Gothic" w:eastAsia="Century Gothic" w:hAnsi="Century Gothic"/>
          <w:color w:val="1A1F1D"/>
        </w:rPr>
        <w:t xml:space="preserve">Give the cue firmly: ‘[cue word], thank you, in 3, 2, 1.’</w:t>
      </w:r>
    </w:p>
    <w:p>
      <w:pPr>
        <w:pStyle w:val="ListParagraph"/>
        <w:numPr>
          <w:ilvl w:val="0"/>
          <w:numId w:val="3"/>
        </w:numPr>
        <w:spacing w:after="60" w:line="264"/>
      </w:pPr>
      <w:r>
        <w:rPr>
          <w:rFonts w:ascii="Century Gothic" w:cs="Century Gothic" w:eastAsia="Century Gothic" w:hAnsi="Century Gothic"/>
          <w:color w:val="1A1F1D"/>
        </w:rPr>
        <w:t xml:space="preserve">Pause, scan, and be seen looking for compliance.</w:t>
      </w:r>
    </w:p>
    <w:p>
      <w:pPr>
        <w:pStyle w:val="ListParagraph"/>
        <w:numPr>
          <w:ilvl w:val="0"/>
          <w:numId w:val="3"/>
        </w:numPr>
        <w:spacing w:after="60" w:line="264"/>
      </w:pPr>
      <w:r>
        <w:rPr>
          <w:rFonts w:ascii="Century Gothic" w:cs="Century Gothic" w:eastAsia="Century Gothic" w:hAnsi="Century Gothic"/>
          <w:color w:val="1A1F1D"/>
        </w:rPr>
        <w:t xml:space="preserve">Praise quick, efficient compliance. Look again.</w:t>
      </w:r>
    </w:p>
    <w:p>
      <w:pPr>
        <w:pStyle w:val="ListParagraph"/>
        <w:numPr>
          <w:ilvl w:val="0"/>
          <w:numId w:val="3"/>
        </w:numPr>
        <w:spacing w:after="60" w:line="264"/>
      </w:pPr>
      <w:r>
        <w:rPr>
          <w:rFonts w:ascii="Century Gothic" w:cs="Century Gothic" w:eastAsia="Century Gothic" w:hAnsi="Century Gothic"/>
          <w:color w:val="1A1F1D"/>
        </w:rPr>
        <w:t xml:space="preserve">Correct anyone who needs correcting, calmly and briefly.</w:t>
      </w:r>
    </w:p>
    <w:p>
      <w:pPr>
        <w:pStyle w:val="ListParagraph"/>
        <w:numPr>
          <w:ilvl w:val="0"/>
          <w:numId w:val="3"/>
        </w:numPr>
        <w:spacing w:after="60" w:line="264"/>
      </w:pPr>
      <w:r>
        <w:rPr>
          <w:rFonts w:ascii="Century Gothic" w:cs="Century Gothic" w:eastAsia="Century Gothic" w:hAnsi="Century Gothic"/>
          <w:color w:val="1A1F1D"/>
        </w:rPr>
        <w:t xml:space="preserve">Say ‘thank you’ and give a clear instruction — no more than three steps.</w:t>
      </w:r>
    </w:p>
    <w:p>
      <w:pPr>
        <w:pStyle w:val="ListParagraph"/>
        <w:numPr>
          <w:ilvl w:val="0"/>
          <w:numId w:val="3"/>
        </w:numPr>
        <w:spacing w:after="60" w:line="264"/>
      </w:pPr>
      <w:r>
        <w:rPr>
          <w:rFonts w:ascii="Century Gothic" w:cs="Century Gothic" w:eastAsia="Century Gothic" w:hAnsi="Century Gothic"/>
          <w:color w:val="1A1F1D"/>
        </w:rPr>
        <w:t xml:space="preserve">Finish with a release: ‘When I say go…’ Pause. Scan. ‘Okay — go.’</w:t>
      </w:r>
    </w:p>
    <w:p>
      <w:pPr>
        <w:spacing w:after="2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rPr>
        <w:t xml:space="preserve">When to use the cue: </w:t>
      </w:r>
      <w:r>
        <w:rPr>
          <w:rFonts w:ascii="Century Gothic" w:cs="Century Gothic" w:eastAsia="Century Gothic" w:hAnsi="Century Gothic"/>
          <w:color w:val="1A1F1D"/>
        </w:rPr>
        <w:t xml:space="preserve">when giving any instruction; when running teacher‑led question and answer; and when resetting expectations after independent work. At other times — for example while modelling — the expectation is different: ‘when I’m writing, you’re writing.’</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Our cue word is </w:t>
            </w:r>
            <w:r>
              <w:rPr>
                <w:rFonts w:ascii="Century Gothic" w:cs="Century Gothic" w:eastAsia="Century Gothic" w:hAnsi="Century Gothic"/>
                <w:b/>
                <w:bCs/>
                <w:color w:val="1A1F1D"/>
              </w:rPr>
              <w:t xml:space="preserve">‘Diligence’</w:t>
            </w:r>
            <w:r>
              <w:rPr>
                <w:rFonts w:ascii="Century Gothic" w:cs="Century Gothic" w:eastAsia="Century Gothic" w:hAnsi="Century Gothic"/>
                <w:color w:val="1A1F1D"/>
              </w:rPr>
              <w:t xml:space="preserve"> (‘Diligence, thank you’ / ‘show me how diligent you are’), with ‘Peacefulness’ to settle and ‘Determination’ to begin. Choose your own cue word — but choose </w:t>
            </w:r>
            <w:r>
              <w:rPr>
                <w:rFonts w:ascii="Century Gothic" w:cs="Century Gothic" w:eastAsia="Century Gothic" w:hAnsi="Century Gothic"/>
                <w:i/>
                <w:iCs/>
                <w:color w:val="1A1F1D"/>
              </w:rPr>
              <w:t xml:space="preserve">one</w:t>
            </w:r>
            <w:r>
              <w:rPr>
                <w:rFonts w:ascii="Century Gothic" w:cs="Century Gothic" w:eastAsia="Century Gothic" w:hAnsi="Century Gothic"/>
                <w:color w:val="1A1F1D"/>
              </w:rPr>
              <w:t xml:space="preserve">, and hold the whole school to it.</w:t>
            </w:r>
          </w:p>
        </w:tc>
      </w:tr>
    </w:tbl>
    <w:p>
      <w:pPr>
        <w:spacing w:after="6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The Behaviour for Learning checklist</w:t>
      </w:r>
    </w:p>
    <w:p>
      <w:pPr>
        <w:spacing w:after="120" w:line="276"/>
      </w:pPr>
      <w:r>
        <w:rPr>
          <w:rFonts w:ascii="Century Gothic" w:cs="Century Gothic" w:eastAsia="Century Gothic" w:hAnsi="Century Gothic"/>
          <w:color w:val="1A1F1D"/>
        </w:rPr>
        <w:t xml:space="preserve">This is the formal version of the routine above. It is a shared standard, not a tick‑box exercise: use it to coach, to observe, and to keep your own practice honest.</w:t>
      </w:r>
    </w:p>
    <w:p>
      <w:pPr>
        <w:spacing w:after="2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cantSplit/>
          <w:tblHeader/>
        </w:trPr>
        <w:tc>
          <w:tcPr>
            <w:tcW w:type="dxa" w:w="9026"/>
            <w:gridSpan w:val="2"/>
            <w:tcBorders>
              <w:top w:val="single" w:color="C9D6D0" w:sz="4"/>
              <w:left w:val="single" w:color="C9D6D0" w:sz="4"/>
              <w:bottom w:val="single" w:color="C9D6D0" w:sz="4"/>
              <w:right w:val="single" w:color="C9D6D0" w:sz="4"/>
            </w:tcBorders>
            <w:shd w:fill="14322D" w:val="clear"/>
            <w:tcMar>
              <w:top w:type="dxa" w:w="90"/>
              <w:left w:type="dxa" w:w="140"/>
              <w:bottom w:type="dxa" w:w="90"/>
              <w:right w:type="dxa" w:w="120"/>
            </w:tcMar>
          </w:tcPr>
          <w:p>
            <w:r>
              <w:rPr>
                <w:rFonts w:ascii="Century Gothic" w:cs="Century Gothic" w:eastAsia="Century Gothic" w:hAnsi="Century Gothic"/>
                <w:b/>
                <w:bCs/>
                <w:color w:val="FFFFFF"/>
                <w:sz w:val="22"/>
                <w:szCs w:val="22"/>
              </w:rPr>
              <w:t xml:space="preserve">Behaviour for Learning (BFL1–9)</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BFL1</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On entry, the atmosphere in the classroom is calm and purposeful.</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BFL2</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are focused on the task — attentive to the teacher, or working independently.</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BFL3</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The teacher uses the agreed attention cue to mean ‘pens/pencils down, arms folded, eyes on me’.</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BFL4</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The teacher pauses to allow pupils to comply, and scans to confirm compliance before giving instructions.</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BFL5</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Instructions are clear and in order — no more than three steps.</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BFL6</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follow an instruction first time, on the trigger word ‘go’. The teacher is seen looking and comments on compliance.</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BFL7</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Pupils do not leave their seats without permission; the expectation for needing to is clear.</w:t>
            </w:r>
          </w:p>
        </w:tc>
      </w:tr>
      <w:tr>
        <w:trPr>
          <w:cantSplit/>
        </w:trPr>
        <w:tc>
          <w:tcPr>
            <w:tcW w:type="dxa" w:w="1200"/>
            <w:tcBorders>
              <w:top w:val="single" w:color="C9D6D0" w:sz="4"/>
              <w:left w:val="single" w:color="C9D6D0" w:sz="4"/>
              <w:bottom w:val="single" w:color="C9D6D0" w:sz="4"/>
              <w:right w:val="single" w:color="C9D6D0" w:sz="4"/>
            </w:tcBorders>
            <w:shd w:fill="FFFFFF"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BFL8</w:t>
            </w:r>
          </w:p>
        </w:tc>
        <w:tc>
          <w:tcPr>
            <w:tcW w:type="dxa" w:w="7826"/>
            <w:tcBorders>
              <w:top w:val="single" w:color="C9D6D0" w:sz="4"/>
              <w:left w:val="single" w:color="C9D6D0" w:sz="4"/>
              <w:bottom w:val="single" w:color="C9D6D0" w:sz="4"/>
              <w:right w:val="single" w:color="C9D6D0" w:sz="4"/>
            </w:tcBorders>
            <w:shd w:fill="FFFFFF"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If noise rises, the teacher returns to a strong position and re‑requests calm and attention using the agreed cues.</w:t>
            </w:r>
          </w:p>
        </w:tc>
      </w:tr>
      <w:tr>
        <w:trPr>
          <w:cantSplit/>
        </w:trPr>
        <w:tc>
          <w:tcPr>
            <w:tcW w:type="dxa" w:w="1200"/>
            <w:tcBorders>
              <w:top w:val="single" w:color="C9D6D0" w:sz="4"/>
              <w:left w:val="single" w:color="C9D6D0" w:sz="4"/>
              <w:bottom w:val="single" w:color="C9D6D0" w:sz="4"/>
              <w:right w:val="single" w:color="C9D6D0" w:sz="4"/>
            </w:tcBorders>
            <w:shd w:fill="DCEAE5" w:val="clear"/>
            <w:tcMar>
              <w:top w:type="dxa" w:w="80"/>
              <w:left w:type="dxa" w:w="120"/>
              <w:bottom w:type="dxa" w:w="80"/>
              <w:right w:type="dxa" w:w="80"/>
            </w:tcMar>
          </w:tcPr>
          <w:p>
            <w:r>
              <w:rPr>
                <w:rFonts w:ascii="Century Gothic" w:cs="Century Gothic" w:eastAsia="Century Gothic" w:hAnsi="Century Gothic"/>
                <w:b/>
                <w:bCs/>
                <w:color w:val="14322D"/>
                <w:sz w:val="20"/>
                <w:szCs w:val="20"/>
              </w:rPr>
              <w:t xml:space="preserve">BFL9</w:t>
            </w:r>
          </w:p>
        </w:tc>
        <w:tc>
          <w:tcPr>
            <w:tcW w:type="dxa" w:w="7826"/>
            <w:tcBorders>
              <w:top w:val="single" w:color="C9D6D0" w:sz="4"/>
              <w:left w:val="single" w:color="C9D6D0" w:sz="4"/>
              <w:bottom w:val="single" w:color="C9D6D0" w:sz="4"/>
              <w:right w:val="single" w:color="C9D6D0" w:sz="4"/>
            </w:tcBorders>
            <w:shd w:fill="DCEAE5" w:val="clear"/>
            <w:tcMar>
              <w:top w:type="dxa" w:w="80"/>
              <w:left w:type="dxa" w:w="140"/>
              <w:bottom w:type="dxa" w:w="80"/>
              <w:right w:type="dxa" w:w="120"/>
            </w:tcMar>
          </w:tcPr>
          <w:p>
            <w:r>
              <w:rPr>
                <w:rFonts w:ascii="Century Gothic" w:cs="Century Gothic" w:eastAsia="Century Gothic" w:hAnsi="Century Gothic"/>
                <w:color w:val="1A1F1D"/>
                <w:sz w:val="20"/>
                <w:szCs w:val="20"/>
              </w:rPr>
              <w:t xml:space="preserve">Behaviour is managed through positioning, proximity and resetting expectations where required.</w:t>
            </w:r>
          </w:p>
        </w:tc>
      </w:tr>
    </w:tbl>
    <w:p>
      <w:pPr>
        <w:spacing w:after="8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Coaching task — rehearsal in fours</w:t>
            </w:r>
          </w:p>
          <w:p>
            <w:pPr>
              <w:spacing w:after="120" w:line="276"/>
            </w:pPr>
            <w:r>
              <w:rPr>
                <w:rFonts w:ascii="Century Gothic" w:cs="Century Gothic" w:eastAsia="Century Gothic" w:hAnsi="Century Gothic"/>
                <w:color w:val="1A1F1D"/>
              </w:rPr>
              <w:t xml:space="preserve">One teacher, two pupils, one coach. Rehearse the attention‑reset process against the checklist (3–5 minutes), then rotate.</w:t>
            </w:r>
          </w:p>
          <w:p>
            <w:pPr>
              <w:spacing w:after="120" w:line="276"/>
            </w:pPr>
            <w:r>
              <w:rPr>
                <w:rFonts w:ascii="Century Gothic" w:cs="Century Gothic" w:eastAsia="Century Gothic" w:hAnsi="Century Gothic"/>
                <w:b/>
                <w:bCs/>
                <w:color w:val="1A1F1D"/>
              </w:rPr>
              <w:t xml:space="preserve">Teacher: </w:t>
            </w:r>
            <w:r>
              <w:rPr>
                <w:rFonts w:ascii="Century Gothic" w:cs="Century Gothic" w:eastAsia="Century Gothic" w:hAnsi="Century Gothic"/>
                <w:color w:val="1A1F1D"/>
              </w:rPr>
              <w:t xml:space="preserve">pupils are mid‑task. Bring the work to a close using your cue, deliver a clear three‑step instruction, hold pupils until ‘go’, then be seen looking and comment on quick compliance.</w:t>
            </w:r>
          </w:p>
          <w:p>
            <w:pPr>
              <w:spacing w:after="120" w:line="276"/>
            </w:pPr>
            <w:r>
              <w:rPr>
                <w:rFonts w:ascii="Century Gothic" w:cs="Century Gothic" w:eastAsia="Century Gothic" w:hAnsi="Century Gothic"/>
                <w:b/>
                <w:bCs/>
                <w:color w:val="1A1F1D"/>
              </w:rPr>
              <w:t xml:space="preserve">Pupils: </w:t>
            </w:r>
            <w:r>
              <w:rPr>
                <w:rFonts w:ascii="Century Gothic" w:cs="Century Gothic" w:eastAsia="Century Gothic" w:hAnsi="Century Gothic"/>
                <w:color w:val="1A1F1D"/>
              </w:rPr>
              <w:t xml:space="preserve">one complies immediately; the other is mildly off‑task — slow to respond, or distracted during instructions.</w:t>
            </w:r>
          </w:p>
          <w:p>
            <w:pPr>
              <w:spacing w:after="120" w:line="276"/>
            </w:pPr>
            <w:r>
              <w:rPr>
                <w:rFonts w:ascii="Century Gothic" w:cs="Century Gothic" w:eastAsia="Century Gothic" w:hAnsi="Century Gothic"/>
                <w:b/>
                <w:bCs/>
                <w:color w:val="1A1F1D"/>
              </w:rPr>
              <w:t xml:space="preserve">Coach, watch for: </w:t>
            </w:r>
            <w:r>
              <w:rPr>
                <w:rFonts w:ascii="Century Gothic" w:cs="Century Gothic" w:eastAsia="Century Gothic" w:hAnsi="Century Gothic"/>
                <w:color w:val="1A1F1D"/>
              </w:rPr>
              <w:t xml:space="preserve">Was the atmosphere calm on entry? Was the cue used clearly? Did the teacher pause and scan before instructing? How were off‑task pupils handled through positioning and proximity?</w:t>
            </w:r>
          </w:p>
          <w:p>
            <w:pPr>
              <w:spacing w:after="4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b/>
                <w:bCs/>
                <w:color w:val="1A1F1D"/>
              </w:rPr>
              <w:t xml:space="preserve">Reflection: </w:t>
            </w:r>
            <w:r>
              <w:rPr>
                <w:rFonts w:ascii="Century Gothic" w:cs="Century Gothic" w:eastAsia="Century Gothic" w:hAnsi="Century Gothic"/>
                <w:color w:val="1A1F1D"/>
              </w:rPr>
              <w:t xml:space="preserve">What worked in your delivery? What might be harder in a real room, and how would you handle it? What will you do differently next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5 · Inclusion and adaptive practice</w:t>
      </w:r>
    </w:p>
    <w:p>
      <w:pPr>
        <w:spacing w:after="120" w:line="276"/>
      </w:pPr>
      <w:r>
        <w:rPr>
          <w:rFonts w:ascii="Century Gothic" w:cs="Century Gothic" w:eastAsia="Century Gothic" w:hAnsi="Century Gothic"/>
          <w:color w:val="1A1F1D"/>
        </w:rPr>
        <w:t xml:space="preserve">A common concern is that structured attention routines do not suit neurodivergent pupils — that staying still and holding eye contact can be difficult or stressful for some. It is a fair challenge, and worth taking seriously.</w:t>
      </w:r>
    </w:p>
    <w:p>
      <w:pPr>
        <w:spacing w:after="120" w:line="276"/>
      </w:pPr>
      <w:r>
        <w:rPr>
          <w:rFonts w:ascii="Century Gothic" w:cs="Century Gothic" w:eastAsia="Century Gothic" w:hAnsi="Century Gothic"/>
          <w:color w:val="1A1F1D"/>
        </w:rPr>
        <w:t xml:space="preserve">In practice, quiet, consistent, predictable classrooms are often exactly the environments in which neurodivergent pupils do best. Clear routines and explicit expectations reduce uncertainty and the cognitive load that comes with it. The skill is in the judgement: do not demand too long in the held ‘attention’ position before an activity, a paired task, or packing away. Keep the structure; flex within it; respond to individual needs.</w:t>
      </w:r>
    </w:p>
    <w:p>
      <w:pPr>
        <w:spacing w:after="120" w:line="276"/>
      </w:pPr>
      <w:r>
        <w:rPr>
          <w:rFonts w:ascii="Century Gothic" w:cs="Century Gothic" w:eastAsia="Century Gothic" w:hAnsi="Century Gothic"/>
          <w:b/>
          <w:bCs/>
          <w:color w:val="1A1F1D"/>
        </w:rPr>
        <w:t xml:space="preserve">A specific warning. </w:t>
      </w:r>
      <w:r>
        <w:rPr>
          <w:rFonts w:ascii="Century Gothic" w:cs="Century Gothic" w:eastAsia="Century Gothic" w:hAnsi="Century Gothic"/>
          <w:color w:val="1A1F1D"/>
        </w:rPr>
        <w:t xml:space="preserve">A teacher who secures attention and then talks for minutes on end risks undoing all the good work. Long monologues are where focus drains away. Keep instructions short and sharp, and break up any extended input with choral response or ‘I say, you say’ to keep every pupil active.</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Discuss</w:t>
            </w:r>
          </w:p>
          <w:p>
            <w:pPr>
              <w:pStyle w:val="ListParagraph"/>
              <w:numPr>
                <w:ilvl w:val="0"/>
                <w:numId w:val="2"/>
              </w:numPr>
              <w:spacing w:after="60" w:line="264"/>
            </w:pPr>
            <w:r>
              <w:rPr>
                <w:rFonts w:ascii="Century Gothic" w:cs="Century Gothic" w:eastAsia="Century Gothic" w:hAnsi="Century Gothic"/>
                <w:color w:val="1A1F1D"/>
              </w:rPr>
              <w:t xml:space="preserve">What language and habits could you introduce to keep attentiveness alive during teaching, rather than securing it once and losing it?</w:t>
            </w:r>
          </w:p>
          <w:p>
            <w:pPr>
              <w:pStyle w:val="ListParagraph"/>
              <w:numPr>
                <w:ilvl w:val="0"/>
                <w:numId w:val="2"/>
              </w:numPr>
              <w:spacing w:after="60" w:line="264"/>
            </w:pPr>
            <w:r>
              <w:rPr>
                <w:rFonts w:ascii="Century Gothic" w:cs="Century Gothic" w:eastAsia="Century Gothic" w:hAnsi="Century Gothic"/>
                <w:color w:val="1A1F1D"/>
              </w:rPr>
              <w:t xml:space="preserve">Where, in your subject, is the line between holding structure and flexing for individual need?</w:t>
            </w:r>
          </w:p>
        </w:tc>
      </w:tr>
    </w:tbl>
    <w:p>
      <w:pPr>
        <w:pStyle w:val="Heading1"/>
        <w:pageBreakBefore/>
        <w:spacing w:after="120" w:before="0"/>
      </w:pPr>
      <w:r>
        <w:rPr>
          <w:rFonts w:ascii="Century Gothic" w:cs="Century Gothic" w:eastAsia="Century Gothic" w:hAnsi="Century Gothic"/>
          <w:b/>
          <w:bCs/>
          <w:color w:val="14322D"/>
          <w:sz w:val="30"/>
          <w:szCs w:val="30"/>
        </w:rPr>
        <w:t xml:space="preserve">6 · Practical routines and team planning</w:t>
      </w:r>
    </w:p>
    <w:p>
      <w:pPr>
        <w:spacing w:after="120" w:line="276"/>
      </w:pPr>
      <w:r>
        <w:rPr>
          <w:rFonts w:ascii="Century Gothic" w:cs="Century Gothic" w:eastAsia="Century Gothic" w:hAnsi="Century Gothic"/>
          <w:color w:val="1A1F1D"/>
        </w:rPr>
        <w:t xml:space="preserve">Discuss each routine below in your coaching group, rehearsing each in turn, and work through the real‑world challenges together.</w:t>
      </w:r>
    </w:p>
    <w:p>
      <w:pPr>
        <w:spacing w:after="2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Distributing materials</w:t>
      </w:r>
    </w:p>
    <w:p>
      <w:pPr>
        <w:spacing w:after="120" w:line="276"/>
      </w:pPr>
      <w:r>
        <w:rPr>
          <w:rFonts w:ascii="Century Gothic" w:cs="Century Gothic" w:eastAsia="Century Gothic" w:hAnsi="Century Gothic"/>
          <w:b/>
          <w:bCs/>
          <w:color w:val="1A1F1D"/>
        </w:rPr>
        <w:t xml:space="preserve">Purpose: </w:t>
      </w:r>
      <w:r>
        <w:rPr>
          <w:rFonts w:ascii="Century Gothic" w:cs="Century Gothic" w:eastAsia="Century Gothic" w:hAnsi="Century Gothic"/>
          <w:color w:val="1A1F1D"/>
        </w:rPr>
        <w:t xml:space="preserve">to use time well. Pupils wandering to hand out papers invites off‑task chatter, is slow, and leaves people missed out.</w:t>
      </w:r>
    </w:p>
    <w:p>
      <w:pPr>
        <w:pStyle w:val="ListParagraph"/>
        <w:numPr>
          <w:ilvl w:val="0"/>
          <w:numId w:val="4"/>
        </w:numPr>
        <w:spacing w:after="60" w:line="264"/>
      </w:pPr>
      <w:r>
        <w:rPr>
          <w:rFonts w:ascii="Century Gothic" w:cs="Century Gothic" w:eastAsia="Century Gothic" w:hAnsi="Century Gothic"/>
          <w:color w:val="1A1F1D"/>
        </w:rPr>
        <w:t xml:space="preserve">Place materials at the end of each row.</w:t>
      </w:r>
    </w:p>
    <w:p>
      <w:pPr>
        <w:pStyle w:val="ListParagraph"/>
        <w:numPr>
          <w:ilvl w:val="0"/>
          <w:numId w:val="4"/>
        </w:numPr>
        <w:spacing w:after="60" w:line="264"/>
      </w:pPr>
      <w:r>
        <w:rPr>
          <w:rFonts w:ascii="Century Gothic" w:cs="Century Gothic" w:eastAsia="Century Gothic" w:hAnsi="Century Gothic"/>
          <w:color w:val="1A1F1D"/>
        </w:rPr>
        <w:t xml:space="preserve">Train pupils to take one and pass the rest along.</w:t>
      </w:r>
    </w:p>
    <w:p>
      <w:pPr>
        <w:pStyle w:val="ListParagraph"/>
        <w:numPr>
          <w:ilvl w:val="0"/>
          <w:numId w:val="4"/>
        </w:numPr>
        <w:spacing w:after="60" w:line="264"/>
      </w:pPr>
      <w:r>
        <w:rPr>
          <w:rFonts w:ascii="Century Gothic" w:cs="Century Gothic" w:eastAsia="Century Gothic" w:hAnsi="Century Gothic"/>
          <w:color w:val="1A1F1D"/>
        </w:rPr>
        <w:t xml:space="preserve">Give a five‑second countdown for everything to be distributed.</w:t>
      </w:r>
    </w:p>
    <w:p>
      <w:pPr>
        <w:pStyle w:val="ListParagraph"/>
        <w:numPr>
          <w:ilvl w:val="0"/>
          <w:numId w:val="4"/>
        </w:numPr>
        <w:spacing w:after="60" w:line="264"/>
      </w:pPr>
      <w:r>
        <w:rPr>
          <w:rFonts w:ascii="Century Gothic" w:cs="Century Gothic" w:eastAsia="Century Gothic" w:hAnsi="Century Gothic"/>
          <w:color w:val="1A1F1D"/>
        </w:rPr>
        <w:t xml:space="preserve">Praise efficient rows.</w:t>
      </w:r>
    </w:p>
    <w:p>
      <w:pPr>
        <w:spacing w:after="2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Getting pupils in and ready</w:t>
      </w:r>
    </w:p>
    <w:p>
      <w:pPr>
        <w:spacing w:after="120" w:line="276"/>
      </w:pPr>
      <w:r>
        <w:rPr>
          <w:rFonts w:ascii="Century Gothic" w:cs="Century Gothic" w:eastAsia="Century Gothic" w:hAnsi="Century Gothic"/>
          <w:b/>
          <w:bCs/>
          <w:color w:val="1A1F1D"/>
        </w:rPr>
        <w:t xml:space="preserve">Purpose: </w:t>
      </w:r>
      <w:r>
        <w:rPr>
          <w:rFonts w:ascii="Century Gothic" w:cs="Century Gothic" w:eastAsia="Century Gothic" w:hAnsi="Century Gothic"/>
          <w:color w:val="1A1F1D"/>
        </w:rPr>
        <w:t xml:space="preserve">to avoid slow, student‑led starts. The aim is a settled, purposeful room from the first minute.</w:t>
      </w:r>
    </w:p>
    <w:p>
      <w:pPr>
        <w:pStyle w:val="ListParagraph"/>
        <w:numPr>
          <w:ilvl w:val="0"/>
          <w:numId w:val="5"/>
        </w:numPr>
        <w:spacing w:after="60" w:line="264"/>
      </w:pPr>
      <w:r>
        <w:rPr>
          <w:rFonts w:ascii="Century Gothic" w:cs="Century Gothic" w:eastAsia="Century Gothic" w:hAnsi="Century Gothic"/>
          <w:color w:val="1A1F1D"/>
        </w:rPr>
        <w:t xml:space="preserve">Stand at the door, supporting orderly arrival.</w:t>
      </w:r>
    </w:p>
    <w:p>
      <w:pPr>
        <w:pStyle w:val="ListParagraph"/>
        <w:numPr>
          <w:ilvl w:val="0"/>
          <w:numId w:val="5"/>
        </w:numPr>
        <w:spacing w:after="60" w:line="264"/>
      </w:pPr>
      <w:r>
        <w:rPr>
          <w:rFonts w:ascii="Century Gothic" w:cs="Century Gothic" w:eastAsia="Century Gothic" w:hAnsi="Century Gothic"/>
          <w:color w:val="1A1F1D"/>
        </w:rPr>
        <w:t xml:space="preserve">Greet pupils and point them to the task already on the board.</w:t>
      </w:r>
    </w:p>
    <w:p>
      <w:pPr>
        <w:pStyle w:val="ListParagraph"/>
        <w:numPr>
          <w:ilvl w:val="0"/>
          <w:numId w:val="5"/>
        </w:numPr>
        <w:spacing w:after="60" w:line="264"/>
      </w:pPr>
      <w:r>
        <w:rPr>
          <w:rFonts w:ascii="Century Gothic" w:cs="Century Gothic" w:eastAsia="Century Gothic" w:hAnsi="Century Gothic"/>
          <w:color w:val="1A1F1D"/>
        </w:rPr>
        <w:t xml:space="preserve">Once around half have arrived, move in: ‘You have ten seconds to be ready to learn.’ Praise someone already working.</w:t>
      </w:r>
    </w:p>
    <w:p>
      <w:pPr>
        <w:pStyle w:val="ListParagraph"/>
        <w:numPr>
          <w:ilvl w:val="0"/>
          <w:numId w:val="5"/>
        </w:numPr>
        <w:spacing w:after="60" w:line="264"/>
      </w:pPr>
      <w:r>
        <w:rPr>
          <w:rFonts w:ascii="Century Gothic" w:cs="Century Gothic" w:eastAsia="Century Gothic" w:hAnsi="Century Gothic"/>
          <w:color w:val="1A1F1D"/>
        </w:rPr>
        <w:t xml:space="preserve">Use your settle cue with a countdown: ‘… in 5, 4, 3, 2, 1.’</w:t>
      </w:r>
    </w:p>
    <w:p>
      <w:pPr>
        <w:pStyle w:val="ListParagraph"/>
        <w:numPr>
          <w:ilvl w:val="0"/>
          <w:numId w:val="5"/>
        </w:numPr>
        <w:spacing w:after="60" w:line="264"/>
      </w:pPr>
      <w:r>
        <w:rPr>
          <w:rFonts w:ascii="Century Gothic" w:cs="Century Gothic" w:eastAsia="Century Gothic" w:hAnsi="Century Gothic"/>
          <w:color w:val="1A1F1D"/>
        </w:rPr>
        <w:t xml:space="preserve">Be seen looking; urge and correct anyone likely to miss the target.</w:t>
      </w:r>
    </w:p>
    <w:p>
      <w:pPr>
        <w:pStyle w:val="ListParagraph"/>
        <w:numPr>
          <w:ilvl w:val="0"/>
          <w:numId w:val="5"/>
        </w:numPr>
        <w:spacing w:after="60" w:line="264"/>
      </w:pPr>
      <w:r>
        <w:rPr>
          <w:rFonts w:ascii="Century Gothic" w:cs="Century Gothic" w:eastAsia="Century Gothic" w:hAnsi="Century Gothic"/>
          <w:color w:val="1A1F1D"/>
        </w:rPr>
        <w:t xml:space="preserve">Give a two‑minute warning, then release the starter task with a clear ‘… when I say go. Okay — go.’</w:t>
      </w:r>
    </w:p>
    <w:p>
      <w:pPr>
        <w:pStyle w:val="ListParagraph"/>
        <w:numPr>
          <w:ilvl w:val="0"/>
          <w:numId w:val="5"/>
        </w:numPr>
        <w:spacing w:after="60" w:line="264"/>
      </w:pPr>
      <w:r>
        <w:rPr>
          <w:rFonts w:ascii="Century Gothic" w:cs="Century Gothic" w:eastAsia="Century Gothic" w:hAnsi="Century Gothic"/>
          <w:color w:val="1A1F1D"/>
        </w:rPr>
        <w:t xml:space="preserve">Take the register, circulate, and check for understanding.</w:t>
      </w:r>
    </w:p>
    <w:p>
      <w:pPr>
        <w:spacing w:after="2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B07D2B" w:sz="24"/>
              <w:bottom w:val="none"/>
              <w:right w:val="none"/>
            </w:tcBorders>
            <w:shd w:fill="F4ECE0" w:val="clear"/>
            <w:tcMar>
              <w:top w:type="dxa" w:w="140"/>
              <w:left w:type="dxa" w:w="220"/>
              <w:bottom w:type="dxa" w:w="140"/>
              <w:right w:type="dxa" w:w="200"/>
            </w:tcMar>
          </w:tcPr>
          <w:p>
            <w:pPr>
              <w:spacing w:after="60"/>
            </w:pPr>
            <w:r>
              <w:rPr>
                <w:rFonts w:ascii="Century Gothic" w:cs="Century Gothic" w:eastAsia="Century Gothic" w:hAnsi="Century Gothic"/>
                <w:b/>
                <w:bCs/>
                <w:color w:val="B07D2B"/>
                <w:sz w:val="22"/>
                <w:szCs w:val="22"/>
              </w:rPr>
              <w:t xml:space="preserve">At Nishkam</w:t>
            </w:r>
          </w:p>
          <w:p>
            <w:pPr>
              <w:spacing w:after="120" w:line="276"/>
            </w:pPr>
            <w:r>
              <w:rPr>
                <w:rFonts w:ascii="Century Gothic" w:cs="Century Gothic" w:eastAsia="Century Gothic" w:hAnsi="Century Gothic"/>
                <w:color w:val="1A1F1D"/>
              </w:rPr>
              <w:t xml:space="preserve">Our start includes a short, settled moment of reflection, and in lessons with prayer this comes first. Whatever your setting, the transferable idea is the same: a calm, deliberate threshold into the lesson that pupils can rely on every day.</w:t>
            </w:r>
          </w:p>
        </w:tc>
      </w:tr>
    </w:tbl>
    <w:p>
      <w:pPr>
        <w:spacing w:after="2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Packing up and leaving</w:t>
      </w:r>
    </w:p>
    <w:p>
      <w:pPr>
        <w:spacing w:after="120" w:line="276"/>
      </w:pPr>
      <w:r>
        <w:rPr>
          <w:rFonts w:ascii="Century Gothic" w:cs="Century Gothic" w:eastAsia="Century Gothic" w:hAnsi="Century Gothic"/>
          <w:b/>
          <w:bCs/>
          <w:color w:val="1A1F1D"/>
        </w:rPr>
        <w:t xml:space="preserve">Purpose: </w:t>
      </w:r>
      <w:r>
        <w:rPr>
          <w:rFonts w:ascii="Century Gothic" w:cs="Century Gothic" w:eastAsia="Century Gothic" w:hAnsi="Century Gothic"/>
          <w:color w:val="1A1F1D"/>
        </w:rPr>
        <w:t xml:space="preserve">pupils should never decide when or how to pack up and leave — that undermines the teacher and spills into the corridor.</w:t>
      </w:r>
    </w:p>
    <w:p>
      <w:pPr>
        <w:pStyle w:val="ListParagraph"/>
        <w:numPr>
          <w:ilvl w:val="0"/>
          <w:numId w:val="6"/>
        </w:numPr>
        <w:spacing w:after="60" w:line="264"/>
      </w:pPr>
      <w:r>
        <w:rPr>
          <w:rFonts w:ascii="Century Gothic" w:cs="Century Gothic" w:eastAsia="Century Gothic" w:hAnsi="Century Gothic"/>
          <w:color w:val="1A1F1D"/>
        </w:rPr>
        <w:t xml:space="preserve">Ask for attention as work comes to an end; scan and correct.</w:t>
      </w:r>
    </w:p>
    <w:p>
      <w:pPr>
        <w:pStyle w:val="ListParagraph"/>
        <w:numPr>
          <w:ilvl w:val="0"/>
          <w:numId w:val="6"/>
        </w:numPr>
        <w:spacing w:after="60" w:line="264"/>
      </w:pPr>
      <w:r>
        <w:rPr>
          <w:rFonts w:ascii="Century Gothic" w:cs="Century Gothic" w:eastAsia="Century Gothic" w:hAnsi="Century Gothic"/>
          <w:color w:val="1A1F1D"/>
        </w:rPr>
        <w:t xml:space="preserve">‘When I say go, you’ll have ten seconds to pack away without talking.’ Pause. Scan. ‘Okay — go.’</w:t>
      </w:r>
    </w:p>
    <w:p>
      <w:pPr>
        <w:pStyle w:val="ListParagraph"/>
        <w:numPr>
          <w:ilvl w:val="0"/>
          <w:numId w:val="6"/>
        </w:numPr>
        <w:spacing w:after="60" w:line="264"/>
      </w:pPr>
      <w:r>
        <w:rPr>
          <w:rFonts w:ascii="Century Gothic" w:cs="Century Gothic" w:eastAsia="Century Gothic" w:hAnsi="Century Gothic"/>
          <w:color w:val="1A1F1D"/>
        </w:rPr>
        <w:t xml:space="preserve">Count down, then settle: ‘… 5, 4, 3, 2, 1. Thank you, eyes this way.’</w:t>
      </w:r>
    </w:p>
    <w:p>
      <w:pPr>
        <w:pStyle w:val="ListParagraph"/>
        <w:numPr>
          <w:ilvl w:val="0"/>
          <w:numId w:val="6"/>
        </w:numPr>
        <w:spacing w:after="60" w:line="264"/>
      </w:pPr>
      <w:r>
        <w:rPr>
          <w:rFonts w:ascii="Century Gothic" w:cs="Century Gothic" w:eastAsia="Century Gothic" w:hAnsi="Century Gothic"/>
          <w:color w:val="1A1F1D"/>
        </w:rPr>
        <w:t xml:space="preserve">Dismiss row by row, calmly and without talking.</w:t>
      </w:r>
    </w:p>
    <w:p>
      <w:pPr>
        <w:spacing w:after="20"/>
      </w:pPr>
      <w:r>
        <w:rPr>
          <w:rFonts w:ascii="Century Gothic" w:cs="Century Gothic" w:eastAsia="Century Gothic" w:hAnsi="Century Gothic"/>
          <w:color w:val="1A1F1D"/>
        </w:rPr>
        <w:t xml:space="preserve"/>
      </w:r>
    </w:p>
    <w:p>
      <w:pPr>
        <w:pStyle w:val="Heading2"/>
        <w:spacing w:after="80" w:before="240"/>
      </w:pPr>
      <w:r>
        <w:rPr>
          <w:rFonts w:ascii="Century Gothic" w:cs="Century Gothic" w:eastAsia="Century Gothic" w:hAnsi="Century Gothic"/>
          <w:b/>
          <w:bCs/>
          <w:color w:val="14322D"/>
          <w:sz w:val="24"/>
          <w:szCs w:val="24"/>
        </w:rPr>
        <w:t xml:space="preserve">Engagement during reading</w:t>
      </w:r>
    </w:p>
    <w:p>
      <w:pPr>
        <w:spacing w:after="120" w:line="276"/>
      </w:pPr>
      <w:r>
        <w:rPr>
          <w:rFonts w:ascii="Century Gothic" w:cs="Century Gothic" w:eastAsia="Century Gothic" w:hAnsi="Century Gothic"/>
          <w:b/>
          <w:bCs/>
          <w:color w:val="1A1F1D"/>
        </w:rPr>
        <w:t xml:space="preserve">Purpose: </w:t>
      </w:r>
      <w:r>
        <w:rPr>
          <w:rFonts w:ascii="Century Gothic" w:cs="Century Gothic" w:eastAsia="Century Gothic" w:hAnsi="Century Gothic"/>
          <w:color w:val="1A1F1D"/>
        </w:rPr>
        <w:t xml:space="preserve">every pupil stays focused on the text — no opt‑out.</w:t>
      </w:r>
    </w:p>
    <w:p>
      <w:pPr>
        <w:pStyle w:val="ListParagraph"/>
        <w:numPr>
          <w:ilvl w:val="0"/>
          <w:numId w:val="7"/>
        </w:numPr>
        <w:spacing w:after="60" w:line="264"/>
      </w:pPr>
      <w:r>
        <w:rPr>
          <w:rFonts w:ascii="Century Gothic" w:cs="Century Gothic" w:eastAsia="Century Gothic" w:hAnsi="Century Gothic"/>
          <w:color w:val="1A1F1D"/>
        </w:rPr>
        <w:t xml:space="preserve">Introduce the text once pupils are attentive.</w:t>
      </w:r>
    </w:p>
    <w:p>
      <w:pPr>
        <w:pStyle w:val="ListParagraph"/>
        <w:numPr>
          <w:ilvl w:val="0"/>
          <w:numId w:val="7"/>
        </w:numPr>
        <w:spacing w:after="60" w:line="264"/>
      </w:pPr>
      <w:r>
        <w:rPr>
          <w:rFonts w:ascii="Century Gothic" w:cs="Century Gothic" w:eastAsia="Century Gothic" w:hAnsi="Century Gothic"/>
          <w:color w:val="1A1F1D"/>
        </w:rPr>
        <w:t xml:space="preserve">‘Two hands on rulers in 3, 2, 1’ — pupils place a ruler under the first line.</w:t>
      </w:r>
    </w:p>
    <w:p>
      <w:pPr>
        <w:pStyle w:val="ListParagraph"/>
        <w:numPr>
          <w:ilvl w:val="0"/>
          <w:numId w:val="7"/>
        </w:numPr>
        <w:spacing w:after="60" w:line="264"/>
      </w:pPr>
      <w:r>
        <w:rPr>
          <w:rFonts w:ascii="Century Gothic" w:cs="Century Gothic" w:eastAsia="Century Gothic" w:hAnsi="Century Gothic"/>
          <w:color w:val="1A1F1D"/>
        </w:rPr>
        <w:t xml:space="preserve">Scan; praise compliance.</w:t>
      </w:r>
    </w:p>
    <w:p>
      <w:pPr>
        <w:pStyle w:val="ListParagraph"/>
        <w:numPr>
          <w:ilvl w:val="0"/>
          <w:numId w:val="7"/>
        </w:numPr>
        <w:spacing w:after="60" w:line="264"/>
      </w:pPr>
      <w:r>
        <w:rPr>
          <w:rFonts w:ascii="Century Gothic" w:cs="Century Gothic" w:eastAsia="Century Gothic" w:hAnsi="Century Gothic"/>
          <w:color w:val="1A1F1D"/>
        </w:rPr>
        <w:t xml:space="preserve">Select a reader: ‘Okay — go.’</w:t>
      </w:r>
    </w:p>
    <w:p>
      <w:pPr>
        <w:pStyle w:val="ListParagraph"/>
        <w:numPr>
          <w:ilvl w:val="0"/>
          <w:numId w:val="7"/>
        </w:numPr>
        <w:spacing w:after="60" w:line="264"/>
      </w:pPr>
      <w:r>
        <w:rPr>
          <w:rFonts w:ascii="Century Gothic" w:cs="Century Gothic" w:eastAsia="Century Gothic" w:hAnsi="Century Gothic"/>
          <w:color w:val="1A1F1D"/>
        </w:rPr>
        <w:t xml:space="preserve">If a reader stumbles, use ‘I say, you say’ — say the word, the class repeats it. Quick and light.</w:t>
      </w:r>
    </w:p>
    <w:p>
      <w:pPr>
        <w:pStyle w:val="ListParagraph"/>
        <w:numPr>
          <w:ilvl w:val="0"/>
          <w:numId w:val="7"/>
        </w:numPr>
        <w:spacing w:after="60" w:line="264"/>
      </w:pPr>
      <w:r>
        <w:rPr>
          <w:rFonts w:ascii="Century Gothic" w:cs="Century Gothic" w:eastAsia="Century Gothic" w:hAnsi="Century Gothic"/>
          <w:color w:val="1A1F1D"/>
        </w:rPr>
        <w:t xml:space="preserve">Change readers regularly to keep everyone alert.</w:t>
      </w:r>
    </w:p>
    <w:p>
      <w:pPr>
        <w:pStyle w:val="ListParagraph"/>
        <w:numPr>
          <w:ilvl w:val="0"/>
          <w:numId w:val="7"/>
        </w:numPr>
        <w:spacing w:after="60" w:line="264"/>
      </w:pPr>
      <w:r>
        <w:rPr>
          <w:rFonts w:ascii="Century Gothic" w:cs="Century Gothic" w:eastAsia="Century Gothic" w:hAnsi="Century Gothic"/>
          <w:color w:val="1A1F1D"/>
        </w:rPr>
        <w:t xml:space="preserve">For a key word, pause: ‘With a partner — in this context, what does this word mean? Go.’ Give 8–10 seconds, then cold call.</w:t>
      </w:r>
    </w:p>
    <w:p>
      <w:pPr>
        <w:spacing w:after="40"/>
      </w:pPr>
      <w:r>
        <w:rPr>
          <w:rFonts w:ascii="Century Gothic" w:cs="Century Gothic" w:eastAsia="Century Gothic" w:hAnsi="Century Gothic"/>
          <w:color w:val="1A1F1D"/>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Team task — design a routine</w:t>
            </w:r>
          </w:p>
          <w:p>
            <w:pPr>
              <w:spacing w:after="120" w:line="276"/>
            </w:pPr>
            <w:r>
              <w:rPr>
                <w:rFonts w:ascii="Century Gothic" w:cs="Century Gothic" w:eastAsia="Century Gothic" w:hAnsi="Century Gothic"/>
                <w:color w:val="1A1F1D"/>
              </w:rPr>
              <w:t xml:space="preserve">In your subject: which routines are vital? What is needed to secure them? Then design one new subject‑specific routine using the frame below.</w:t>
            </w:r>
          </w:p>
          <w:p>
            <w:pPr>
              <w:pStyle w:val="ListParagraph"/>
              <w:numPr>
                <w:ilvl w:val="0"/>
                <w:numId w:val="2"/>
              </w:numPr>
              <w:spacing w:after="60" w:line="264"/>
            </w:pPr>
            <w:r>
              <w:rPr>
                <w:rFonts w:ascii="Century Gothic" w:cs="Century Gothic" w:eastAsia="Century Gothic" w:hAnsi="Century Gothic"/>
                <w:color w:val="1A1F1D"/>
              </w:rPr>
              <w:t xml:space="preserve">Name the routine, and its purpose.</w:t>
            </w:r>
          </w:p>
          <w:p>
            <w:pPr>
              <w:pStyle w:val="ListParagraph"/>
              <w:numPr>
                <w:ilvl w:val="0"/>
                <w:numId w:val="2"/>
              </w:numPr>
              <w:spacing w:after="60" w:line="264"/>
            </w:pPr>
            <w:r>
              <w:rPr>
                <w:rFonts w:ascii="Century Gothic" w:cs="Century Gothic" w:eastAsia="Century Gothic" w:hAnsi="Century Gothic"/>
                <w:color w:val="1A1F1D"/>
              </w:rPr>
              <w:t xml:space="preserve">‘Pupils should never…’ — and why that matters (what it encourages, what it leads to).</w:t>
            </w:r>
          </w:p>
          <w:p>
            <w:pPr>
              <w:pStyle w:val="ListParagraph"/>
              <w:numPr>
                <w:ilvl w:val="0"/>
                <w:numId w:val="2"/>
              </w:numPr>
              <w:spacing w:after="60" w:line="264"/>
            </w:pPr>
            <w:r>
              <w:rPr>
                <w:rFonts w:ascii="Century Gothic" w:cs="Century Gothic" w:eastAsia="Century Gothic" w:hAnsi="Century Gothic"/>
                <w:color w:val="1A1F1D"/>
              </w:rPr>
              <w:t xml:space="preserve">‘Instead…’ — set out the routine step by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r>
              <w:trPr>
                <w:cantSplit/>
              </w:trPr>
              <w:tc>
                <w:tcPr>
                  <w:tcW w:type="dxa" w:w="9026"/>
                  <w:tcBorders>
                    <w:top w:val="none" w:color="BBBBBB" w:sz="4"/>
                    <w:left w:val="single" w:color="BBBBBB" w:sz="4"/>
                    <w:bottom w:val="single" w:color="BBBBBB" w:sz="4"/>
                    <w:right w:val="single" w:color="BBBBBB" w:sz="4"/>
                  </w:tcBorders>
                  <w:tcMar>
                    <w:top w:type="dxa" w:w="90"/>
                    <w:left w:type="dxa" w:w="100"/>
                    <w:bottom w:type="dxa" w:w="90"/>
                    <w:right w:type="dxa" w:w="100"/>
                  </w:tcMar>
                </w:tcPr>
                <w:p>
                  <w:r>
                    <w:rPr>
                      <w:rFonts w:ascii="Century Gothic" w:cs="Century Gothic" w:eastAsia="Century Gothic" w:hAnsi="Century Gothic"/>
                      <w:color w:val="1A1F1D"/>
                    </w:rPr>
                    <w:t xml:space="preserve"> </w:t>
                  </w:r>
                </w:p>
              </w:tc>
            </w:tr>
          </w:tbl>
          <w:p/>
        </w:tc>
      </w:tr>
    </w:tbl>
    <w:p>
      <w:pPr>
        <w:pStyle w:val="Heading1"/>
        <w:pageBreakBefore/>
        <w:spacing w:after="120" w:before="0"/>
      </w:pPr>
      <w:r>
        <w:rPr>
          <w:rFonts w:ascii="Century Gothic" w:cs="Century Gothic" w:eastAsia="Century Gothic" w:hAnsi="Century Gothic"/>
          <w:b/>
          <w:bCs/>
          <w:color w:val="14322D"/>
          <w:sz w:val="30"/>
          <w:szCs w:val="30"/>
        </w:rPr>
        <w:t xml:space="preserve">Continue online, and next steps</w:t>
      </w:r>
    </w:p>
    <w:p>
      <w:pPr>
        <w:spacing w:after="120" w:line="276"/>
      </w:pPr>
      <w:r>
        <w:rPr>
          <w:rFonts w:ascii="Century Gothic" w:cs="Century Gothic" w:eastAsia="Century Gothic" w:hAnsi="Century Gothic"/>
          <w:color w:val="1A1F1D"/>
        </w:rPr>
        <w:t xml:space="preserve">This booklet and the session that accompanies it are the live, facilitated layer. The self‑guided pages online let you revisit the method at your own pace, with the same checklists and worked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left w:val="single" w:color="3F9488" w:sz="24"/>
              <w:bottom w:val="none"/>
              <w:right w:val="none"/>
            </w:tcBorders>
            <w:shd w:fill="E8F1EE" w:val="clear"/>
            <w:tcMar>
              <w:top w:type="dxa" w:w="140"/>
              <w:left w:type="dxa" w:w="220"/>
              <w:bottom w:type="dxa" w:w="140"/>
              <w:right w:type="dxa" w:w="200"/>
            </w:tcMar>
          </w:tcPr>
          <w:p>
            <w:pPr>
              <w:spacing w:after="60"/>
            </w:pPr>
            <w:r>
              <w:rPr>
                <w:rFonts w:ascii="Century Gothic" w:cs="Century Gothic" w:eastAsia="Century Gothic" w:hAnsi="Century Gothic"/>
                <w:b/>
                <w:bCs/>
                <w:color w:val="3F9488"/>
                <w:sz w:val="22"/>
                <w:szCs w:val="22"/>
              </w:rPr>
              <w:t xml:space="preserve">Where this goes next</w:t>
            </w:r>
          </w:p>
          <w:p>
            <w:pPr>
              <w:pStyle w:val="ListParagraph"/>
              <w:numPr>
                <w:ilvl w:val="0"/>
                <w:numId w:val="2"/>
              </w:numPr>
              <w:spacing w:after="60" w:line="264"/>
            </w:pPr>
            <w:r>
              <w:rPr>
                <w:rFonts w:ascii="Century Gothic" w:cs="Century Gothic" w:eastAsia="Century Gothic" w:hAnsi="Century Gothic"/>
                <w:b/>
                <w:bCs/>
                <w:color w:val="1A1F1D"/>
              </w:rPr>
              <w:t xml:space="preserve">Online — self‑guided. </w:t>
            </w:r>
            <w:r>
              <w:rPr>
                <w:rFonts w:ascii="Century Gothic" w:cs="Century Gothic" w:eastAsia="Century Gothic" w:hAnsi="Century Gothic"/>
                <w:color w:val="1A1F1D"/>
              </w:rPr>
              <w:t xml:space="preserve">The Behaviour &amp; Climate strand of the Teaching Practice site walks through each routine again, in your own time.</w:t>
            </w:r>
          </w:p>
          <w:p>
            <w:pPr>
              <w:pStyle w:val="ListParagraph"/>
              <w:numPr>
                <w:ilvl w:val="0"/>
                <w:numId w:val="2"/>
              </w:numPr>
              <w:spacing w:after="60" w:line="264"/>
            </w:pPr>
            <w:r>
              <w:rPr>
                <w:rFonts w:ascii="Century Gothic" w:cs="Century Gothic" w:eastAsia="Century Gothic" w:hAnsi="Century Gothic"/>
                <w:b/>
                <w:bCs/>
                <w:color w:val="1A1F1D"/>
              </w:rPr>
              <w:t xml:space="preserve">The checklists. </w:t>
            </w:r>
            <w:r>
              <w:rPr>
                <w:rFonts w:ascii="Century Gothic" w:cs="Century Gothic" w:eastAsia="Century Gothic" w:hAnsi="Century Gothic"/>
                <w:color w:val="1A1F1D"/>
              </w:rPr>
              <w:t xml:space="preserve">BFL1–9 is the standard you and a coach can observe against, lesson to lesson.</w:t>
            </w:r>
          </w:p>
          <w:p>
            <w:pPr>
              <w:pStyle w:val="ListParagraph"/>
              <w:numPr>
                <w:ilvl w:val="0"/>
                <w:numId w:val="2"/>
              </w:numPr>
              <w:spacing w:after="60" w:line="264"/>
            </w:pPr>
            <w:r>
              <w:rPr>
                <w:rFonts w:ascii="Century Gothic" w:cs="Century Gothic" w:eastAsia="Century Gothic" w:hAnsi="Century Gothic"/>
                <w:b/>
                <w:bCs/>
                <w:color w:val="1A1F1D"/>
              </w:rPr>
              <w:t xml:space="preserve">In the room. </w:t>
            </w:r>
            <w:r>
              <w:rPr>
                <w:rFonts w:ascii="Century Gothic" w:cs="Century Gothic" w:eastAsia="Century Gothic" w:hAnsi="Century Gothic"/>
                <w:color w:val="1A1F1D"/>
              </w:rPr>
              <w:t xml:space="preserve">Bring footage of your own teaching to your next coaching meeting and name one concrete change to make.</w:t>
            </w:r>
          </w:p>
        </w:tc>
      </w:tr>
    </w:tbl>
    <w:p>
      <w:pPr>
        <w:spacing w:after="60"/>
      </w:pPr>
      <w:r>
        <w:rPr>
          <w:rFonts w:ascii="Century Gothic" w:cs="Century Gothic" w:eastAsia="Century Gothic" w:hAnsi="Century Gothic"/>
          <w:color w:val="1A1F1D"/>
        </w:rPr>
        <w:t xml:space="preserve"/>
      </w:r>
    </w:p>
    <w:p>
      <w:pPr>
        <w:spacing w:after="120" w:line="276"/>
      </w:pPr>
      <w:r>
        <w:rPr>
          <w:rFonts w:ascii="Century Gothic" w:cs="Century Gothic" w:eastAsia="Century Gothic" w:hAnsi="Century Gothic"/>
          <w:color w:val="1A1F1D"/>
        </w:rPr>
        <w:t xml:space="preserve">This is Pillar 1 of six. The companion pillars are Questioning &amp; Classroom Dialogue, Instruction &amp; Modelling, Checking for Understanding, Adaptive Teaching &amp; Inclusion, and Standards &amp; Curriculum.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2DD" w:sz="4" w:space="6"/>
      </w:pBdr>
      <w:tabs>
        <w:tab w:val="right" w:pos="9026"/>
      </w:tabs>
    </w:pPr>
    <w:r>
      <w:rPr>
        <w:rFonts w:ascii="Century Gothic" w:cs="Century Gothic" w:eastAsia="Century Gothic" w:hAnsi="Century Gothic"/>
        <w:color w:val="555F5A"/>
        <w:sz w:val="16"/>
        <w:szCs w:val="16"/>
      </w:rPr>
      <w:t xml:space="preserve">A Nishkam Schools professional development programme</w:t>
    </w:r>
    <w:r>
      <w:rPr>
        <w:rFonts w:ascii="Century Gothic" w:cs="Century Gothic" w:eastAsia="Century Gothic" w:hAnsi="Century Gothic"/>
        <w:color w:val="555F5A"/>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2DD" w:sz="4" w:space="6"/>
      </w:pBdr>
      <w:tabs>
        <w:tab w:val="right" w:pos="9026"/>
      </w:tabs>
    </w:pPr>
    <w:r>
      <w:rPr>
        <w:rFonts w:ascii="Century Gothic" w:cs="Century Gothic" w:eastAsia="Century Gothic" w:hAnsi="Century Gothic"/>
        <w:b/>
        <w:bCs/>
        <w:caps/>
        <w:color w:val="3F9488"/>
        <w:sz w:val="16"/>
        <w:szCs w:val="16"/>
      </w:rPr>
      <w:t xml:space="preserve">TEACHING EXCELLENCE PROGRAMME</w:t>
    </w:r>
    <w:r>
      <w:rPr>
        <w:rFonts w:ascii="Century Gothic" w:cs="Century Gothic" w:eastAsia="Century Gothic" w:hAnsi="Century Gothic"/>
        <w:color w:val="555F5A"/>
        <w:sz w:val="16"/>
        <w:szCs w:val="16"/>
      </w:rPr>
      <w:t xml:space="preserve">	Pillar 1 · Behaviour &amp; Climate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80"/>
      </w:pPr>
    </w:lvl>
  </w:abstractNum>
  <w:abstractNum w:abstractNumId="4" w15:restartNumberingAfterBreak="0">
    <w:multiLevelType w:val="hybridMultilevel"/>
    <w:lvl w:ilvl="0" w15:tentative="1">
      <w:start w:val="1"/>
      <w:numFmt w:val="decimal"/>
      <w:lvlText w:val="%1."/>
      <w:lvlJc w:val="left"/>
      <w:pPr>
        <w:ind w:left="460" w:hanging="28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abstractNum w:abstractNumId="7" w15:restartNumberingAfterBreak="0">
    <w:multiLevelType w:val="hybridMultilevel"/>
    <w:lvl w:ilvl="0" w15:tentative="1">
      <w:start w:val="1"/>
      <w:numFmt w:val="decimal"/>
      <w:lvlText w:val="%1."/>
      <w:lvlJc w:val="left"/>
      <w:pPr>
        <w:ind w:left="460" w:hanging="280"/>
      </w:pPr>
    </w:lvl>
  </w:abstractNum>
  <w:abstractNum w:abstractNumId="8"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A1F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entury Gothic" w:cs="Century Gothic" w:eastAsia="Century Gothic" w:hAnsi="Century Gothic"/>
      <w:b/>
      <w:bCs/>
      <w:color w:val="14322D"/>
      <w:sz w:val="30"/>
      <w:szCs w:val="30"/>
    </w:rPr>
  </w:style>
  <w:style w:type="paragraph" w:styleId="Heading2">
    <w:name w:val="Heading 2"/>
    <w:basedOn w:val="Normal"/>
    <w:next w:val="Normal"/>
    <w:qFormat/>
    <w:pPr>
      <w:spacing w:after="80" w:before="240"/>
      <w:outlineLvl w:val="1"/>
    </w:pPr>
    <w:rPr>
      <w:rFonts w:ascii="Century Gothic" w:cs="Century Gothic" w:eastAsia="Century Gothic" w:hAnsi="Century Gothic"/>
      <w:b/>
      <w:bCs/>
      <w:color w:val="1432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81604a7041e2694108c7983bce2311457d67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2026-06-10T08:16:07.192Z</dcterms:created>
  <dcterms:modified xsi:type="dcterms:W3CDTF">2026-06-10T08:16:07.204Z</dcterms:modified>
</cp:coreProperties>
</file>

<file path=docProps/custom.xml><?xml version="1.0" encoding="utf-8"?>
<Properties xmlns="http://schemas.openxmlformats.org/officeDocument/2006/custom-properties" xmlns:vt="http://schemas.openxmlformats.org/officeDocument/2006/docPropsVTypes"/>
</file>