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3</w:t>
      </w:r>
    </w:p>
    <w:p>
      <w:pPr>
        <w:spacing w:after="60"/>
      </w:pPr>
      <w:r>
        <w:rPr>
          <w:rFonts w:ascii="Century Gothic" w:cs="Century Gothic" w:eastAsia="Century Gothic" w:hAnsi="Century Gothic"/>
          <w:b/>
          <w:bCs/>
          <w:color w:val="14322D"/>
          <w:sz w:val="50"/>
          <w:szCs w:val="50"/>
        </w:rPr>
        <w:t xml:space="preserve">Instruction &amp; Modelling</w:t>
      </w:r>
    </w:p>
    <w:p>
      <w:pPr>
        <w:spacing w:after="300"/>
      </w:pPr>
      <w:r>
        <w:rPr>
          <w:rFonts w:ascii="Century Gothic" w:cs="Century Gothic" w:eastAsia="Century Gothic" w:hAnsi="Century Gothic"/>
          <w:color w:val="1A1F1D"/>
          <w:sz w:val="36"/>
          <w:szCs w:val="36"/>
        </w:rPr>
        <w:t xml:space="preserve">Explaining and modelling,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“Present new material in small steps, with practice after each step.”</w:t>
            </w:r>
          </w:p>
          <w:p>
            <w:pPr>
              <w:spacing w:before="40"/>
            </w:pPr>
            <w:r>
              <w:rPr>
                <w:rFonts w:ascii="Century Gothic" w:cs="Century Gothic" w:eastAsia="Century Gothic" w:hAnsi="Century Gothic"/>
                <w:color w:val="555F5A"/>
                <w:sz w:val="20"/>
                <w:szCs w:val="20"/>
              </w:rPr>
              <w:t xml:space="preserve">Barak Rosenshine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1 · Purpose and shared practice</w:t>
      </w:r>
    </w:p>
    <w:p>
      <w:pPr>
        <w:spacing w:after="120" w:line="276"/>
      </w:pPr>
      <w:r>
        <w:rPr>
          <w:rFonts w:ascii="Century Gothic" w:cs="Century Gothic" w:eastAsia="Century Gothic" w:hAnsi="Century Gothic"/>
          <w:color w:val="1A1F1D"/>
          <w:sz w:val="24"/>
          <w:szCs w:val="24"/>
        </w:rPr>
        <w:t xml:space="preserve">2 · Why we explain and model</w:t>
      </w:r>
    </w:p>
    <w:p>
      <w:pPr>
        <w:spacing w:after="120" w:line="276"/>
      </w:pPr>
      <w:r>
        <w:rPr>
          <w:rFonts w:ascii="Century Gothic" w:cs="Century Gothic" w:eastAsia="Century Gothic" w:hAnsi="Century Gothic"/>
          <w:color w:val="1A1F1D"/>
          <w:sz w:val="24"/>
          <w:szCs w:val="24"/>
        </w:rPr>
        <w:t xml:space="preserve">3 · Modelling in action — making thinking visible</w:t>
      </w:r>
    </w:p>
    <w:p>
      <w:pPr>
        <w:spacing w:after="120" w:line="276"/>
      </w:pPr>
      <w:r>
        <w:rPr>
          <w:rFonts w:ascii="Century Gothic" w:cs="Century Gothic" w:eastAsia="Century Gothic" w:hAnsi="Century Gothic"/>
          <w:color w:val="1A1F1D"/>
          <w:sz w:val="24"/>
          <w:szCs w:val="24"/>
        </w:rPr>
        <w:t xml:space="preserve">4 · The core sequence — I do, we do, you do, and the checklist</w:t>
      </w:r>
    </w:p>
    <w:p>
      <w:pPr>
        <w:spacing w:after="120" w:line="276"/>
      </w:pPr>
      <w:r>
        <w:rPr>
          <w:rFonts w:ascii="Century Gothic" w:cs="Century Gothic" w:eastAsia="Century Gothic" w:hAnsi="Century Gothic"/>
          <w:color w:val="1A1F1D"/>
          <w:sz w:val="24"/>
          <w:szCs w:val="24"/>
        </w:rPr>
        <w:t xml:space="preserve">5 · Inclusion and adaptive practice</w:t>
      </w:r>
    </w:p>
    <w:p>
      <w:pPr>
        <w:spacing w:after="120" w:line="276"/>
      </w:pPr>
      <w:r>
        <w:rPr>
          <w:rFonts w:ascii="Century Gothic" w:cs="Century Gothic" w:eastAsia="Century Gothic" w:hAnsi="Century Gothic"/>
          <w:color w:val="1A1F1D"/>
          <w:sz w:val="24"/>
          <w:szCs w:val="24"/>
        </w:rPr>
        <w:t xml:space="preserve">6 · Sharpening explanation — dual coding, examples, economy of language</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1 · Purpose and shared practice</w:t>
      </w:r>
    </w:p>
    <w:p>
      <w:pPr>
        <w:pStyle w:val="Heading2"/>
        <w:spacing w:after="80" w:before="240"/>
      </w:pPr>
      <w:r>
        <w:rPr>
          <w:rFonts w:ascii="Century Gothic" w:cs="Century Gothic" w:eastAsia="Century Gothic" w:hAnsi="Century Gothic"/>
          <w:b/>
          <w:bCs/>
          <w:color w:val="14322D"/>
          <w:sz w:val="24"/>
          <w:szCs w:val="24"/>
        </w:rPr>
        <w:t xml:space="preserve">What this pillar is for</w:t>
      </w:r>
    </w:p>
    <w:p>
      <w:pPr>
        <w:pStyle w:val="ListParagraph"/>
        <w:numPr>
          <w:ilvl w:val="0"/>
          <w:numId w:val="2"/>
        </w:numPr>
        <w:spacing w:after="60" w:line="264"/>
      </w:pPr>
      <w:r>
        <w:rPr>
          <w:rFonts w:ascii="Century Gothic" w:cs="Century Gothic" w:eastAsia="Century Gothic" w:hAnsi="Century Gothic"/>
          <w:color w:val="1A1F1D"/>
        </w:rPr>
        <w:t xml:space="preserve">To explain new ideas clearly, in small steps, so pupils can follow them and hold on to them.</w:t>
      </w:r>
    </w:p>
    <w:p>
      <w:pPr>
        <w:pStyle w:val="ListParagraph"/>
        <w:numPr>
          <w:ilvl w:val="0"/>
          <w:numId w:val="2"/>
        </w:numPr>
        <w:spacing w:after="60" w:line="264"/>
      </w:pPr>
      <w:r>
        <w:rPr>
          <w:rFonts w:ascii="Century Gothic" w:cs="Century Gothic" w:eastAsia="Century Gothic" w:hAnsi="Century Gothic"/>
          <w:color w:val="1A1F1D"/>
        </w:rPr>
        <w:t xml:space="preserve">To model expert thinking out loud, so pupils can see how a problem is actually worked.</w:t>
      </w:r>
    </w:p>
    <w:p>
      <w:pPr>
        <w:pStyle w:val="ListParagraph"/>
        <w:numPr>
          <w:ilvl w:val="0"/>
          <w:numId w:val="2"/>
        </w:numPr>
        <w:spacing w:after="60" w:line="264"/>
      </w:pPr>
      <w:r>
        <w:rPr>
          <w:rFonts w:ascii="Century Gothic" w:cs="Century Gothic" w:eastAsia="Century Gothic" w:hAnsi="Century Gothic"/>
          <w:color w:val="1A1F1D"/>
        </w:rPr>
        <w:t xml:space="preserve">To move pupils from watching to doing through guided practice, before they work alone.</w:t>
      </w:r>
    </w:p>
    <w:p>
      <w:pPr>
        <w:pStyle w:val="ListParagraph"/>
        <w:numPr>
          <w:ilvl w:val="0"/>
          <w:numId w:val="2"/>
        </w:numPr>
        <w:spacing w:after="60" w:line="264"/>
      </w:pPr>
      <w:r>
        <w:rPr>
          <w:rFonts w:ascii="Century Gothic" w:cs="Century Gothic" w:eastAsia="Century Gothic" w:hAnsi="Century Gothic"/>
          <w:color w:val="1A1F1D"/>
        </w:rPr>
        <w:t xml:space="preserve">To build a shared language for instruction across a school, so pupils meet the same clarity in every classroom.</w:t>
      </w:r>
    </w:p>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Strong instruction is not a gift some teachers are born with. </w:t>
      </w:r>
      <w:r>
        <w:rPr>
          <w:rFonts w:ascii="Century Gothic" w:cs="Century Gothic" w:eastAsia="Century Gothic" w:hAnsi="Century Gothic"/>
          <w:b/>
          <w:bCs/>
          <w:color w:val="1A1F1D"/>
        </w:rPr>
        <w:t xml:space="preserve">It is built from a small number of deliberate moves</w:t>
      </w:r>
      <w:r>
        <w:rPr>
          <w:rFonts w:ascii="Century Gothic" w:cs="Century Gothic" w:eastAsia="Century Gothic" w:hAnsi="Century Gothic"/>
          <w:color w:val="1A1F1D"/>
        </w:rPr>
        <w:t xml:space="preserve"> — explaining in small steps, modelling the thinking, practising together, and checking before release — rehearsed until they are second nature.</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What strong everyday practice looks like</w:t>
      </w:r>
    </w:p>
    <w:p>
      <w:pPr>
        <w:spacing w:after="120" w:line="276"/>
      </w:pPr>
      <w:r>
        <w:rPr>
          <w:rFonts w:ascii="Century Gothic" w:cs="Century Gothic" w:eastAsia="Century Gothic" w:hAnsi="Century Gothic"/>
          <w:color w:val="1A1F1D"/>
        </w:rPr>
        <w:t xml:space="preserve">A useful starting audit. Where instruction is strong, the teacher tends to:</w:t>
      </w:r>
    </w:p>
    <w:p>
      <w:pPr>
        <w:pStyle w:val="ListParagraph"/>
        <w:numPr>
          <w:ilvl w:val="0"/>
          <w:numId w:val="2"/>
        </w:numPr>
        <w:spacing w:after="60" w:line="264"/>
      </w:pPr>
      <w:r>
        <w:rPr>
          <w:rFonts w:ascii="Century Gothic" w:cs="Century Gothic" w:eastAsia="Century Gothic" w:hAnsi="Century Gothic"/>
          <w:color w:val="1A1F1D"/>
        </w:rPr>
        <w:t xml:space="preserve">name the purpose of a model before starting it;</w:t>
      </w:r>
    </w:p>
    <w:p>
      <w:pPr>
        <w:pStyle w:val="ListParagraph"/>
        <w:numPr>
          <w:ilvl w:val="0"/>
          <w:numId w:val="2"/>
        </w:numPr>
        <w:spacing w:after="60" w:line="264"/>
      </w:pPr>
      <w:r>
        <w:rPr>
          <w:rFonts w:ascii="Century Gothic" w:cs="Century Gothic" w:eastAsia="Century Gothic" w:hAnsi="Century Gothic"/>
          <w:color w:val="1A1F1D"/>
        </w:rPr>
        <w:t xml:space="preserve">narrate the thinking as it happens, not just the finished answer;</w:t>
      </w:r>
    </w:p>
    <w:p>
      <w:pPr>
        <w:pStyle w:val="ListParagraph"/>
        <w:numPr>
          <w:ilvl w:val="0"/>
          <w:numId w:val="2"/>
        </w:numPr>
        <w:spacing w:after="60" w:line="264"/>
      </w:pPr>
      <w:r>
        <w:rPr>
          <w:rFonts w:ascii="Century Gothic" w:cs="Century Gothic" w:eastAsia="Century Gothic" w:hAnsi="Century Gothic"/>
          <w:color w:val="1A1F1D"/>
        </w:rPr>
        <w:t xml:space="preserve">model on a shared surface every pupil can see;</w:t>
      </w:r>
    </w:p>
    <w:p>
      <w:pPr>
        <w:pStyle w:val="ListParagraph"/>
        <w:numPr>
          <w:ilvl w:val="0"/>
          <w:numId w:val="2"/>
        </w:numPr>
        <w:spacing w:after="60" w:line="264"/>
      </w:pPr>
      <w:r>
        <w:rPr>
          <w:rFonts w:ascii="Century Gothic" w:cs="Century Gothic" w:eastAsia="Century Gothic" w:hAnsi="Century Gothic"/>
          <w:color w:val="1A1F1D"/>
        </w:rPr>
        <w:t xml:space="preserve">work from a clear visual, and let it carry part of the load;</w:t>
      </w:r>
    </w:p>
    <w:p>
      <w:pPr>
        <w:pStyle w:val="ListParagraph"/>
        <w:numPr>
          <w:ilvl w:val="0"/>
          <w:numId w:val="2"/>
        </w:numPr>
        <w:spacing w:after="60" w:line="264"/>
      </w:pPr>
      <w:r>
        <w:rPr>
          <w:rFonts w:ascii="Century Gothic" w:cs="Century Gothic" w:eastAsia="Century Gothic" w:hAnsi="Century Gothic"/>
          <w:color w:val="1A1F1D"/>
        </w:rPr>
        <w:t xml:space="preserve">use the same precise language each time;</w:t>
      </w:r>
    </w:p>
    <w:p>
      <w:pPr>
        <w:pStyle w:val="ListParagraph"/>
        <w:numPr>
          <w:ilvl w:val="0"/>
          <w:numId w:val="2"/>
        </w:numPr>
        <w:spacing w:after="60" w:line="264"/>
      </w:pPr>
      <w:r>
        <w:rPr>
          <w:rFonts w:ascii="Century Gothic" w:cs="Century Gothic" w:eastAsia="Century Gothic" w:hAnsi="Century Gothic"/>
          <w:color w:val="1A1F1D"/>
        </w:rPr>
        <w:t xml:space="preserve">practise a close example with the class before setting them off;</w:t>
      </w:r>
    </w:p>
    <w:p>
      <w:pPr>
        <w:pStyle w:val="ListParagraph"/>
        <w:numPr>
          <w:ilvl w:val="0"/>
          <w:numId w:val="2"/>
        </w:numPr>
        <w:spacing w:after="60" w:line="264"/>
      </w:pPr>
      <w:r>
        <w:rPr>
          <w:rFonts w:ascii="Century Gothic" w:cs="Century Gothic" w:eastAsia="Century Gothic" w:hAnsi="Century Gothic"/>
          <w:color w:val="1A1F1D"/>
        </w:rPr>
        <w:t xml:space="preserve">check understanding before moving to independent work;</w:t>
      </w:r>
    </w:p>
    <w:p>
      <w:pPr>
        <w:pStyle w:val="ListParagraph"/>
        <w:numPr>
          <w:ilvl w:val="0"/>
          <w:numId w:val="2"/>
        </w:numPr>
        <w:spacing w:after="60" w:line="264"/>
      </w:pPr>
      <w:r>
        <w:rPr>
          <w:rFonts w:ascii="Century Gothic" w:cs="Century Gothic" w:eastAsia="Century Gothic" w:hAnsi="Century Gothic"/>
          <w:color w:val="1A1F1D"/>
        </w:rPr>
        <w:t xml:space="preserve">give short, specific feedback, and resist over-explaining once pupils are right.</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At Nishkam, modelling is an act of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 the patient, step-by-step narration that shows every move of the thinking — done with the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of an uncluttered explanation that never rushes. The principle travels: model slowly, show every step, and keep the language the same each time, whatever your setting.</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Independent task</w:t>
            </w:r>
          </w:p>
          <w:p>
            <w:pPr>
              <w:spacing w:after="120" w:line="276"/>
            </w:pPr>
            <w:r>
              <w:rPr>
                <w:rFonts w:ascii="Century Gothic" w:cs="Century Gothic" w:eastAsia="Century Gothic" w:hAnsi="Century Gothic"/>
                <w:color w:val="1A1F1D"/>
              </w:rPr>
              <w:t xml:space="preserve">Think of one idea your pupils consistently find hard. Which step in your explanation is doing the most work — and which step do you tend to skip or rush?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2 · Why we explain and model</w:t>
      </w:r>
    </w:p>
    <w:p>
      <w:pPr>
        <w:spacing w:after="120" w:line="276"/>
      </w:pPr>
      <w:r>
        <w:rPr>
          <w:rFonts w:ascii="Century Gothic" w:cs="Century Gothic" w:eastAsia="Century Gothic" w:hAnsi="Century Gothic"/>
          <w:b/>
          <w:bCs/>
          <w:color w:val="1A1F1D"/>
        </w:rPr>
        <w:t xml:space="preserve">Instruction is taught in steps. </w:t>
      </w:r>
      <w:r>
        <w:rPr>
          <w:rFonts w:ascii="Century Gothic" w:cs="Century Gothic" w:eastAsia="Century Gothic" w:hAnsi="Century Gothic"/>
          <w:color w:val="1A1F1D"/>
        </w:rPr>
        <w:t xml:space="preserve">Novices do not learn a complex idea by being shown it once and sent to practise. They learn it in small, ordered steps, with a chance to try each step before the next is added. The teacher’s job is to break an idea down further than feels necessary, then build it back up in front of the class.</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Four ideas that sit underneath strong instruction</w:t>
      </w:r>
    </w:p>
    <w:p>
      <w:pPr>
        <w:pStyle w:val="ListParagraph"/>
        <w:numPr>
          <w:ilvl w:val="0"/>
          <w:numId w:val="2"/>
        </w:numPr>
        <w:spacing w:after="60" w:line="264"/>
      </w:pPr>
      <w:r>
        <w:rPr>
          <w:rFonts w:ascii="Century Gothic" w:cs="Century Gothic" w:eastAsia="Century Gothic" w:hAnsi="Century Gothic"/>
          <w:b/>
          <w:bCs/>
          <w:color w:val="1A1F1D"/>
        </w:rPr>
        <w:t xml:space="preserve">Economy of language. </w:t>
      </w:r>
      <w:r>
        <w:rPr>
          <w:rFonts w:ascii="Century Gothic" w:cs="Century Gothic" w:eastAsia="Century Gothic" w:hAnsi="Century Gothic"/>
          <w:color w:val="1A1F1D"/>
        </w:rPr>
        <w:t xml:space="preserve">Say only what needs saying. The same precise phrases each time, so the words do not get in the way of the idea.</w:t>
      </w:r>
    </w:p>
    <w:p>
      <w:pPr>
        <w:pStyle w:val="ListParagraph"/>
        <w:numPr>
          <w:ilvl w:val="0"/>
          <w:numId w:val="2"/>
        </w:numPr>
        <w:spacing w:after="60" w:line="264"/>
      </w:pPr>
      <w:r>
        <w:rPr>
          <w:rFonts w:ascii="Century Gothic" w:cs="Century Gothic" w:eastAsia="Century Gothic" w:hAnsi="Century Gothic"/>
          <w:b/>
          <w:bCs/>
          <w:color w:val="1A1F1D"/>
        </w:rPr>
        <w:t xml:space="preserve">Input and output. </w:t>
      </w:r>
      <w:r>
        <w:rPr>
          <w:rFonts w:ascii="Century Gothic" w:cs="Century Gothic" w:eastAsia="Century Gothic" w:hAnsi="Century Gothic"/>
          <w:color w:val="1A1F1D"/>
        </w:rPr>
        <w:t xml:space="preserve">Alternate between showing and doing — I do, we do, you do — so pupils are never watching for long without trying it themselves.</w:t>
      </w:r>
    </w:p>
    <w:p>
      <w:pPr>
        <w:pStyle w:val="ListParagraph"/>
        <w:numPr>
          <w:ilvl w:val="0"/>
          <w:numId w:val="2"/>
        </w:numPr>
        <w:spacing w:after="60" w:line="264"/>
      </w:pPr>
      <w:r>
        <w:rPr>
          <w:rFonts w:ascii="Century Gothic" w:cs="Century Gothic" w:eastAsia="Century Gothic" w:hAnsi="Century Gothic"/>
          <w:b/>
          <w:bCs/>
          <w:color w:val="1A1F1D"/>
        </w:rPr>
        <w:t xml:space="preserve">Dual coding. </w:t>
      </w:r>
      <w:r>
        <w:rPr>
          <w:rFonts w:ascii="Century Gothic" w:cs="Century Gothic" w:eastAsia="Century Gothic" w:hAnsi="Century Gothic"/>
          <w:color w:val="1A1F1D"/>
        </w:rPr>
        <w:t xml:space="preserve">Pair the explanation with a clear visual, and let the picture carry part of the load while working memory does the rest.</w:t>
      </w:r>
    </w:p>
    <w:p>
      <w:pPr>
        <w:pStyle w:val="ListParagraph"/>
        <w:numPr>
          <w:ilvl w:val="0"/>
          <w:numId w:val="2"/>
        </w:numPr>
        <w:spacing w:after="60" w:line="264"/>
      </w:pPr>
      <w:r>
        <w:rPr>
          <w:rFonts w:ascii="Century Gothic" w:cs="Century Gothic" w:eastAsia="Century Gothic" w:hAnsi="Century Gothic"/>
          <w:b/>
          <w:bCs/>
          <w:color w:val="1A1F1D"/>
        </w:rPr>
        <w:t xml:space="preserve">Worked examples. </w:t>
      </w:r>
      <w:r>
        <w:rPr>
          <w:rFonts w:ascii="Century Gothic" w:cs="Century Gothic" w:eastAsia="Century Gothic" w:hAnsi="Century Gothic"/>
          <w:color w:val="1A1F1D"/>
        </w:rPr>
        <w:t xml:space="preserve">Show what good looks like, and what it does not, so the standard is concrete before pupils attempt it.</w:t>
      </w:r>
    </w:p>
    <w:p>
      <w:pPr>
        <w:spacing w:after="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These are not four techniques to bolt on. They are four ways of doing the same thing — keeping the load low enough that pupils can think about the idea itself.</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Group discussion</w:t>
            </w:r>
          </w:p>
          <w:p>
            <w:pPr>
              <w:spacing w:after="120" w:line="276"/>
            </w:pPr>
            <w:r>
              <w:rPr>
                <w:rFonts w:ascii="Century Gothic" w:cs="Century Gothic" w:eastAsia="Century Gothic" w:hAnsi="Century Gothic"/>
                <w:color w:val="1A1F1D"/>
              </w:rPr>
              <w:t xml:space="preserve">How do you currently decide how much to explain before setting pupils off? Where might smaller steps help? Which of the four ideas above is least embedded in your team’s teaching?</w:t>
            </w:r>
          </w:p>
        </w:tc>
      </w:tr>
    </w:tbl>
    <w:p>
      <w:pPr>
        <w:pStyle w:val="Heading1"/>
        <w:pageBreakBefore/>
        <w:spacing w:after="120" w:before="0"/>
      </w:pPr>
      <w:r>
        <w:rPr>
          <w:rFonts w:ascii="Century Gothic" w:cs="Century Gothic" w:eastAsia="Century Gothic" w:hAnsi="Century Gothic"/>
          <w:b/>
          <w:bCs/>
          <w:color w:val="14322D"/>
          <w:sz w:val="30"/>
          <w:szCs w:val="30"/>
        </w:rPr>
        <w:t xml:space="preserve">3 · Modelling in action — making thinking visible</w:t>
      </w:r>
    </w:p>
    <w:p>
      <w:pPr>
        <w:spacing w:after="120" w:line="276"/>
      </w:pPr>
      <w:r>
        <w:rPr>
          <w:rFonts w:ascii="Century Gothic" w:cs="Century Gothic" w:eastAsia="Century Gothic" w:hAnsi="Century Gothic"/>
          <w:color w:val="1A1F1D"/>
        </w:rPr>
        <w:t xml:space="preserve">This section draws on Barak Rosenshine’s Principles of Instruction and Tom Sherrington’s Rosenshine’s Principles in Action.</w:t>
      </w:r>
    </w:p>
    <w:p>
      <w:pPr>
        <w:spacing w:after="120" w:line="276"/>
      </w:pPr>
      <w:r>
        <w:rPr>
          <w:rFonts w:ascii="Century Gothic" w:cs="Century Gothic" w:eastAsia="Century Gothic" w:hAnsi="Century Gothic"/>
          <w:color w:val="1A1F1D"/>
        </w:rPr>
        <w:t xml:space="preserve">The central claim is simple: pupils learn a great deal from watching an expert work, provided the expert makes the thinking visible. A model is not a finished example shown on the board. It is the teacher working the problem live, narrating the decisions — what to notice first, what to do next, and why — so that the quiet reasoning of an expert becomes audible.</w:t>
      </w:r>
    </w:p>
    <w:p>
      <w:pPr>
        <w:spacing w:after="60" w:before="160"/>
      </w:pPr>
      <w:r>
        <w:rPr>
          <w:rFonts w:ascii="Century Gothic" w:cs="Century Gothic" w:eastAsia="Century Gothic" w:hAnsi="Century Gothic"/>
          <w:b/>
          <w:bCs/>
          <w:color w:val="3F9488"/>
          <w:sz w:val="22"/>
          <w:szCs w:val="22"/>
        </w:rPr>
        <w:t xml:space="preserve">Narrate the thinking, not just the answer</w:t>
      </w:r>
    </w:p>
    <w:p>
      <w:pPr>
        <w:spacing w:after="120" w:line="276"/>
      </w:pPr>
      <w:r>
        <w:rPr>
          <w:rFonts w:ascii="Century Gothic" w:cs="Century Gothic" w:eastAsia="Century Gothic" w:hAnsi="Century Gothic"/>
          <w:color w:val="1A1F1D"/>
        </w:rPr>
        <w:t xml:space="preserve">The difference between a model and a demonstration is the narration. A demonstration shows the steps; a model shows the thinking behind them. Saying the quiet part out loud — ‘the first thing I notice is…’, ‘I’m choosing this because…’ — is what lets a novice copy the reasoning, not just the result.</w:t>
      </w:r>
    </w:p>
    <w:p>
      <w:pPr>
        <w:spacing w:after="60" w:before="160"/>
      </w:pPr>
      <w:r>
        <w:rPr>
          <w:rFonts w:ascii="Century Gothic" w:cs="Century Gothic" w:eastAsia="Century Gothic" w:hAnsi="Century Gothic"/>
          <w:b/>
          <w:bCs/>
          <w:color w:val="3F9488"/>
          <w:sz w:val="22"/>
          <w:szCs w:val="22"/>
        </w:rPr>
        <w:t xml:space="preserve">Make it visible to all</w:t>
      </w:r>
    </w:p>
    <w:p>
      <w:pPr>
        <w:spacing w:after="120" w:line="276"/>
      </w:pPr>
      <w:r>
        <w:rPr>
          <w:rFonts w:ascii="Century Gothic" w:cs="Century Gothic" w:eastAsia="Century Gothic" w:hAnsi="Century Gothic"/>
          <w:color w:val="1A1F1D"/>
        </w:rPr>
        <w:t xml:space="preserve">Model on a shared surface — a visualiser or board — so every pupil can see each step as it is made. Build the model against the success criteria, and step back at the end to check it against them in front of the class.</w:t>
      </w:r>
    </w:p>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Group discussion</w:t>
            </w:r>
          </w:p>
          <w:p>
            <w:pPr>
              <w:spacing w:after="120" w:line="276"/>
            </w:pPr>
            <w:r>
              <w:rPr>
                <w:rFonts w:ascii="Century Gothic" w:cs="Century Gothic" w:eastAsia="Century Gothic" w:hAnsi="Century Gothic"/>
                <w:color w:val="1A1F1D"/>
              </w:rPr>
              <w:t xml:space="preserve">Where do you already model well? Where do pupils see a finished answer rather than the thinking that produced it? What stops you narrating more of your own reasoning?</w:t>
            </w:r>
          </w:p>
        </w:tc>
      </w:tr>
    </w:tbl>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Video study</w:t>
            </w:r>
          </w:p>
          <w:p>
            <w:pPr>
              <w:spacing w:after="120" w:line="276"/>
            </w:pPr>
            <w:r>
              <w:rPr>
                <w:rFonts w:ascii="Century Gothic" w:cs="Century Gothic" w:eastAsia="Century Gothic" w:hAnsi="Century Gothic"/>
                <w:color w:val="1A1F1D"/>
              </w:rPr>
              <w:t xml:space="preserve">Watch a short clip from the </w:t>
            </w:r>
            <w:r>
              <w:rPr>
                <w:rFonts w:ascii="Century Gothic" w:cs="Century Gothic" w:eastAsia="Century Gothic" w:hAnsi="Century Gothic"/>
                <w:i/>
                <w:iCs/>
                <w:color w:val="1A1F1D"/>
              </w:rPr>
              <w:t xml:space="preserve">Teach Like a Champion</w:t>
            </w:r>
            <w:r>
              <w:rPr>
                <w:rFonts w:ascii="Century Gothic" w:cs="Century Gothic" w:eastAsia="Century Gothic" w:hAnsi="Century Gothic"/>
                <w:color w:val="1A1F1D"/>
              </w:rPr>
              <w:t xml:space="preserve"> collection, then discuss as a group.</w:t>
            </w:r>
          </w:p>
          <w:p>
            <w:pPr>
              <w:spacing w:after="120" w:line="276"/>
            </w:pPr>
            <w:r>
              <w:rPr>
                <w:rFonts w:ascii="Century Gothic" w:cs="Century Gothic" w:eastAsia="Century Gothic" w:hAnsi="Century Gothic"/>
                <w:b/>
                <w:bCs/>
                <w:color w:val="1A1F1D"/>
              </w:rPr>
              <w:t xml:space="preserve">Portal: </w:t>
            </w:r>
            <w:r>
              <w:rPr>
                <w:rFonts w:ascii="Century Gothic" w:cs="Century Gothic" w:eastAsia="Century Gothic" w:hAnsi="Century Gothic"/>
                <w:color w:val="1A1F1D"/>
              </w:rPr>
              <w:t xml:space="preserve">books.wiley.com/titles/9781119712619    </w:t>
            </w:r>
            <w:r>
              <w:rPr>
                <w:rFonts w:ascii="Century Gothic" w:cs="Century Gothic" w:eastAsia="Century Gothic" w:hAnsi="Century Gothic"/>
                <w:b/>
                <w:bCs/>
                <w:color w:val="1A1F1D"/>
              </w:rPr>
              <w:t xml:space="preserve">Password: </w:t>
            </w:r>
            <w:r>
              <w:rPr>
                <w:rFonts w:ascii="Century Gothic" w:cs="Century Gothic" w:eastAsia="Century Gothic" w:hAnsi="Century Gothic"/>
                <w:color w:val="1A1F1D"/>
              </w:rPr>
              <w:t xml:space="preserve">consider</w:t>
            </w:r>
          </w:p>
          <w:p>
            <w:pPr>
              <w:spacing w:after="120" w:line="276"/>
            </w:pPr>
            <w:r>
              <w:rPr>
                <w:rFonts w:ascii="Century Gothic" w:cs="Century Gothic" w:eastAsia="Century Gothic" w:hAnsi="Century Gothic"/>
                <w:color w:val="1A1F1D"/>
              </w:rPr>
              <w:t xml:space="preserve">Look for clips on modelling and ‘Board = Paper’. As you watch: What does the teacher narrate that a novice would miss? How is each step made visible to the whole class? Where does the teacher check before moving on?</w:t>
            </w:r>
          </w:p>
        </w:tc>
      </w:tr>
    </w:tbl>
    <w:p>
      <w:pPr>
        <w:pStyle w:val="Heading1"/>
        <w:pageBreakBefore/>
        <w:spacing w:after="120" w:before="0"/>
      </w:pPr>
      <w:r>
        <w:rPr>
          <w:rFonts w:ascii="Century Gothic" w:cs="Century Gothic" w:eastAsia="Century Gothic" w:hAnsi="Century Gothic"/>
          <w:b/>
          <w:bCs/>
          <w:color w:val="14322D"/>
          <w:sz w:val="30"/>
          <w:szCs w:val="30"/>
        </w:rPr>
        <w:t xml:space="preserve">4 · The core sequence — I do, we do, you do</w:t>
      </w:r>
    </w:p>
    <w:p>
      <w:pPr>
        <w:spacing w:after="120" w:line="276"/>
      </w:pPr>
      <w:r>
        <w:rPr>
          <w:rFonts w:ascii="Century Gothic" w:cs="Century Gothic" w:eastAsia="Century Gothic" w:hAnsi="Century Gothic"/>
          <w:color w:val="1A1F1D"/>
        </w:rPr>
        <w:t xml:space="preserve">The simplest shape for teaching a new skill alternates between the teacher and the pupils, releasing responsibility a step at a time.</w:t>
      </w:r>
    </w:p>
    <w:p>
      <w:pPr>
        <w:spacing w:after="60" w:before="160"/>
      </w:pPr>
      <w:r>
        <w:rPr>
          <w:rFonts w:ascii="Century Gothic" w:cs="Century Gothic" w:eastAsia="Century Gothic" w:hAnsi="Century Gothic"/>
          <w:b/>
          <w:bCs/>
          <w:color w:val="3F9488"/>
          <w:sz w:val="22"/>
          <w:szCs w:val="22"/>
        </w:rPr>
        <w:t xml:space="preserve">I do — the teacher models</w:t>
      </w:r>
    </w:p>
    <w:p>
      <w:pPr>
        <w:pStyle w:val="ListParagraph"/>
        <w:numPr>
          <w:ilvl w:val="0"/>
          <w:numId w:val="3"/>
        </w:numPr>
        <w:spacing w:after="60" w:line="264"/>
      </w:pPr>
      <w:r>
        <w:rPr>
          <w:rFonts w:ascii="Century Gothic" w:cs="Century Gothic" w:eastAsia="Century Gothic" w:hAnsi="Century Gothic"/>
          <w:color w:val="1A1F1D"/>
        </w:rPr>
        <w:t xml:space="preserve">Name the purpose of the model aloud.</w:t>
      </w:r>
    </w:p>
    <w:p>
      <w:pPr>
        <w:pStyle w:val="ListParagraph"/>
        <w:numPr>
          <w:ilvl w:val="0"/>
          <w:numId w:val="3"/>
        </w:numPr>
        <w:spacing w:after="60" w:line="264"/>
      </w:pPr>
      <w:r>
        <w:rPr>
          <w:rFonts w:ascii="Century Gothic" w:cs="Century Gothic" w:eastAsia="Century Gothic" w:hAnsi="Century Gothic"/>
          <w:color w:val="1A1F1D"/>
        </w:rPr>
        <w:t xml:space="preserve">Narrate the thinking process as it happens.</w:t>
      </w:r>
    </w:p>
    <w:p>
      <w:pPr>
        <w:pStyle w:val="ListParagraph"/>
        <w:numPr>
          <w:ilvl w:val="0"/>
          <w:numId w:val="3"/>
        </w:numPr>
        <w:spacing w:after="60" w:line="264"/>
      </w:pPr>
      <w:r>
        <w:rPr>
          <w:rFonts w:ascii="Century Gothic" w:cs="Century Gothic" w:eastAsia="Century Gothic" w:hAnsi="Century Gothic"/>
          <w:color w:val="1A1F1D"/>
        </w:rPr>
        <w:t xml:space="preserve">Model each step on a shared surface, visible to all.</w:t>
      </w:r>
    </w:p>
    <w:p>
      <w:pPr>
        <w:pStyle w:val="ListParagraph"/>
        <w:numPr>
          <w:ilvl w:val="0"/>
          <w:numId w:val="3"/>
        </w:numPr>
        <w:spacing w:after="60" w:line="264"/>
      </w:pPr>
      <w:r>
        <w:rPr>
          <w:rFonts w:ascii="Century Gothic" w:cs="Century Gothic" w:eastAsia="Century Gothic" w:hAnsi="Century Gothic"/>
          <w:color w:val="1A1F1D"/>
        </w:rPr>
        <w:t xml:space="preserve">Step back to review the model against the success criteria.</w:t>
      </w:r>
    </w:p>
    <w:p>
      <w:pPr>
        <w:spacing w:after="60" w:before="160"/>
      </w:pPr>
      <w:r>
        <w:rPr>
          <w:rFonts w:ascii="Century Gothic" w:cs="Century Gothic" w:eastAsia="Century Gothic" w:hAnsi="Century Gothic"/>
          <w:b/>
          <w:bCs/>
          <w:color w:val="3F9488"/>
          <w:sz w:val="22"/>
          <w:szCs w:val="22"/>
        </w:rPr>
        <w:t xml:space="preserve">We do — practising together</w:t>
      </w:r>
    </w:p>
    <w:p>
      <w:pPr>
        <w:pStyle w:val="ListParagraph"/>
        <w:numPr>
          <w:ilvl w:val="0"/>
          <w:numId w:val="4"/>
        </w:numPr>
        <w:spacing w:after="60" w:line="264"/>
      </w:pPr>
      <w:r>
        <w:rPr>
          <w:rFonts w:ascii="Century Gothic" w:cs="Century Gothic" w:eastAsia="Century Gothic" w:hAnsi="Century Gothic"/>
          <w:color w:val="1A1F1D"/>
        </w:rPr>
        <w:t xml:space="preserve">Announce the move to ‘we do’ clearly.</w:t>
      </w:r>
    </w:p>
    <w:p>
      <w:pPr>
        <w:pStyle w:val="ListParagraph"/>
        <w:numPr>
          <w:ilvl w:val="0"/>
          <w:numId w:val="4"/>
        </w:numPr>
        <w:spacing w:after="60" w:line="264"/>
      </w:pPr>
      <w:r>
        <w:rPr>
          <w:rFonts w:ascii="Century Gothic" w:cs="Century Gothic" w:eastAsia="Century Gothic" w:hAnsi="Century Gothic"/>
          <w:color w:val="1A1F1D"/>
        </w:rPr>
        <w:t xml:space="preserve">Work a close example with the class — one that matches the model.</w:t>
      </w:r>
    </w:p>
    <w:p>
      <w:pPr>
        <w:pStyle w:val="ListParagraph"/>
        <w:numPr>
          <w:ilvl w:val="0"/>
          <w:numId w:val="4"/>
        </w:numPr>
        <w:spacing w:after="60" w:line="264"/>
      </w:pPr>
      <w:r>
        <w:rPr>
          <w:rFonts w:ascii="Century Gothic" w:cs="Century Gothic" w:eastAsia="Century Gothic" w:hAnsi="Century Gothic"/>
          <w:color w:val="1A1F1D"/>
        </w:rPr>
        <w:t xml:space="preserve">Refer pupils back to the model as you go.</w:t>
      </w:r>
    </w:p>
    <w:p>
      <w:pPr>
        <w:pStyle w:val="ListParagraph"/>
        <w:numPr>
          <w:ilvl w:val="0"/>
          <w:numId w:val="4"/>
        </w:numPr>
        <w:spacing w:after="60" w:line="264"/>
      </w:pPr>
      <w:r>
        <w:rPr>
          <w:rFonts w:ascii="Century Gothic" w:cs="Century Gothic" w:eastAsia="Century Gothic" w:hAnsi="Century Gothic"/>
          <w:color w:val="1A1F1D"/>
        </w:rPr>
        <w:t xml:space="preserve">Check for understanding before release.</w:t>
      </w:r>
    </w:p>
    <w:p>
      <w:pPr>
        <w:spacing w:after="60" w:before="160"/>
      </w:pPr>
      <w:r>
        <w:rPr>
          <w:rFonts w:ascii="Century Gothic" w:cs="Century Gothic" w:eastAsia="Century Gothic" w:hAnsi="Century Gothic"/>
          <w:b/>
          <w:bCs/>
          <w:color w:val="3F9488"/>
          <w:sz w:val="22"/>
          <w:szCs w:val="22"/>
        </w:rPr>
        <w:t xml:space="preserve">You do — independent practice</w:t>
      </w:r>
    </w:p>
    <w:p>
      <w:pPr>
        <w:pStyle w:val="ListParagraph"/>
        <w:numPr>
          <w:ilvl w:val="0"/>
          <w:numId w:val="5"/>
        </w:numPr>
        <w:spacing w:after="60" w:line="264"/>
      </w:pPr>
      <w:r>
        <w:rPr>
          <w:rFonts w:ascii="Century Gothic" w:cs="Century Gothic" w:eastAsia="Century Gothic" w:hAnsi="Century Gothic"/>
          <w:color w:val="1A1F1D"/>
        </w:rPr>
        <w:t xml:space="preserve">Announce the move to ‘you do’ clearly.</w:t>
      </w:r>
    </w:p>
    <w:p>
      <w:pPr>
        <w:pStyle w:val="ListParagraph"/>
        <w:numPr>
          <w:ilvl w:val="0"/>
          <w:numId w:val="5"/>
        </w:numPr>
        <w:spacing w:after="60" w:line="264"/>
      </w:pPr>
      <w:r>
        <w:rPr>
          <w:rFonts w:ascii="Century Gothic" w:cs="Century Gothic" w:eastAsia="Century Gothic" w:hAnsi="Century Gothic"/>
          <w:color w:val="1A1F1D"/>
        </w:rPr>
        <w:t xml:space="preserve">Set pupils into independent practice.</w:t>
      </w:r>
    </w:p>
    <w:p>
      <w:pPr>
        <w:pStyle w:val="ListParagraph"/>
        <w:numPr>
          <w:ilvl w:val="0"/>
          <w:numId w:val="5"/>
        </w:numPr>
        <w:spacing w:after="60" w:line="264"/>
      </w:pPr>
      <w:r>
        <w:rPr>
          <w:rFonts w:ascii="Century Gothic" w:cs="Century Gothic" w:eastAsia="Century Gothic" w:hAnsi="Century Gothic"/>
          <w:color w:val="1A1F1D"/>
        </w:rPr>
        <w:t xml:space="preserve">Keep the modelled example in view.</w:t>
      </w:r>
    </w:p>
    <w:p>
      <w:pPr>
        <w:pStyle w:val="ListParagraph"/>
        <w:numPr>
          <w:ilvl w:val="0"/>
          <w:numId w:val="5"/>
        </w:numPr>
        <w:spacing w:after="60" w:line="264"/>
      </w:pPr>
      <w:r>
        <w:rPr>
          <w:rFonts w:ascii="Century Gothic" w:cs="Century Gothic" w:eastAsia="Century Gothic" w:hAnsi="Century Gothic"/>
          <w:color w:val="1A1F1D"/>
        </w:rPr>
        <w:t xml:space="preserve">Check for understanding during practice, and reteach the step where needed.</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‘you do’ is where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shows: pupils stay with the guided practice until they can do it alone, and the teacher holds the standard rather than rescuing too soon.</w:t>
            </w:r>
          </w:p>
        </w:tc>
      </w:tr>
    </w:tbl>
    <w:p>
      <w:pPr>
        <w:pStyle w:val="Heading2"/>
        <w:spacing w:after="80" w:before="240"/>
      </w:pPr>
      <w:r>
        <w:rPr>
          <w:rFonts w:ascii="Century Gothic" w:cs="Century Gothic" w:eastAsia="Century Gothic" w:hAnsi="Century Gothic"/>
          <w:b/>
          <w:bCs/>
          <w:color w:val="14322D"/>
          <w:sz w:val="24"/>
          <w:szCs w:val="24"/>
        </w:rPr>
        <w:t xml:space="preserve">The instruction &amp; modelling checklist</w:t>
      </w:r>
    </w:p>
    <w:p>
      <w:pPr>
        <w:spacing w:after="120" w:line="276"/>
      </w:pPr>
      <w:r>
        <w:rPr>
          <w:rFonts w:ascii="Century Gothic" w:cs="Century Gothic" w:eastAsia="Century Gothic" w:hAnsi="Century Gothic"/>
          <w:color w:val="1A1F1D"/>
        </w:rPr>
        <w:t xml:space="preserve">These sit behind the coaching work, and they are a shared language when colleagues look at one another’s practice. The modelling checklist (ID) is below; the we-do and you-do checklists (WD, YD) extend it through the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Modelling · ID1–8</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Purpose of the model named aloud.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Thinking process narrated as it happens.</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Each step modelled and narrated.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Modelling visible to all pupils via a shared surface.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ID6</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Next step and rationale narrated.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ID7</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Steps back to review the model against success criteria.</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ID8</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Check for understanding; reteach where needed.</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We do · WD1–4</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WD1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Transition to ‘we do’ announced clearly.</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WD2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Task closely matches the modelled example.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WD3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referred back to the model during practice.</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WD4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Check for understanding before ‘you do’.</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You do · YD1–4</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YD1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Transition to ‘you do’ announced clearly.</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YD2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moved into independent practice.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YD3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Modelled example referenced in pupil work.</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YD4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Check for understanding during practice.</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plan a sequence</w:t>
            </w:r>
          </w:p>
          <w:p>
            <w:pPr>
              <w:spacing w:after="120" w:line="276"/>
            </w:pPr>
            <w:r>
              <w:rPr>
                <w:rFonts w:ascii="Century Gothic" w:cs="Century Gothic" w:eastAsia="Century Gothic" w:hAnsi="Century Gothic"/>
                <w:color w:val="1A1F1D"/>
              </w:rPr>
              <w:t xml:space="preserve">In your subject, take one idea pupils find hard. Plan the I-do narration in full sentences, the we-do example, and the you-do task. Then rehearse the I-do with a colleague watching against ID1–8.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5 · Inclusion and adaptive practice</w:t>
      </w:r>
    </w:p>
    <w:p>
      <w:pPr>
        <w:spacing w:after="120" w:line="276"/>
      </w:pPr>
      <w:r>
        <w:rPr>
          <w:rFonts w:ascii="Century Gothic" w:cs="Century Gothic" w:eastAsia="Century Gothic" w:hAnsi="Century Gothic"/>
          <w:b/>
          <w:bCs/>
          <w:color w:val="1A1F1D"/>
        </w:rPr>
        <w:t xml:space="preserve">Clear modelling is one of the most inclusive things a teacher can do. </w:t>
      </w:r>
      <w:r>
        <w:rPr>
          <w:rFonts w:ascii="Century Gothic" w:cs="Century Gothic" w:eastAsia="Century Gothic" w:hAnsi="Century Gothic"/>
          <w:color w:val="1A1F1D"/>
        </w:rPr>
        <w:t xml:space="preserve">When every step is shown and narrated, nothing is left implicit for pupils to infer — and it is the pupils who find the work hardest who most often fall at the implicit step.</w:t>
      </w:r>
    </w:p>
    <w:p>
      <w:pPr>
        <w:spacing w:after="20"/>
      </w:pPr>
      <w:r>
        <w:rPr>
          <w:rFonts w:ascii="Century Gothic" w:cs="Century Gothic" w:eastAsia="Century Gothic" w:hAnsi="Century Gothic"/>
          <w:color w:val="1A1F1D"/>
        </w:rPr>
        <w:t xml:space="preserve"/>
      </w:r>
    </w:p>
    <w:p>
      <w:pPr>
        <w:pStyle w:val="ListParagraph"/>
        <w:numPr>
          <w:ilvl w:val="0"/>
          <w:numId w:val="2"/>
        </w:numPr>
        <w:spacing w:after="60" w:line="264"/>
      </w:pPr>
      <w:r>
        <w:rPr>
          <w:rFonts w:ascii="Century Gothic" w:cs="Century Gothic" w:eastAsia="Century Gothic" w:hAnsi="Century Gothic"/>
          <w:color w:val="1A1F1D"/>
        </w:rPr>
        <w:t xml:space="preserve">Narrated steps reduce the load for SEND pupils and the lowest 20%; nothing important is left unsaid.</w:t>
      </w:r>
    </w:p>
    <w:p>
      <w:pPr>
        <w:pStyle w:val="ListParagraph"/>
        <w:numPr>
          <w:ilvl w:val="0"/>
          <w:numId w:val="2"/>
        </w:numPr>
        <w:spacing w:after="60" w:line="264"/>
      </w:pPr>
      <w:r>
        <w:rPr>
          <w:rFonts w:ascii="Century Gothic" w:cs="Century Gothic" w:eastAsia="Century Gothic" w:hAnsi="Century Gothic"/>
          <w:color w:val="1A1F1D"/>
        </w:rPr>
        <w:t xml:space="preserve">Worked examples and a visible model give pupils something concrete to return to.</w:t>
      </w:r>
    </w:p>
    <w:p>
      <w:pPr>
        <w:pStyle w:val="ListParagraph"/>
        <w:numPr>
          <w:ilvl w:val="0"/>
          <w:numId w:val="2"/>
        </w:numPr>
        <w:spacing w:after="60" w:line="264"/>
      </w:pPr>
      <w:r>
        <w:rPr>
          <w:rFonts w:ascii="Century Gothic" w:cs="Century Gothic" w:eastAsia="Century Gothic" w:hAnsi="Century Gothic"/>
          <w:color w:val="1A1F1D"/>
        </w:rPr>
        <w:t xml:space="preserve">Guided practice catches misconceptions before they harden — reach the pupils who need you first.</w:t>
      </w:r>
    </w:p>
    <w:p>
      <w:pPr>
        <w:pStyle w:val="ListParagraph"/>
        <w:numPr>
          <w:ilvl w:val="0"/>
          <w:numId w:val="2"/>
        </w:numPr>
        <w:spacing w:after="60" w:line="264"/>
      </w:pPr>
      <w:r>
        <w:rPr>
          <w:rFonts w:ascii="Century Gothic" w:cs="Century Gothic" w:eastAsia="Century Gothic" w:hAnsi="Century Gothic"/>
          <w:color w:val="1A1F1D"/>
        </w:rPr>
        <w:t xml:space="preserve">Keep the structure; reteach the step; respond to the pupil in front of you.</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w:t>
            </w:r>
          </w:p>
          <w:p>
            <w:pPr>
              <w:spacing w:after="120" w:line="276"/>
            </w:pPr>
            <w:r>
              <w:rPr>
                <w:rFonts w:ascii="Century Gothic" w:cs="Century Gothic" w:eastAsia="Century Gothic" w:hAnsi="Century Gothic"/>
                <w:color w:val="1A1F1D"/>
              </w:rPr>
              <w:t xml:space="preserve">Which step in a recent lesson would have helped a struggling pupil most if you had modelled it again, more slowly?</w:t>
            </w:r>
          </w:p>
        </w:tc>
      </w:tr>
    </w:tbl>
    <w:p>
      <w:pPr>
        <w:pStyle w:val="Heading1"/>
        <w:pageBreakBefore/>
        <w:spacing w:after="120" w:before="0"/>
      </w:pPr>
      <w:r>
        <w:rPr>
          <w:rFonts w:ascii="Century Gothic" w:cs="Century Gothic" w:eastAsia="Century Gothic" w:hAnsi="Century Gothic"/>
          <w:b/>
          <w:bCs/>
          <w:color w:val="14322D"/>
          <w:sz w:val="30"/>
          <w:szCs w:val="30"/>
        </w:rPr>
        <w:t xml:space="preserve">6 · Sharpening explanation</w:t>
      </w:r>
    </w:p>
    <w:p>
      <w:pPr>
        <w:pStyle w:val="Heading2"/>
        <w:spacing w:after="80" w:before="240"/>
      </w:pPr>
      <w:r>
        <w:rPr>
          <w:rFonts w:ascii="Century Gothic" w:cs="Century Gothic" w:eastAsia="Century Gothic" w:hAnsi="Century Gothic"/>
          <w:b/>
          <w:bCs/>
          <w:color w:val="14322D"/>
          <w:sz w:val="24"/>
          <w:szCs w:val="24"/>
        </w:rPr>
        <w:t xml:space="preserve">Dual coding</w:t>
      </w:r>
    </w:p>
    <w:p>
      <w:pPr>
        <w:spacing w:after="120" w:line="276"/>
      </w:pPr>
      <w:r>
        <w:rPr>
          <w:rFonts w:ascii="Century Gothic" w:cs="Century Gothic" w:eastAsia="Century Gothic" w:hAnsi="Century Gothic"/>
          <w:color w:val="1A1F1D"/>
        </w:rPr>
        <w:t xml:space="preserve">Pair words with a clear diagram, and let the visual carry part of the explanation. Match what you say to what pupils are looking at, and resist talking over a diagram that is already doing the work.</w:t>
      </w:r>
    </w:p>
    <w:p>
      <w:pPr>
        <w:pStyle w:val="Heading2"/>
        <w:spacing w:after="80" w:before="240"/>
      </w:pPr>
      <w:r>
        <w:rPr>
          <w:rFonts w:ascii="Century Gothic" w:cs="Century Gothic" w:eastAsia="Century Gothic" w:hAnsi="Century Gothic"/>
          <w:b/>
          <w:bCs/>
          <w:color w:val="14322D"/>
          <w:sz w:val="24"/>
          <w:szCs w:val="24"/>
        </w:rPr>
        <w:t xml:space="preserve">Worked examples — WAGOLL and WABOLL</w:t>
      </w:r>
    </w:p>
    <w:p>
      <w:pPr>
        <w:spacing w:after="120" w:line="276"/>
      </w:pPr>
      <w:r>
        <w:rPr>
          <w:rFonts w:ascii="Century Gothic" w:cs="Century Gothic" w:eastAsia="Century Gothic" w:hAnsi="Century Gothic"/>
          <w:color w:val="1A1F1D"/>
        </w:rPr>
        <w:t xml:space="preserve">Show a strong example (what a good one looks like) alongside a weak one (what a bad one looks like), and name what separates them. The contrast is what teaches the criteria — pupils see the standard, not just hear it described.</w:t>
      </w:r>
    </w:p>
    <w:p>
      <w:pPr>
        <w:pStyle w:val="Heading2"/>
        <w:spacing w:after="80" w:before="240"/>
      </w:pPr>
      <w:r>
        <w:rPr>
          <w:rFonts w:ascii="Century Gothic" w:cs="Century Gothic" w:eastAsia="Century Gothic" w:hAnsi="Century Gothic"/>
          <w:b/>
          <w:bCs/>
          <w:color w:val="14322D"/>
          <w:sz w:val="24"/>
          <w:szCs w:val="24"/>
        </w:rPr>
        <w:t xml:space="preserve">Economy of language</w:t>
      </w:r>
    </w:p>
    <w:p>
      <w:pPr>
        <w:spacing w:after="120" w:line="276"/>
      </w:pPr>
      <w:r>
        <w:rPr>
          <w:rFonts w:ascii="Century Gothic" w:cs="Century Gothic" w:eastAsia="Century Gothic" w:hAnsi="Century Gothic"/>
          <w:color w:val="1A1F1D"/>
        </w:rPr>
        <w:t xml:space="preserve">Cut the noise. The same precise phrasing each time means the steps stick, and pupils are not left decoding the teacher as well as the idea. The economy-of-language checklist sits behind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Economy of language · EOL1–8</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A clear routine or process — often a one-two-three — that pupils can remember and apply.</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Consistent, repeatable language when explaining or modelling; the same phrases and steps each time.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Thinking modelled explicitly in short, precise sentences that show how to think.</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Explanation matched to the visual, letting the representation do the work.</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EOL5</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Brief, targeted prompts in guided practice, focused on the next step.</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EOL6</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Short, precise, actionable feedback that pinpoints what to fix, add, or adjust.</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EOL7</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No over-explaining after correct responses; wait time and pupil thinking left to do the work.</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EOL8</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Routinely checks that pupils can echo or apply the language independently.</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strip it back</w:t>
            </w:r>
          </w:p>
          <w:p>
            <w:pPr>
              <w:spacing w:after="120" w:line="276"/>
            </w:pPr>
            <w:r>
              <w:rPr>
                <w:rFonts w:ascii="Century Gothic" w:cs="Century Gothic" w:eastAsia="Century Gothic" w:hAnsi="Century Gothic"/>
                <w:color w:val="1A1F1D"/>
              </w:rPr>
              <w:t xml:space="preserve">Plan one explanation with a paired visual and a WAGOLL/WABOLL. Strip the language to the fewest precise words. Teach it, and ask a colleague to note where words got in the way of the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Instruction &amp; Modelling strand of the Teaching Practice site walks through each technique again, in your own time.</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ID1–8, WD1–4 and YD1–4 are the standard you and a coach can observe against, lesson to lesson.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This is Pillar 3 of six. The companion pillars are Behaviour &amp; Climate, Questioning &amp; Classroom Dialogue, Checking for Understanding, Adaptive Teaching &amp; Inclusion, and Standards &amp; Curriculum.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3 · Instruction &amp; Modelling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2026-06-10T08:16:07.726Z</dcterms:created>
  <dcterms:modified xsi:type="dcterms:W3CDTF">2026-06-10T08:16:07.726Z</dcterms:modified>
</cp:coreProperties>
</file>

<file path=docProps/custom.xml><?xml version="1.0" encoding="utf-8"?>
<Properties xmlns="http://schemas.openxmlformats.org/officeDocument/2006/custom-properties" xmlns:vt="http://schemas.openxmlformats.org/officeDocument/2006/docPropsVTypes"/>
</file>