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
        <w:jc w:val="center"/>
      </w:pPr>
      <w:r>
        <w:drawing>
          <wp:inline distT="0" distB="0" distL="0" distR="0">
            <wp:extent cx="142875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238250"/>
                    </a:xfrm>
                    <a:prstGeom prst="rect">
                      <a:avLst/>
                    </a:prstGeom>
                  </pic:spPr>
                </pic:pic>
              </a:graphicData>
            </a:graphic>
          </wp:inline>
        </w:drawing>
      </w:r>
    </w:p>
    <w:p>
      <w:pPr>
        <w:spacing w:after="0" w:before="0"/>
      </w:pPr>
      <w:r>
        <w:rPr>
          <w:rFonts w:ascii="Century Gothic" w:cs="Century Gothic" w:eastAsia="Century Gothic" w:hAnsi="Century Gothic"/>
          <w:b/>
          <w:bCs/>
          <w:caps/>
          <w:color w:val="3F9488"/>
          <w:sz w:val="24"/>
          <w:szCs w:val="24"/>
        </w:rPr>
        <w:t xml:space="preserve">TEACHING EXCELLENCE PROGRAMME</w:t>
      </w:r>
    </w:p>
    <w:p>
      <w:pPr>
        <w:spacing w:after="40"/>
      </w:pPr>
      <w:r>
        <w:rPr>
          <w:rFonts w:ascii="Century Gothic" w:cs="Century Gothic" w:eastAsia="Century Gothic" w:hAnsi="Century Gothic"/>
          <w:color w:val="555F5A"/>
          <w:sz w:val="18"/>
          <w:szCs w:val="18"/>
        </w:rPr>
        <w:t xml:space="preserve">A professional development programme developed by Nishkam Schools</w:t>
      </w:r>
    </w:p>
    <w:p>
      <w:pPr>
        <w:pBdr>
          <w:bottom w:val="single" w:color="B07D2B" w:sz="12" w:space="6"/>
        </w:pBdr>
      </w:pPr>
      <w:r>
        <w:rPr>
          <w:rFonts w:ascii="Century Gothic" w:cs="Century Gothic" w:eastAsia="Century Gothic" w:hAnsi="Century Gothic"/>
          <w:color w:val="1A1F1D"/>
        </w:rPr>
        <w:t xml:space="preserve"/>
      </w:r>
    </w:p>
    <w:p>
      <w:pPr>
        <w:spacing w:after="260"/>
      </w:pPr>
      <w:r>
        <w:rPr>
          <w:rFonts w:ascii="Century Gothic" w:cs="Century Gothic" w:eastAsia="Century Gothic" w:hAnsi="Century Gothic"/>
          <w:color w:val="1A1F1D"/>
        </w:rPr>
        <w:t xml:space="preserve"/>
      </w:r>
    </w:p>
    <w:p>
      <w:pPr>
        <w:spacing w:after="0"/>
      </w:pPr>
      <w:r>
        <w:rPr>
          <w:rFonts w:ascii="Century Gothic" w:cs="Century Gothic" w:eastAsia="Century Gothic" w:hAnsi="Century Gothic"/>
          <w:b/>
          <w:bCs/>
          <w:color w:val="B07D2B"/>
          <w:sz w:val="26"/>
          <w:szCs w:val="26"/>
        </w:rPr>
        <w:t xml:space="preserve">PILLAR 4</w:t>
      </w:r>
    </w:p>
    <w:p>
      <w:pPr>
        <w:spacing w:after="60"/>
      </w:pPr>
      <w:r>
        <w:rPr>
          <w:rFonts w:ascii="Century Gothic" w:cs="Century Gothic" w:eastAsia="Century Gothic" w:hAnsi="Century Gothic"/>
          <w:b/>
          <w:bCs/>
          <w:color w:val="14322D"/>
          <w:sz w:val="44"/>
          <w:szCs w:val="44"/>
        </w:rPr>
        <w:t xml:space="preserve">Checking for Understanding</w:t>
      </w:r>
    </w:p>
    <w:p>
      <w:pPr>
        <w:spacing w:after="300"/>
      </w:pPr>
      <w:r>
        <w:rPr>
          <w:rFonts w:ascii="Century Gothic" w:cs="Century Gothic" w:eastAsia="Century Gothic" w:hAnsi="Century Gothic"/>
          <w:color w:val="1A1F1D"/>
          <w:sz w:val="36"/>
          <w:szCs w:val="36"/>
        </w:rPr>
        <w:t xml:space="preserve">Circulation, checking and live feedback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left w:val="single" w:color="B07D2B" w:sz="24"/>
              <w:bottom w:val="none"/>
              <w:right w:val="none"/>
            </w:tcBorders>
            <w:shd w:fill="FFFFFF" w:val="clear"/>
            <w:tcMar>
              <w:top w:type="dxa" w:w="140"/>
              <w:left w:type="dxa" w:w="220"/>
              <w:bottom w:type="dxa" w:w="140"/>
              <w:right w:type="dxa" w:w="200"/>
            </w:tcMar>
          </w:tcPr>
          <w:p>
            <w:r>
              <w:rPr>
                <w:rFonts w:ascii="Century Gothic" w:cs="Century Gothic" w:eastAsia="Century Gothic" w:hAnsi="Century Gothic"/>
                <w:i/>
                <w:iCs/>
                <w:color w:val="14322D"/>
                <w:sz w:val="26"/>
                <w:szCs w:val="26"/>
              </w:rPr>
              <w:t xml:space="preserve">“Feedback should be more work for the recipient than the donor.”</w:t>
            </w:r>
          </w:p>
          <w:p>
            <w:pPr>
              <w:spacing w:before="40"/>
            </w:pPr>
            <w:r>
              <w:rPr>
                <w:rFonts w:ascii="Century Gothic" w:cs="Century Gothic" w:eastAsia="Century Gothic" w:hAnsi="Century Gothic"/>
                <w:color w:val="555F5A"/>
                <w:sz w:val="20"/>
                <w:szCs w:val="20"/>
              </w:rPr>
              <w:t xml:space="preserve">Dylan Wiliam</w:t>
            </w:r>
          </w:p>
        </w:tc>
      </w:tr>
    </w:tbl>
    <w:p>
      <w:pPr>
        <w:spacing w:after="300"/>
      </w:pPr>
      <w:r>
        <w:rPr>
          <w:rFonts w:ascii="Century Gothic" w:cs="Century Gothic" w:eastAsia="Century Gothic" w:hAnsi="Century Gothic"/>
          <w:color w:val="1A1F1D"/>
        </w:rPr>
        <w:t xml:space="preserve"/>
      </w:r>
    </w:p>
    <w:p>
      <w:pPr>
        <w:spacing w:after="120" w:line="276"/>
      </w:pPr>
      <w:r>
        <w:rPr>
          <w:rFonts w:ascii="Century Gothic" w:cs="Century Gothic" w:eastAsia="Century Gothic" w:hAnsi="Century Gothic"/>
          <w:color w:val="1A1F1D"/>
        </w:rPr>
        <w:t xml:space="preserve">Work through this booklet </w:t>
      </w:r>
      <w:r>
        <w:rPr>
          <w:rFonts w:ascii="Century Gothic" w:cs="Century Gothic" w:eastAsia="Century Gothic" w:hAnsi="Century Gothic"/>
          <w:b/>
          <w:bCs/>
          <w:color w:val="1A1F1D"/>
        </w:rPr>
        <w:t xml:space="preserve">on your own</w:t>
      </w:r>
      <w:r>
        <w:rPr>
          <w:rFonts w:ascii="Century Gothic" w:cs="Century Gothic" w:eastAsia="Century Gothic" w:hAnsi="Century Gothic"/>
          <w:color w:val="1A1F1D"/>
        </w:rPr>
        <w:t xml:space="preserve">, in a </w:t>
      </w:r>
      <w:r>
        <w:rPr>
          <w:rFonts w:ascii="Century Gothic" w:cs="Century Gothic" w:eastAsia="Century Gothic" w:hAnsi="Century Gothic"/>
          <w:b/>
          <w:bCs/>
          <w:color w:val="1A1F1D"/>
        </w:rPr>
        <w:t xml:space="preserve">coaching group of three or four</w:t>
      </w:r>
      <w:r>
        <w:rPr>
          <w:rFonts w:ascii="Century Gothic" w:cs="Century Gothic" w:eastAsia="Century Gothic" w:hAnsi="Century Gothic"/>
          <w:color w:val="1A1F1D"/>
        </w:rPr>
        <w:t xml:space="preserve">, or as a </w:t>
      </w:r>
      <w:r>
        <w:rPr>
          <w:rFonts w:ascii="Century Gothic" w:cs="Century Gothic" w:eastAsia="Century Gothic" w:hAnsi="Century Gothic"/>
          <w:b/>
          <w:bCs/>
          <w:color w:val="1A1F1D"/>
        </w:rPr>
        <w:t xml:space="preserve">subject team</w:t>
      </w:r>
      <w:r>
        <w:rPr>
          <w:rFonts w:ascii="Century Gothic" w:cs="Century Gothic" w:eastAsia="Century Gothic" w:hAnsi="Century Gothic"/>
          <w:color w:val="1A1F1D"/>
        </w:rPr>
        <w:t xml:space="preserve">. It is designed to be used alongside the session that accompanies it, and the self‑guided pages online.</w:t>
      </w:r>
    </w:p>
    <w:p>
      <w:pPr>
        <w:spacing w:after="120"/>
      </w:pPr>
      <w:r>
        <w:rPr>
          <w:rFonts w:ascii="Century Gothic" w:cs="Century Gothic" w:eastAsia="Century Gothic" w:hAnsi="Century Gothic"/>
          <w:color w:val="1A1F1D"/>
        </w:rPr>
        <w:t xml:space="preserve"/>
      </w:r>
    </w:p>
    <w:p>
      <w:pPr>
        <w:spacing w:after="120" w:line="276"/>
      </w:pPr>
      <w:r>
        <w:rPr>
          <w:rFonts w:ascii="Century Gothic" w:cs="Century Gothic" w:eastAsia="Century Gothic" w:hAnsi="Century Gothic"/>
          <w:b/>
          <w:bCs/>
          <w:color w:val="1A1F1D"/>
          <w:sz w:val="24"/>
          <w:szCs w:val="24"/>
        </w:rPr>
        <w:t xml:space="preserve">Name: </w:t>
      </w:r>
      <w:r>
        <w:rPr>
          <w:rFonts w:ascii="Century Gothic" w:cs="Century Gothic" w:eastAsia="Century Gothic" w:hAnsi="Century Gothic"/>
          <w:color w:val="1A1F1D"/>
          <w:u w:val="single"/>
        </w:rPr>
        <w:t xml:space="preserve">              </w:t>
      </w:r>
    </w:p>
    <w:p>
      <w:pPr>
        <w:pStyle w:val="Heading1"/>
        <w:pageBreakBefore/>
        <w:spacing w:after="120" w:before="0"/>
      </w:pPr>
      <w:r>
        <w:rPr>
          <w:rFonts w:ascii="Century Gothic" w:cs="Century Gothic" w:eastAsia="Century Gothic" w:hAnsi="Century Gothic"/>
          <w:b/>
          <w:bCs/>
          <w:color w:val="14322D"/>
          <w:sz w:val="30"/>
          <w:szCs w:val="30"/>
        </w:rPr>
        <w:t xml:space="preserve">In this booklet</w:t>
      </w:r>
    </w:p>
    <w:p>
      <w:pPr>
        <w:spacing w:after="120" w:line="276"/>
      </w:pPr>
      <w:r>
        <w:rPr>
          <w:rFonts w:ascii="Century Gothic" w:cs="Century Gothic" w:eastAsia="Century Gothic" w:hAnsi="Century Gothic"/>
          <w:color w:val="1A1F1D"/>
          <w:sz w:val="24"/>
          <w:szCs w:val="24"/>
        </w:rPr>
        <w:t xml:space="preserve">1 · Purpose and shared practice</w:t>
      </w:r>
    </w:p>
    <w:p>
      <w:pPr>
        <w:spacing w:after="120" w:line="276"/>
      </w:pPr>
      <w:r>
        <w:rPr>
          <w:rFonts w:ascii="Century Gothic" w:cs="Century Gothic" w:eastAsia="Century Gothic" w:hAnsi="Century Gothic"/>
          <w:color w:val="1A1F1D"/>
          <w:sz w:val="24"/>
          <w:szCs w:val="24"/>
        </w:rPr>
        <w:t xml:space="preserve">2 · What we miss when we stay at the front</w:t>
      </w:r>
    </w:p>
    <w:p>
      <w:pPr>
        <w:spacing w:after="120" w:line="276"/>
      </w:pPr>
      <w:r>
        <w:rPr>
          <w:rFonts w:ascii="Century Gothic" w:cs="Century Gothic" w:eastAsia="Century Gothic" w:hAnsi="Century Gothic"/>
          <w:color w:val="1A1F1D"/>
          <w:sz w:val="24"/>
          <w:szCs w:val="24"/>
        </w:rPr>
        <w:t xml:space="preserve">3 · Feedback as a system — the evidence</w:t>
      </w:r>
    </w:p>
    <w:p>
      <w:pPr>
        <w:spacing w:after="120" w:line="276"/>
      </w:pPr>
      <w:r>
        <w:rPr>
          <w:rFonts w:ascii="Century Gothic" w:cs="Century Gothic" w:eastAsia="Century Gothic" w:hAnsi="Century Gothic"/>
          <w:color w:val="1A1F1D"/>
          <w:sz w:val="24"/>
          <w:szCs w:val="24"/>
        </w:rPr>
        <w:t xml:space="preserve">4 · The lesson cycle — Set, Settle, Sweep, Stop, and the checklist</w:t>
      </w:r>
    </w:p>
    <w:p>
      <w:pPr>
        <w:spacing w:after="120" w:line="276"/>
      </w:pPr>
      <w:r>
        <w:rPr>
          <w:rFonts w:ascii="Century Gothic" w:cs="Century Gothic" w:eastAsia="Century Gothic" w:hAnsi="Century Gothic"/>
          <w:color w:val="1A1F1D"/>
          <w:sz w:val="24"/>
          <w:szCs w:val="24"/>
        </w:rPr>
        <w:t xml:space="preserve">5 · Live marking as adaptive teaching</w:t>
      </w:r>
    </w:p>
    <w:p>
      <w:pPr>
        <w:spacing w:after="120" w:line="276"/>
      </w:pPr>
      <w:r>
        <w:rPr>
          <w:rFonts w:ascii="Century Gothic" w:cs="Century Gothic" w:eastAsia="Century Gothic" w:hAnsi="Century Gothic"/>
          <w:color w:val="1A1F1D"/>
          <w:sz w:val="24"/>
          <w:szCs w:val="24"/>
        </w:rPr>
        <w:t xml:space="preserve">6 · Whole-class feedback, quality of work, and team planning</w:t>
      </w:r>
    </w:p>
    <w:p>
      <w:pPr>
        <w:spacing w:after="80"/>
      </w:pPr>
      <w:r>
        <w:rPr>
          <w:rFonts w:ascii="Century Gothic" w:cs="Century Gothic" w:eastAsia="Century Gothic" w:hAnsi="Century Gothic"/>
          <w:color w:val="1A1F1D"/>
        </w:rPr>
        <w:t xml:space="preserve"/>
      </w:r>
    </w:p>
    <w:p>
      <w:pPr>
        <w:pStyle w:val="Heading2"/>
        <w:spacing w:after="80" w:before="240"/>
      </w:pPr>
      <w:r>
        <w:rPr>
          <w:rFonts w:ascii="Century Gothic" w:cs="Century Gothic" w:eastAsia="Century Gothic" w:hAnsi="Century Gothic"/>
          <w:b/>
          <w:bCs/>
          <w:color w:val="14322D"/>
          <w:sz w:val="24"/>
          <w:szCs w:val="24"/>
        </w:rPr>
        <w:t xml:space="preserve">How to use this booklet</w:t>
      </w:r>
    </w:p>
    <w:p>
      <w:pPr>
        <w:spacing w:after="120" w:line="276"/>
      </w:pPr>
      <w:r>
        <w:rPr>
          <w:rFonts w:ascii="Century Gothic" w:cs="Century Gothic" w:eastAsia="Century Gothic" w:hAnsi="Century Gothic"/>
          <w:color w:val="1A1F1D"/>
        </w:rPr>
        <w:t xml:space="preserve">This is one of six booklets in the programme, each building expertise in a different area of classroom practice. It is a starting point, not the finish line: pair it with video footage of your own teaching, with coaching and deliberate practice, and with the checklists that sit behind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left w:val="single" w:color="3F9488" w:sz="24"/>
              <w:bottom w:val="none"/>
              <w:right w:val="none"/>
            </w:tcBorders>
            <w:shd w:fill="E8F1EE" w:val="clear"/>
            <w:tcMar>
              <w:top w:type="dxa" w:w="140"/>
              <w:left w:type="dxa" w:w="220"/>
              <w:bottom w:type="dxa" w:w="140"/>
              <w:right w:type="dxa" w:w="200"/>
            </w:tcMar>
          </w:tcPr>
          <w:p>
            <w:pPr>
              <w:spacing w:after="60"/>
            </w:pPr>
            <w:r>
              <w:rPr>
                <w:rFonts w:ascii="Century Gothic" w:cs="Century Gothic" w:eastAsia="Century Gothic" w:hAnsi="Century Gothic"/>
                <w:b/>
                <w:bCs/>
                <w:color w:val="3F9488"/>
                <w:sz w:val="22"/>
                <w:szCs w:val="22"/>
              </w:rPr>
              <w:t xml:space="preserve">Three ways to work</w:t>
            </w:r>
          </w:p>
          <w:p>
            <w:pPr>
              <w:pStyle w:val="ListParagraph"/>
              <w:numPr>
                <w:ilvl w:val="0"/>
                <w:numId w:val="2"/>
              </w:numPr>
              <w:spacing w:after="60" w:line="264"/>
            </w:pPr>
            <w:r>
              <w:rPr>
                <w:rFonts w:ascii="Century Gothic" w:cs="Century Gothic" w:eastAsia="Century Gothic" w:hAnsi="Century Gothic"/>
                <w:b/>
                <w:bCs/>
                <w:color w:val="1A1F1D"/>
              </w:rPr>
              <w:t xml:space="preserve">On your own. </w:t>
            </w:r>
            <w:r>
              <w:rPr>
                <w:rFonts w:ascii="Century Gothic" w:cs="Century Gothic" w:eastAsia="Century Gothic" w:hAnsi="Century Gothic"/>
                <w:color w:val="1A1F1D"/>
              </w:rPr>
              <w:t xml:space="preserve">Read, audit your current practice, and complete the independent tasks.</w:t>
            </w:r>
          </w:p>
          <w:p>
            <w:pPr>
              <w:pStyle w:val="ListParagraph"/>
              <w:numPr>
                <w:ilvl w:val="0"/>
                <w:numId w:val="2"/>
              </w:numPr>
              <w:spacing w:after="60" w:line="264"/>
            </w:pPr>
            <w:r>
              <w:rPr>
                <w:rFonts w:ascii="Century Gothic" w:cs="Century Gothic" w:eastAsia="Century Gothic" w:hAnsi="Century Gothic"/>
                <w:b/>
                <w:bCs/>
                <w:color w:val="1A1F1D"/>
              </w:rPr>
              <w:t xml:space="preserve">In a coaching group. </w:t>
            </w:r>
            <w:r>
              <w:rPr>
                <w:rFonts w:ascii="Century Gothic" w:cs="Century Gothic" w:eastAsia="Century Gothic" w:hAnsi="Century Gothic"/>
                <w:color w:val="1A1F1D"/>
              </w:rPr>
              <w:t xml:space="preserve">Three or four colleagues rehearse the practice, observe, and coach one another.</w:t>
            </w:r>
          </w:p>
          <w:p>
            <w:pPr>
              <w:pStyle w:val="ListParagraph"/>
              <w:numPr>
                <w:ilvl w:val="0"/>
                <w:numId w:val="2"/>
              </w:numPr>
              <w:spacing w:after="60" w:line="264"/>
            </w:pPr>
            <w:r>
              <w:rPr>
                <w:rFonts w:ascii="Century Gothic" w:cs="Century Gothic" w:eastAsia="Century Gothic" w:hAnsi="Century Gothic"/>
                <w:b/>
                <w:bCs/>
                <w:color w:val="1A1F1D"/>
              </w:rPr>
              <w:t xml:space="preserve">As a subject team. </w:t>
            </w:r>
            <w:r>
              <w:rPr>
                <w:rFonts w:ascii="Century Gothic" w:cs="Century Gothic" w:eastAsia="Century Gothic" w:hAnsi="Century Gothic"/>
                <w:color w:val="1A1F1D"/>
              </w:rPr>
              <w:t xml:space="preserve">Adapt each method to your subject and agree what ‘water‑tight’ looks like for you.</w:t>
            </w:r>
          </w:p>
        </w:tc>
      </w:tr>
    </w:tbl>
    <w:p>
      <w:pPr>
        <w:spacing w:after="60"/>
      </w:pPr>
      <w:r>
        <w:rPr>
          <w:rFonts w:ascii="Century Gothic" w:cs="Century Gothic" w:eastAsia="Century Gothic" w:hAnsi="Century Gothic"/>
          <w:color w:val="1A1F1D"/>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left w:val="single" w:color="B07D2B" w:sz="24"/>
              <w:bottom w:val="none"/>
              <w:right w:val="none"/>
            </w:tcBorders>
            <w:shd w:fill="F4ECE0" w:val="clear"/>
            <w:tcMar>
              <w:top w:type="dxa" w:w="140"/>
              <w:left w:type="dxa" w:w="220"/>
              <w:bottom w:type="dxa" w:w="140"/>
              <w:right w:type="dxa" w:w="200"/>
            </w:tcMar>
          </w:tcPr>
          <w:p>
            <w:pPr>
              <w:spacing w:after="60"/>
            </w:pPr>
            <w:r>
              <w:rPr>
                <w:rFonts w:ascii="Century Gothic" w:cs="Century Gothic" w:eastAsia="Century Gothic" w:hAnsi="Century Gothic"/>
                <w:b/>
                <w:bCs/>
                <w:color w:val="B07D2B"/>
                <w:sz w:val="22"/>
                <w:szCs w:val="22"/>
              </w:rPr>
              <w:t xml:space="preserve">At Nishkam</w:t>
            </w:r>
          </w:p>
          <w:p>
            <w:pPr>
              <w:spacing w:after="120" w:line="276"/>
            </w:pPr>
            <w:r>
              <w:rPr>
                <w:rFonts w:ascii="Century Gothic" w:cs="Century Gothic" w:eastAsia="Century Gothic" w:hAnsi="Century Gothic"/>
                <w:color w:val="1A1F1D"/>
              </w:rPr>
              <w:t xml:space="preserve">This programme is faith‑inspired and virtues‑led, and the practice below is anchored in the virtues of </w:t>
            </w:r>
            <w:r>
              <w:rPr>
                <w:rFonts w:ascii="Century Gothic" w:cs="Century Gothic" w:eastAsia="Century Gothic" w:hAnsi="Century Gothic"/>
                <w:b/>
                <w:bCs/>
                <w:color w:val="1A1F1D"/>
              </w:rPr>
              <w:t xml:space="preserve">Peacefulness, Diligence and Determination</w:t>
            </w:r>
            <w:r>
              <w:rPr>
                <w:rFonts w:ascii="Century Gothic" w:cs="Century Gothic" w:eastAsia="Century Gothic" w:hAnsi="Century Gothic"/>
                <w:color w:val="1A1F1D"/>
              </w:rPr>
              <w:t xml:space="preserve">. Throughout, boxes like this one show the Nishkam version of a practice. Everything else is written to be lifted straight into any classroom — keep the method, give it the language that fits your setting.</w:t>
            </w:r>
          </w:p>
        </w:tc>
      </w:tr>
    </w:tbl>
    <w:p>
      <w:pPr>
        <w:pStyle w:val="Heading1"/>
        <w:pageBreakBefore/>
        <w:spacing w:after="120" w:before="0"/>
      </w:pPr>
      <w:r>
        <w:rPr>
          <w:rFonts w:ascii="Century Gothic" w:cs="Century Gothic" w:eastAsia="Century Gothic" w:hAnsi="Century Gothic"/>
          <w:b/>
          <w:bCs/>
          <w:color w:val="14322D"/>
          <w:sz w:val="30"/>
          <w:szCs w:val="30"/>
        </w:rPr>
        <w:t xml:space="preserve">1 · Purpose and shared practice</w:t>
      </w:r>
    </w:p>
    <w:p>
      <w:pPr>
        <w:pStyle w:val="Heading2"/>
        <w:spacing w:after="80" w:before="240"/>
      </w:pPr>
      <w:r>
        <w:rPr>
          <w:rFonts w:ascii="Century Gothic" w:cs="Century Gothic" w:eastAsia="Century Gothic" w:hAnsi="Century Gothic"/>
          <w:b/>
          <w:bCs/>
          <w:color w:val="14322D"/>
          <w:sz w:val="24"/>
          <w:szCs w:val="24"/>
        </w:rPr>
        <w:t xml:space="preserve">What this pillar is for</w:t>
      </w:r>
    </w:p>
    <w:p>
      <w:pPr>
        <w:pStyle w:val="ListParagraph"/>
        <w:numPr>
          <w:ilvl w:val="0"/>
          <w:numId w:val="2"/>
        </w:numPr>
        <w:spacing w:after="60" w:line="264"/>
      </w:pPr>
      <w:r>
        <w:rPr>
          <w:rFonts w:ascii="Century Gothic" w:cs="Century Gothic" w:eastAsia="Century Gothic" w:hAnsi="Century Gothic"/>
          <w:color w:val="1A1F1D"/>
        </w:rPr>
        <w:t xml:space="preserve">To check understanding as pupils work, rather than discovering it in the marking that night.</w:t>
      </w:r>
    </w:p>
    <w:p>
      <w:pPr>
        <w:pStyle w:val="ListParagraph"/>
        <w:numPr>
          <w:ilvl w:val="0"/>
          <w:numId w:val="2"/>
        </w:numPr>
        <w:spacing w:after="60" w:line="264"/>
      </w:pPr>
      <w:r>
        <w:rPr>
          <w:rFonts w:ascii="Century Gothic" w:cs="Century Gothic" w:eastAsia="Century Gothic" w:hAnsi="Century Gothic"/>
          <w:color w:val="1A1F1D"/>
        </w:rPr>
        <w:t xml:space="preserve">To circulate with a purpose, so the teacher can see who has understood and where a misconception sits.</w:t>
      </w:r>
    </w:p>
    <w:p>
      <w:pPr>
        <w:pStyle w:val="ListParagraph"/>
        <w:numPr>
          <w:ilvl w:val="0"/>
          <w:numId w:val="2"/>
        </w:numPr>
        <w:spacing w:after="60" w:line="264"/>
      </w:pPr>
      <w:r>
        <w:rPr>
          <w:rFonts w:ascii="Century Gothic" w:cs="Century Gothic" w:eastAsia="Century Gothic" w:hAnsi="Century Gothic"/>
          <w:color w:val="1A1F1D"/>
        </w:rPr>
        <w:t xml:space="preserve">To give feedback pupils can act on in the moment, before the lesson has moved on.</w:t>
      </w:r>
    </w:p>
    <w:p>
      <w:pPr>
        <w:pStyle w:val="ListParagraph"/>
        <w:numPr>
          <w:ilvl w:val="0"/>
          <w:numId w:val="2"/>
        </w:numPr>
        <w:spacing w:after="60" w:line="264"/>
      </w:pPr>
      <w:r>
        <w:rPr>
          <w:rFonts w:ascii="Century Gothic" w:cs="Century Gothic" w:eastAsia="Century Gothic" w:hAnsi="Century Gothic"/>
          <w:color w:val="1A1F1D"/>
        </w:rPr>
        <w:t xml:space="preserve">To build a shared standard for circulating and live marking across a school.</w:t>
      </w:r>
    </w:p>
    <w:p>
      <w:pPr>
        <w:spacing w:after="60"/>
      </w:pPr>
      <w:r>
        <w:rPr>
          <w:rFonts w:ascii="Century Gothic" w:cs="Century Gothic" w:eastAsia="Century Gothic" w:hAnsi="Century Gothic"/>
          <w:color w:val="1A1F1D"/>
        </w:rPr>
        <w:t xml:space="preserve"/>
      </w:r>
    </w:p>
    <w:p>
      <w:pPr>
        <w:spacing w:after="120" w:line="276"/>
      </w:pPr>
      <w:r>
        <w:rPr>
          <w:rFonts w:ascii="Century Gothic" w:cs="Century Gothic" w:eastAsia="Century Gothic" w:hAnsi="Century Gothic"/>
          <w:color w:val="1A1F1D"/>
        </w:rPr>
        <w:t xml:space="preserve">Much of what a teacher would most like to know </w:t>
      </w:r>
      <w:r>
        <w:rPr>
          <w:rFonts w:ascii="Century Gothic" w:cs="Century Gothic" w:eastAsia="Century Gothic" w:hAnsi="Century Gothic"/>
          <w:b/>
          <w:bCs/>
          <w:color w:val="1A1F1D"/>
        </w:rPr>
        <w:t xml:space="preserve">— who has understood, where a misconception sits, who is ready for more — is easiest to find out while pupils are actually working.</w:t>
      </w:r>
      <w:r>
        <w:rPr>
          <w:rFonts w:ascii="Century Gothic" w:cs="Century Gothic" w:eastAsia="Century Gothic" w:hAnsi="Century Gothic"/>
          <w:color w:val="1A1F1D"/>
        </w:rPr>
        <w:t xml:space="preserve"> None of this is about doing more. It is about being in the right place to see it.</w:t>
      </w:r>
    </w:p>
    <w:p>
      <w:pPr>
        <w:spacing w:after="40"/>
      </w:pPr>
      <w:r>
        <w:rPr>
          <w:rFonts w:ascii="Century Gothic" w:cs="Century Gothic" w:eastAsia="Century Gothic" w:hAnsi="Century Gothic"/>
          <w:color w:val="1A1F1D"/>
        </w:rPr>
        <w:t xml:space="preserve"/>
      </w:r>
    </w:p>
    <w:p>
      <w:pPr>
        <w:pStyle w:val="Heading2"/>
        <w:spacing w:after="80" w:before="240"/>
      </w:pPr>
      <w:r>
        <w:rPr>
          <w:rFonts w:ascii="Century Gothic" w:cs="Century Gothic" w:eastAsia="Century Gothic" w:hAnsi="Century Gothic"/>
          <w:b/>
          <w:bCs/>
          <w:color w:val="14322D"/>
          <w:sz w:val="24"/>
          <w:szCs w:val="24"/>
        </w:rPr>
        <w:t xml:space="preserve">What strong everyday practice looks like</w:t>
      </w:r>
    </w:p>
    <w:p>
      <w:pPr>
        <w:spacing w:after="120" w:line="276"/>
      </w:pPr>
      <w:r>
        <w:rPr>
          <w:rFonts w:ascii="Century Gothic" w:cs="Century Gothic" w:eastAsia="Century Gothic" w:hAnsi="Century Gothic"/>
          <w:color w:val="1A1F1D"/>
        </w:rPr>
        <w:t xml:space="preserve">A useful starting audit. Where checking is strong, the teacher tends to:</w:t>
      </w:r>
    </w:p>
    <w:p>
      <w:pPr>
        <w:pStyle w:val="ListParagraph"/>
        <w:numPr>
          <w:ilvl w:val="0"/>
          <w:numId w:val="2"/>
        </w:numPr>
        <w:spacing w:after="60" w:line="264"/>
      </w:pPr>
      <w:r>
        <w:rPr>
          <w:rFonts w:ascii="Century Gothic" w:cs="Century Gothic" w:eastAsia="Century Gothic" w:hAnsi="Century Gothic"/>
          <w:color w:val="1A1F1D"/>
        </w:rPr>
        <w:t xml:space="preserve">set the task clearly, and check confidence before pupils start;</w:t>
      </w:r>
    </w:p>
    <w:p>
      <w:pPr>
        <w:pStyle w:val="ListParagraph"/>
        <w:numPr>
          <w:ilvl w:val="0"/>
          <w:numId w:val="2"/>
        </w:numPr>
        <w:spacing w:after="60" w:line="264"/>
      </w:pPr>
      <w:r>
        <w:rPr>
          <w:rFonts w:ascii="Century Gothic" w:cs="Century Gothic" w:eastAsia="Century Gothic" w:hAnsi="Century Gothic"/>
          <w:color w:val="1A1F1D"/>
        </w:rPr>
        <w:t xml:space="preserve">hold a strong position and scan the room for the first sixty seconds;</w:t>
      </w:r>
    </w:p>
    <w:p>
      <w:pPr>
        <w:pStyle w:val="ListParagraph"/>
        <w:numPr>
          <w:ilvl w:val="0"/>
          <w:numId w:val="2"/>
        </w:numPr>
        <w:spacing w:after="60" w:line="264"/>
      </w:pPr>
      <w:r>
        <w:rPr>
          <w:rFonts w:ascii="Century Gothic" w:cs="Century Gothic" w:eastAsia="Century Gothic" w:hAnsi="Century Gothic"/>
          <w:color w:val="1A1F1D"/>
        </w:rPr>
        <w:t xml:space="preserve">circulate a planned route, with eyes on the books rather than the room;</w:t>
      </w:r>
    </w:p>
    <w:p>
      <w:pPr>
        <w:pStyle w:val="ListParagraph"/>
        <w:numPr>
          <w:ilvl w:val="0"/>
          <w:numId w:val="2"/>
        </w:numPr>
        <w:spacing w:after="60" w:line="264"/>
      </w:pPr>
      <w:r>
        <w:rPr>
          <w:rFonts w:ascii="Century Gothic" w:cs="Century Gothic" w:eastAsia="Century Gothic" w:hAnsi="Century Gothic"/>
          <w:color w:val="1A1F1D"/>
        </w:rPr>
        <w:t xml:space="preserve">live mark in green pen — short, specific notes a pupil can act on;</w:t>
      </w:r>
    </w:p>
    <w:p>
      <w:pPr>
        <w:pStyle w:val="ListParagraph"/>
        <w:numPr>
          <w:ilvl w:val="0"/>
          <w:numId w:val="2"/>
        </w:numPr>
        <w:spacing w:after="60" w:line="264"/>
      </w:pPr>
      <w:r>
        <w:rPr>
          <w:rFonts w:ascii="Century Gothic" w:cs="Century Gothic" w:eastAsia="Century Gothic" w:hAnsi="Century Gothic"/>
          <w:color w:val="1A1F1D"/>
        </w:rPr>
        <w:t xml:space="preserve">stop the class when the same slip appears across several books;</w:t>
      </w:r>
    </w:p>
    <w:p>
      <w:pPr>
        <w:pStyle w:val="ListParagraph"/>
        <w:numPr>
          <w:ilvl w:val="0"/>
          <w:numId w:val="2"/>
        </w:numPr>
        <w:spacing w:after="60" w:line="264"/>
      </w:pPr>
      <w:r>
        <w:rPr>
          <w:rFonts w:ascii="Century Gothic" w:cs="Century Gothic" w:eastAsia="Century Gothic" w:hAnsi="Century Gothic"/>
          <w:color w:val="1A1F1D"/>
        </w:rPr>
        <w:t xml:space="preserve">protect time for the purple-pen response;</w:t>
      </w:r>
    </w:p>
    <w:p>
      <w:pPr>
        <w:pStyle w:val="ListParagraph"/>
        <w:numPr>
          <w:ilvl w:val="0"/>
          <w:numId w:val="2"/>
        </w:numPr>
        <w:spacing w:after="60" w:line="264"/>
      </w:pPr>
      <w:r>
        <w:rPr>
          <w:rFonts w:ascii="Century Gothic" w:cs="Century Gothic" w:eastAsia="Century Gothic" w:hAnsi="Century Gothic"/>
          <w:color w:val="1A1F1D"/>
        </w:rPr>
        <w:t xml:space="preserve">read a set for patterns when live marking is not possible.</w:t>
      </w:r>
    </w:p>
    <w:p>
      <w:pPr>
        <w:spacing w:after="40"/>
      </w:pPr>
      <w:r>
        <w:rPr>
          <w:rFonts w:ascii="Century Gothic" w:cs="Century Gothic" w:eastAsia="Century Gothic" w:hAnsi="Century Gothic"/>
          <w:color w:val="1A1F1D"/>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left w:val="single" w:color="B07D2B" w:sz="24"/>
              <w:bottom w:val="none"/>
              <w:right w:val="none"/>
            </w:tcBorders>
            <w:shd w:fill="F4ECE0" w:val="clear"/>
            <w:tcMar>
              <w:top w:type="dxa" w:w="140"/>
              <w:left w:type="dxa" w:w="220"/>
              <w:bottom w:type="dxa" w:w="140"/>
              <w:right w:type="dxa" w:w="200"/>
            </w:tcMar>
          </w:tcPr>
          <w:p>
            <w:pPr>
              <w:spacing w:after="60"/>
            </w:pPr>
            <w:r>
              <w:rPr>
                <w:rFonts w:ascii="Century Gothic" w:cs="Century Gothic" w:eastAsia="Century Gothic" w:hAnsi="Century Gothic"/>
                <w:b/>
                <w:bCs/>
                <w:color w:val="B07D2B"/>
                <w:sz w:val="22"/>
                <w:szCs w:val="22"/>
              </w:rPr>
              <w:t xml:space="preserve">At Nishkam</w:t>
            </w:r>
          </w:p>
          <w:p>
            <w:pPr>
              <w:spacing w:after="120" w:line="276"/>
            </w:pPr>
            <w:r>
              <w:rPr>
                <w:rFonts w:ascii="Century Gothic" w:cs="Century Gothic" w:eastAsia="Century Gothic" w:hAnsi="Century Gothic"/>
                <w:color w:val="1A1F1D"/>
              </w:rPr>
              <w:t xml:space="preserve">At Nishkam, circulating is an act of </w:t>
            </w:r>
            <w:r>
              <w:rPr>
                <w:rFonts w:ascii="Century Gothic" w:cs="Century Gothic" w:eastAsia="Century Gothic" w:hAnsi="Century Gothic"/>
                <w:b/>
                <w:bCs/>
                <w:color w:val="1A1F1D"/>
              </w:rPr>
              <w:t xml:space="preserve">Diligence</w:t>
            </w:r>
            <w:r>
              <w:rPr>
                <w:rFonts w:ascii="Century Gothic" w:cs="Century Gothic" w:eastAsia="Century Gothic" w:hAnsi="Century Gothic"/>
                <w:color w:val="1A1F1D"/>
              </w:rPr>
              <w:t xml:space="preserve"> — the steady attention we give to every pupil, every book, every page. It is one of the reasons we circulate rather than stay at the front. The working room is kept calm with </w:t>
            </w:r>
            <w:r>
              <w:rPr>
                <w:rFonts w:ascii="Century Gothic" w:cs="Century Gothic" w:eastAsia="Century Gothic" w:hAnsi="Century Gothic"/>
                <w:b/>
                <w:bCs/>
                <w:color w:val="1A1F1D"/>
              </w:rPr>
              <w:t xml:space="preserve">Peacefulness</w:t>
            </w:r>
            <w:r>
              <w:rPr>
                <w:rFonts w:ascii="Century Gothic" w:cs="Century Gothic" w:eastAsia="Century Gothic" w:hAnsi="Century Gothic"/>
                <w:color w:val="1A1F1D"/>
              </w:rPr>
              <w:t xml:space="preserve">, and pupils act on feedback with </w:t>
            </w:r>
            <w:r>
              <w:rPr>
                <w:rFonts w:ascii="Century Gothic" w:cs="Century Gothic" w:eastAsia="Century Gothic" w:hAnsi="Century Gothic"/>
                <w:b/>
                <w:bCs/>
                <w:color w:val="1A1F1D"/>
              </w:rPr>
              <w:t xml:space="preserve">Determination</w:t>
            </w:r>
            <w:r>
              <w:rPr>
                <w:rFonts w:ascii="Century Gothic" w:cs="Century Gothic" w:eastAsia="Century Gothic" w:hAnsi="Century Gothic"/>
                <w:color w:val="1A1F1D"/>
              </w:rPr>
              <w:t xml:space="preserve">, in purple pen. The principle travels: move, look at the books, and respond while it still matters.</w:t>
            </w:r>
          </w:p>
        </w:tc>
      </w:tr>
    </w:tbl>
    <w:p>
      <w:pPr>
        <w:spacing w:after="60"/>
      </w:pPr>
      <w:r>
        <w:rPr>
          <w:rFonts w:ascii="Century Gothic" w:cs="Century Gothic" w:eastAsia="Century Gothic" w:hAnsi="Century Gothic"/>
          <w:color w:val="1A1F1D"/>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left w:val="single" w:color="3F9488" w:sz="24"/>
              <w:bottom w:val="none"/>
              <w:right w:val="none"/>
            </w:tcBorders>
            <w:shd w:fill="E8F1EE" w:val="clear"/>
            <w:tcMar>
              <w:top w:type="dxa" w:w="140"/>
              <w:left w:type="dxa" w:w="220"/>
              <w:bottom w:type="dxa" w:w="140"/>
              <w:right w:type="dxa" w:w="200"/>
            </w:tcMar>
          </w:tcPr>
          <w:p>
            <w:pPr>
              <w:spacing w:after="60"/>
            </w:pPr>
            <w:r>
              <w:rPr>
                <w:rFonts w:ascii="Century Gothic" w:cs="Century Gothic" w:eastAsia="Century Gothic" w:hAnsi="Century Gothic"/>
                <w:b/>
                <w:bCs/>
                <w:color w:val="3F9488"/>
                <w:sz w:val="22"/>
                <w:szCs w:val="22"/>
              </w:rPr>
              <w:t xml:space="preserve">Independent task</w:t>
            </w:r>
          </w:p>
          <w:p>
            <w:pPr>
              <w:spacing w:after="120" w:line="276"/>
            </w:pPr>
            <w:r>
              <w:rPr>
                <w:rFonts w:ascii="Century Gothic" w:cs="Century Gothic" w:eastAsia="Century Gothic" w:hAnsi="Century Gothic"/>
                <w:color w:val="1A1F1D"/>
              </w:rPr>
              <w:t xml:space="preserve">During independent work, how do you currently know whether the teaching has landed? What would you most like to see that you cannot see from the front?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bl>
          <w:p/>
        </w:tc>
      </w:tr>
    </w:tbl>
    <w:p>
      <w:pPr>
        <w:pStyle w:val="Heading1"/>
        <w:pageBreakBefore/>
        <w:spacing w:after="120" w:before="0"/>
      </w:pPr>
      <w:r>
        <w:rPr>
          <w:rFonts w:ascii="Century Gothic" w:cs="Century Gothic" w:eastAsia="Century Gothic" w:hAnsi="Century Gothic"/>
          <w:b/>
          <w:bCs/>
          <w:color w:val="14322D"/>
          <w:sz w:val="30"/>
          <w:szCs w:val="30"/>
        </w:rPr>
        <w:t xml:space="preserve">2 · What we miss when we stay at the front</w:t>
      </w:r>
    </w:p>
    <w:p>
      <w:pPr>
        <w:spacing w:after="120" w:line="276"/>
      </w:pPr>
      <w:r>
        <w:rPr>
          <w:rFonts w:ascii="Century Gothic" w:cs="Century Gothic" w:eastAsia="Century Gothic" w:hAnsi="Century Gothic"/>
          <w:b/>
          <w:bCs/>
          <w:color w:val="1A1F1D"/>
        </w:rPr>
        <w:t xml:space="preserve">Some things are easiest to see up close. </w:t>
      </w:r>
      <w:r>
        <w:rPr>
          <w:rFonts w:ascii="Century Gothic" w:cs="Century Gothic" w:eastAsia="Century Gothic" w:hAnsi="Century Gothic"/>
          <w:color w:val="1A1F1D"/>
        </w:rPr>
        <w:t xml:space="preserve">If we stay at the front while pupils work, it is hard to tell whether the teaching has really landed. We end up guessing at things we could simply see.</w:t>
      </w:r>
    </w:p>
    <w:p>
      <w:pPr>
        <w:pStyle w:val="ListParagraph"/>
        <w:numPr>
          <w:ilvl w:val="0"/>
          <w:numId w:val="2"/>
        </w:numPr>
        <w:spacing w:after="60" w:line="264"/>
      </w:pPr>
      <w:r>
        <w:rPr>
          <w:rFonts w:ascii="Century Gothic" w:cs="Century Gothic" w:eastAsia="Century Gothic" w:hAnsi="Century Gothic"/>
          <w:color w:val="1A1F1D"/>
        </w:rPr>
        <w:t xml:space="preserve">who has understood, and who is quietly struggling without saying so;</w:t>
      </w:r>
    </w:p>
    <w:p>
      <w:pPr>
        <w:pStyle w:val="ListParagraph"/>
        <w:numPr>
          <w:ilvl w:val="0"/>
          <w:numId w:val="2"/>
        </w:numPr>
        <w:spacing w:after="60" w:line="264"/>
      </w:pPr>
      <w:r>
        <w:rPr>
          <w:rFonts w:ascii="Century Gothic" w:cs="Century Gothic" w:eastAsia="Century Gothic" w:hAnsi="Century Gothic"/>
          <w:color w:val="1A1F1D"/>
        </w:rPr>
        <w:t xml:space="preserve">where a misconception is, before it spreads across the class;</w:t>
      </w:r>
    </w:p>
    <w:p>
      <w:pPr>
        <w:pStyle w:val="ListParagraph"/>
        <w:numPr>
          <w:ilvl w:val="0"/>
          <w:numId w:val="2"/>
        </w:numPr>
        <w:spacing w:after="60" w:line="264"/>
      </w:pPr>
      <w:r>
        <w:rPr>
          <w:rFonts w:ascii="Century Gothic" w:cs="Century Gothic" w:eastAsia="Century Gothic" w:hAnsi="Century Gothic"/>
          <w:color w:val="1A1F1D"/>
        </w:rPr>
        <w:t xml:space="preserve">who is ready for more, and who needs a little extra support to get going.</w:t>
      </w:r>
    </w:p>
    <w:p>
      <w:pPr>
        <w:spacing w:after="20"/>
      </w:pPr>
      <w:r>
        <w:rPr>
          <w:rFonts w:ascii="Century Gothic" w:cs="Century Gothic" w:eastAsia="Century Gothic" w:hAnsi="Century Gothic"/>
          <w:color w:val="1A1F1D"/>
        </w:rPr>
        <w:t xml:space="preserve"/>
      </w:r>
    </w:p>
    <w:p>
      <w:pPr>
        <w:pStyle w:val="Heading2"/>
        <w:spacing w:after="80" w:before="240"/>
      </w:pPr>
      <w:r>
        <w:rPr>
          <w:rFonts w:ascii="Century Gothic" w:cs="Century Gothic" w:eastAsia="Century Gothic" w:hAnsi="Century Gothic"/>
          <w:b/>
          <w:bCs/>
          <w:color w:val="14322D"/>
          <w:sz w:val="24"/>
          <w:szCs w:val="24"/>
        </w:rPr>
        <w:t xml:space="preserve">Two teachers, the same task</w:t>
      </w:r>
    </w:p>
    <w:p>
      <w:pPr>
        <w:spacing w:after="120" w:line="276"/>
      </w:pPr>
      <w:r>
        <w:rPr>
          <w:rFonts w:ascii="Century Gothic" w:cs="Century Gothic" w:eastAsia="Century Gothic" w:hAnsi="Century Gothic"/>
          <w:color w:val="1A1F1D"/>
        </w:rPr>
        <w:t xml:space="preserve">Both set their class the same piece of independent work. The bell goes twenty-five minutes later.</w:t>
      </w:r>
    </w:p>
    <w:p>
      <w:pPr>
        <w:spacing w:after="120" w:line="276"/>
      </w:pPr>
      <w:r>
        <w:rPr>
          <w:rFonts w:ascii="Century Gothic" w:cs="Century Gothic" w:eastAsia="Century Gothic" w:hAnsi="Century Gothic"/>
          <w:b/>
          <w:bCs/>
          <w:color w:val="1A1F1D"/>
        </w:rPr>
        <w:t xml:space="preserve">Teacher A </w:t>
      </w:r>
      <w:r>
        <w:rPr>
          <w:rFonts w:ascii="Century Gothic" w:cs="Century Gothic" w:eastAsia="Century Gothic" w:hAnsi="Century Gothic"/>
          <w:color w:val="1A1F1D"/>
        </w:rPr>
        <w:t xml:space="preserve">sets the task and returns to the desk, marking another class’s books at the front. They look up when it gets noisy, and discover the misconceptions that night, over thirty books.</w:t>
      </w:r>
    </w:p>
    <w:p>
      <w:pPr>
        <w:spacing w:after="120" w:line="276"/>
      </w:pPr>
      <w:r>
        <w:rPr>
          <w:rFonts w:ascii="Century Gothic" w:cs="Century Gothic" w:eastAsia="Century Gothic" w:hAnsi="Century Gothic"/>
          <w:b/>
          <w:bCs/>
          <w:color w:val="1A1F1D"/>
        </w:rPr>
        <w:t xml:space="preserve">Teacher B </w:t>
      </w:r>
      <w:r>
        <w:rPr>
          <w:rFonts w:ascii="Century Gothic" w:cs="Century Gothic" w:eastAsia="Century Gothic" w:hAnsi="Century Gothic"/>
          <w:color w:val="1A1F1D"/>
        </w:rPr>
        <w:t xml:space="preserve">sets the task, holds position, and scans for sixty seconds. They circulate a planned route, green pen in hand, spot the misconception at desk three, and stop the class to put it right. They leave with most of the feedback already done.</w:t>
      </w:r>
    </w:p>
    <w:p>
      <w:pPr>
        <w:spacing w:after="20"/>
      </w:pPr>
      <w:r>
        <w:rPr>
          <w:rFonts w:ascii="Century Gothic" w:cs="Century Gothic" w:eastAsia="Century Gothic" w:hAnsi="Century Gothic"/>
          <w:color w:val="1A1F1D"/>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left w:val="single" w:color="3F9488" w:sz="24"/>
              <w:bottom w:val="none"/>
              <w:right w:val="none"/>
            </w:tcBorders>
            <w:shd w:fill="E8F1EE" w:val="clear"/>
            <w:tcMar>
              <w:top w:type="dxa" w:w="140"/>
              <w:left w:type="dxa" w:w="220"/>
              <w:bottom w:type="dxa" w:w="140"/>
              <w:right w:type="dxa" w:w="200"/>
            </w:tcMar>
          </w:tcPr>
          <w:p>
            <w:pPr>
              <w:spacing w:after="60"/>
            </w:pPr>
            <w:r>
              <w:rPr>
                <w:rFonts w:ascii="Century Gothic" w:cs="Century Gothic" w:eastAsia="Century Gothic" w:hAnsi="Century Gothic"/>
                <w:b/>
                <w:bCs/>
                <w:color w:val="3F9488"/>
                <w:sz w:val="22"/>
                <w:szCs w:val="22"/>
              </w:rPr>
              <w:t xml:space="preserve">Group discussion</w:t>
            </w:r>
          </w:p>
          <w:p>
            <w:pPr>
              <w:spacing w:after="120" w:line="276"/>
            </w:pPr>
            <w:r>
              <w:rPr>
                <w:rFonts w:ascii="Century Gothic" w:cs="Century Gothic" w:eastAsia="Century Gothic" w:hAnsi="Century Gothic"/>
                <w:color w:val="1A1F1D"/>
              </w:rPr>
              <w:t xml:space="preserve">Same class, same twenty-five minutes. Whose pupils made more progress today, and why? Which of the two is closer to your own default?</w:t>
            </w:r>
          </w:p>
        </w:tc>
      </w:tr>
    </w:tbl>
    <w:p>
      <w:pPr>
        <w:pStyle w:val="Heading1"/>
        <w:pageBreakBefore/>
        <w:spacing w:after="120" w:before="0"/>
      </w:pPr>
      <w:r>
        <w:rPr>
          <w:rFonts w:ascii="Century Gothic" w:cs="Century Gothic" w:eastAsia="Century Gothic" w:hAnsi="Century Gothic"/>
          <w:b/>
          <w:bCs/>
          <w:color w:val="14322D"/>
          <w:sz w:val="30"/>
          <w:szCs w:val="30"/>
        </w:rPr>
        <w:t xml:space="preserve">3 · Feedback as a system — the evidence</w:t>
      </w:r>
    </w:p>
    <w:p>
      <w:pPr>
        <w:spacing w:after="120" w:line="276"/>
      </w:pPr>
      <w:r>
        <w:rPr>
          <w:rFonts w:ascii="Century Gothic" w:cs="Century Gothic" w:eastAsia="Century Gothic" w:hAnsi="Century Gothic"/>
          <w:color w:val="1A1F1D"/>
        </w:rPr>
        <w:t xml:space="preserve">This section draws on the EEF’s Teacher Feedback to Improve Pupil Learning (2021), and on Dylan Wiliam.</w:t>
      </w:r>
    </w:p>
    <w:p>
      <w:pPr>
        <w:pStyle w:val="Heading2"/>
        <w:spacing w:after="80" w:before="240"/>
      </w:pPr>
      <w:r>
        <w:rPr>
          <w:rFonts w:ascii="Century Gothic" w:cs="Century Gothic" w:eastAsia="Century Gothic" w:hAnsi="Century Gothic"/>
          <w:b/>
          <w:bCs/>
          <w:color w:val="14322D"/>
          <w:sz w:val="24"/>
          <w:szCs w:val="24"/>
        </w:rPr>
        <w:t xml:space="preserve">Three principles</w:t>
      </w:r>
    </w:p>
    <w:p>
      <w:pPr>
        <w:pStyle w:val="ListParagraph"/>
        <w:numPr>
          <w:ilvl w:val="0"/>
          <w:numId w:val="3"/>
        </w:numPr>
        <w:spacing w:after="60" w:line="264"/>
      </w:pPr>
      <w:r>
        <w:rPr>
          <w:rFonts w:ascii="Century Gothic" w:cs="Century Gothic" w:eastAsia="Century Gothic" w:hAnsi="Century Gothic"/>
          <w:color w:val="1A1F1D"/>
        </w:rPr>
        <w:t xml:space="preserve">Lay the foundations. Good teaching comes first; feedback works best when the initial explanation was strong.</w:t>
      </w:r>
    </w:p>
    <w:p>
      <w:pPr>
        <w:pStyle w:val="ListParagraph"/>
        <w:numPr>
          <w:ilvl w:val="0"/>
          <w:numId w:val="3"/>
        </w:numPr>
        <w:spacing w:after="60" w:line="264"/>
      </w:pPr>
      <w:r>
        <w:rPr>
          <w:rFonts w:ascii="Century Gothic" w:cs="Century Gothic" w:eastAsia="Century Gothic" w:hAnsi="Century Gothic"/>
          <w:color w:val="1A1F1D"/>
        </w:rPr>
        <w:t xml:space="preserve">Time it to move learning forward. During, just after, or a week later can all work well — keep the focus on the work rather than the pupil.</w:t>
      </w:r>
    </w:p>
    <w:p>
      <w:pPr>
        <w:pStyle w:val="ListParagraph"/>
        <w:numPr>
          <w:ilvl w:val="0"/>
          <w:numId w:val="3"/>
        </w:numPr>
        <w:spacing w:after="60" w:line="264"/>
      </w:pPr>
      <w:r>
        <w:rPr>
          <w:rFonts w:ascii="Century Gothic" w:cs="Century Gothic" w:eastAsia="Century Gothic" w:hAnsi="Century Gothic"/>
          <w:color w:val="1A1F1D"/>
        </w:rPr>
        <w:t xml:space="preserve">Plan how pupils use it. ‘The only thing that matters is what learners do with it.’ For us, that is the purple-pen response.</w:t>
      </w:r>
    </w:p>
    <w:p>
      <w:pPr>
        <w:spacing w:after="20"/>
      </w:pPr>
      <w:r>
        <w:rPr>
          <w:rFonts w:ascii="Century Gothic" w:cs="Century Gothic" w:eastAsia="Century Gothic" w:hAnsi="Century Gothic"/>
          <w:color w:val="1A1F1D"/>
        </w:rPr>
        <w:t xml:space="preserve"/>
      </w:r>
    </w:p>
    <w:p>
      <w:pPr>
        <w:spacing w:after="120" w:line="276"/>
      </w:pPr>
      <w:r>
        <w:rPr>
          <w:rFonts w:ascii="Century Gothic" w:cs="Century Gothic" w:eastAsia="Century Gothic" w:hAnsi="Century Gothic"/>
          <w:b/>
          <w:bCs/>
          <w:color w:val="1A1F1D"/>
        </w:rPr>
        <w:t xml:space="preserve">Feedback only does its work once a pupil acts on it. </w:t>
      </w:r>
      <w:r>
        <w:rPr>
          <w:rFonts w:ascii="Century Gothic" w:cs="Century Gothic" w:eastAsia="Century Gothic" w:hAnsi="Century Gothic"/>
          <w:color w:val="1A1F1D"/>
        </w:rPr>
        <w:t xml:space="preserve">Whether it was written or spoken, the purple-pen response is how we — and the pupil — can see that it has been taken on. It is worth protecting time for it.</w:t>
      </w:r>
    </w:p>
    <w:p>
      <w:pPr>
        <w:spacing w:after="40"/>
      </w:pPr>
      <w:r>
        <w:rPr>
          <w:rFonts w:ascii="Century Gothic" w:cs="Century Gothic" w:eastAsia="Century Gothic" w:hAnsi="Century Gothic"/>
          <w:color w:val="1A1F1D"/>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left w:val="single" w:color="3F9488" w:sz="24"/>
              <w:bottom w:val="none"/>
              <w:right w:val="none"/>
            </w:tcBorders>
            <w:shd w:fill="E8F1EE" w:val="clear"/>
            <w:tcMar>
              <w:top w:type="dxa" w:w="140"/>
              <w:left w:type="dxa" w:w="220"/>
              <w:bottom w:type="dxa" w:w="140"/>
              <w:right w:type="dxa" w:w="200"/>
            </w:tcMar>
          </w:tcPr>
          <w:p>
            <w:pPr>
              <w:spacing w:after="60"/>
            </w:pPr>
            <w:r>
              <w:rPr>
                <w:rFonts w:ascii="Century Gothic" w:cs="Century Gothic" w:eastAsia="Century Gothic" w:hAnsi="Century Gothic"/>
                <w:b/>
                <w:bCs/>
                <w:color w:val="3F9488"/>
                <w:sz w:val="22"/>
                <w:szCs w:val="22"/>
              </w:rPr>
              <w:t xml:space="preserve">Discuss</w:t>
            </w:r>
          </w:p>
          <w:p>
            <w:pPr>
              <w:spacing w:after="120" w:line="276"/>
            </w:pPr>
            <w:r>
              <w:rPr>
                <w:rFonts w:ascii="Century Gothic" w:cs="Century Gothic" w:eastAsia="Century Gothic" w:hAnsi="Century Gothic"/>
                <w:color w:val="1A1F1D"/>
              </w:rPr>
              <w:t xml:space="preserve">Where in your own marking does feedback do most of the work for the pupil rather than the other way round? What would shift more of that work back to them?</w:t>
            </w:r>
          </w:p>
        </w:tc>
      </w:tr>
    </w:tbl>
    <w:p>
      <w:pPr>
        <w:pStyle w:val="Heading1"/>
        <w:pageBreakBefore/>
        <w:spacing w:after="120" w:before="0"/>
      </w:pPr>
      <w:r>
        <w:rPr>
          <w:rFonts w:ascii="Century Gothic" w:cs="Century Gothic" w:eastAsia="Century Gothic" w:hAnsi="Century Gothic"/>
          <w:b/>
          <w:bCs/>
          <w:color w:val="14322D"/>
          <w:sz w:val="30"/>
          <w:szCs w:val="30"/>
        </w:rPr>
        <w:t xml:space="preserve">4 · The lesson cycle — Set, Settle, Sweep, Stop</w:t>
      </w:r>
    </w:p>
    <w:p>
      <w:pPr>
        <w:spacing w:after="120" w:line="276"/>
      </w:pPr>
      <w:r>
        <w:rPr>
          <w:rFonts w:ascii="Century Gothic" w:cs="Century Gothic" w:eastAsia="Century Gothic" w:hAnsi="Century Gothic"/>
          <w:color w:val="1A1F1D"/>
        </w:rPr>
        <w:t xml:space="preserve">A simple shape for the part of the lesson when pupils work independently.</w:t>
      </w:r>
    </w:p>
    <w:p>
      <w:pPr>
        <w:spacing w:after="60" w:before="160"/>
      </w:pPr>
      <w:r>
        <w:rPr>
          <w:rFonts w:ascii="Century Gothic" w:cs="Century Gothic" w:eastAsia="Century Gothic" w:hAnsi="Century Gothic"/>
          <w:b/>
          <w:bCs/>
          <w:color w:val="3F9488"/>
          <w:sz w:val="22"/>
          <w:szCs w:val="22"/>
        </w:rPr>
        <w:t xml:space="preserve">Set</w:t>
      </w:r>
    </w:p>
    <w:p>
      <w:pPr>
        <w:spacing w:after="120" w:line="276"/>
      </w:pPr>
      <w:r>
        <w:rPr>
          <w:rFonts w:ascii="Century Gothic" w:cs="Century Gothic" w:eastAsia="Century Gothic" w:hAnsi="Century Gothic"/>
          <w:color w:val="1A1F1D"/>
        </w:rPr>
        <w:t xml:space="preserve">A clear, three-step instruction, with the success criteria somewhere pupils can see them. Name the cue — ‘Diligence, thank you’ — and check confidence with a quick cold call or two before pupils begin.</w:t>
      </w:r>
    </w:p>
    <w:p>
      <w:pPr>
        <w:spacing w:after="60" w:before="160"/>
      </w:pPr>
      <w:r>
        <w:rPr>
          <w:rFonts w:ascii="Century Gothic" w:cs="Century Gothic" w:eastAsia="Century Gothic" w:hAnsi="Century Gothic"/>
          <w:b/>
          <w:bCs/>
          <w:color w:val="3F9488"/>
          <w:sz w:val="22"/>
          <w:szCs w:val="22"/>
        </w:rPr>
        <w:t xml:space="preserve">Settle</w:t>
      </w:r>
    </w:p>
    <w:p>
      <w:pPr>
        <w:spacing w:after="120" w:line="276"/>
      </w:pPr>
      <w:r>
        <w:rPr>
          <w:rFonts w:ascii="Century Gothic" w:cs="Century Gothic" w:eastAsia="Century Gothic" w:hAnsi="Century Gothic"/>
          <w:color w:val="1A1F1D"/>
        </w:rPr>
        <w:t xml:space="preserve">Hold a strong position and scan the first sixty seconds. Do not rush to help one pupil. A word of praise for the first to make a start; if a hand goes up early, a nod is often enough.</w:t>
      </w:r>
    </w:p>
    <w:p>
      <w:pPr>
        <w:spacing w:after="60" w:before="160"/>
      </w:pPr>
      <w:r>
        <w:rPr>
          <w:rFonts w:ascii="Century Gothic" w:cs="Century Gothic" w:eastAsia="Century Gothic" w:hAnsi="Century Gothic"/>
          <w:b/>
          <w:bCs/>
          <w:color w:val="3F9488"/>
          <w:sz w:val="22"/>
          <w:szCs w:val="22"/>
        </w:rPr>
        <w:t xml:space="preserve">Sweep</w:t>
      </w:r>
    </w:p>
    <w:p>
      <w:pPr>
        <w:spacing w:after="120" w:line="276"/>
      </w:pPr>
      <w:r>
        <w:rPr>
          <w:rFonts w:ascii="Century Gothic" w:cs="Century Gothic" w:eastAsia="Century Gothic" w:hAnsi="Century Gothic"/>
          <w:color w:val="1A1F1D"/>
        </w:rPr>
        <w:t xml:space="preserve">A deliberate circuit, with green pen in hand and eyes on the books rather than the room. Live mark and move on. Some desks need only a few seconds; others a little longer.</w:t>
      </w:r>
    </w:p>
    <w:p>
      <w:pPr>
        <w:spacing w:after="60" w:before="160"/>
      </w:pPr>
      <w:r>
        <w:rPr>
          <w:rFonts w:ascii="Century Gothic" w:cs="Century Gothic" w:eastAsia="Century Gothic" w:hAnsi="Century Gothic"/>
          <w:b/>
          <w:bCs/>
          <w:color w:val="3F9488"/>
          <w:sz w:val="22"/>
          <w:szCs w:val="22"/>
        </w:rPr>
        <w:t xml:space="preserve">Stop</w:t>
      </w:r>
    </w:p>
    <w:p>
      <w:pPr>
        <w:spacing w:after="120" w:line="276"/>
      </w:pPr>
      <w:r>
        <w:rPr>
          <w:rFonts w:ascii="Century Gothic" w:cs="Century Gothic" w:eastAsia="Century Gothic" w:hAnsi="Century Gothic"/>
          <w:color w:val="1A1F1D"/>
        </w:rPr>
        <w:t xml:space="preserve">If the same slip is widespread, stop the whole class rather than fixing it one desk at a time: whole-class check, cold call to confirm, pair-share, re-model, then re-check with mini-whiteboards.</w:t>
      </w:r>
    </w:p>
    <w:p>
      <w:pPr>
        <w:spacing w:after="40"/>
      </w:pPr>
      <w:r>
        <w:rPr>
          <w:rFonts w:ascii="Century Gothic" w:cs="Century Gothic" w:eastAsia="Century Gothic" w:hAnsi="Century Gothic"/>
          <w:color w:val="1A1F1D"/>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left w:val="single" w:color="B07D2B" w:sz="24"/>
              <w:bottom w:val="none"/>
              <w:right w:val="none"/>
            </w:tcBorders>
            <w:shd w:fill="F4ECE0" w:val="clear"/>
            <w:tcMar>
              <w:top w:type="dxa" w:w="140"/>
              <w:left w:type="dxa" w:w="220"/>
              <w:bottom w:type="dxa" w:w="140"/>
              <w:right w:type="dxa" w:w="200"/>
            </w:tcMar>
          </w:tcPr>
          <w:p>
            <w:pPr>
              <w:spacing w:after="60"/>
            </w:pPr>
            <w:r>
              <w:rPr>
                <w:rFonts w:ascii="Century Gothic" w:cs="Century Gothic" w:eastAsia="Century Gothic" w:hAnsi="Century Gothic"/>
                <w:b/>
                <w:bCs/>
                <w:color w:val="B07D2B"/>
                <w:sz w:val="22"/>
                <w:szCs w:val="22"/>
              </w:rPr>
              <w:t xml:space="preserve">At Nishkam</w:t>
            </w:r>
          </w:p>
          <w:p>
            <w:pPr>
              <w:spacing w:after="120" w:line="276"/>
            </w:pPr>
            <w:r>
              <w:rPr>
                <w:rFonts w:ascii="Century Gothic" w:cs="Century Gothic" w:eastAsia="Century Gothic" w:hAnsi="Century Gothic"/>
                <w:color w:val="1A1F1D"/>
              </w:rPr>
              <w:t xml:space="preserve">The working room is settled, and re-settled, with </w:t>
            </w:r>
            <w:r>
              <w:rPr>
                <w:rFonts w:ascii="Century Gothic" w:cs="Century Gothic" w:eastAsia="Century Gothic" w:hAnsi="Century Gothic"/>
                <w:b/>
                <w:bCs/>
                <w:color w:val="1A1F1D"/>
              </w:rPr>
              <w:t xml:space="preserve">Peacefulness</w:t>
            </w:r>
            <w:r>
              <w:rPr>
                <w:rFonts w:ascii="Century Gothic" w:cs="Century Gothic" w:eastAsia="Century Gothic" w:hAnsi="Century Gothic"/>
                <w:color w:val="1A1F1D"/>
              </w:rPr>
              <w:t xml:space="preserve"> — the same calm cue each time — so that circulating never tips the room into chatter.</w:t>
            </w:r>
          </w:p>
        </w:tc>
      </w:tr>
    </w:tbl>
    <w:p>
      <w:pPr>
        <w:pStyle w:val="Heading2"/>
        <w:spacing w:after="80" w:before="240"/>
      </w:pPr>
      <w:r>
        <w:rPr>
          <w:rFonts w:ascii="Century Gothic" w:cs="Century Gothic" w:eastAsia="Century Gothic" w:hAnsi="Century Gothic"/>
          <w:b/>
          <w:bCs/>
          <w:color w:val="14322D"/>
          <w:sz w:val="24"/>
          <w:szCs w:val="24"/>
        </w:rPr>
        <w:t xml:space="preserve">The circulating &amp; checking checklist</w:t>
      </w:r>
    </w:p>
    <w:p>
      <w:pPr>
        <w:spacing w:after="120" w:line="276"/>
      </w:pPr>
      <w:r>
        <w:rPr>
          <w:rFonts w:ascii="Century Gothic" w:cs="Century Gothic" w:eastAsia="Century Gothic" w:hAnsi="Century Gothic"/>
          <w:color w:val="1A1F1D"/>
        </w:rPr>
        <w:t xml:space="preserve">These sit behind the coaching work, and they are a useful shared language when colleagues look at one another’s practice.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rPr>
          <w:cantSplit/>
          <w:tblHeader/>
        </w:trPr>
        <w:tc>
          <w:tcPr>
            <w:tcW w:type="dxa" w:w="9026"/>
            <w:gridSpan w:val="2"/>
            <w:tcBorders>
              <w:top w:val="single" w:color="C9D6D0" w:sz="4"/>
              <w:left w:val="single" w:color="C9D6D0" w:sz="4"/>
              <w:bottom w:val="single" w:color="C9D6D0" w:sz="4"/>
              <w:right w:val="single" w:color="C9D6D0" w:sz="4"/>
            </w:tcBorders>
            <w:shd w:fill="14322D" w:val="clear"/>
            <w:tcMar>
              <w:top w:type="dxa" w:w="90"/>
              <w:left w:type="dxa" w:w="140"/>
              <w:bottom w:type="dxa" w:w="90"/>
              <w:right w:type="dxa" w:w="120"/>
            </w:tcMar>
          </w:tcPr>
          <w:p>
            <w:r>
              <w:rPr>
                <w:rFonts w:ascii="Century Gothic" w:cs="Century Gothic" w:eastAsia="Century Gothic" w:hAnsi="Century Gothic"/>
                <w:b/>
                <w:bCs/>
                <w:color w:val="FFFFFF"/>
                <w:sz w:val="22"/>
                <w:szCs w:val="22"/>
              </w:rPr>
              <w:t xml:space="preserve">Circulating &amp; checking · CCS2–11</w:t>
            </w:r>
          </w:p>
        </w:tc>
      </w:tr>
      <w:tr>
        <w:trPr>
          <w:cantSplit/>
        </w:trPr>
        <w:tc>
          <w:tcPr>
            <w:tcW w:type="dxa" w:w="1200"/>
            <w:tcBorders>
              <w:top w:val="single" w:color="C9D6D0" w:sz="4"/>
              <w:left w:val="single" w:color="C9D6D0" w:sz="4"/>
              <w:bottom w:val="single" w:color="C9D6D0" w:sz="4"/>
              <w:right w:val="single" w:color="C9D6D0" w:sz="4"/>
            </w:tcBorders>
            <w:shd w:fill="DCEAE5" w:val="clear"/>
            <w:tcMar>
              <w:top w:type="dxa" w:w="80"/>
              <w:left w:type="dxa" w:w="120"/>
              <w:bottom w:type="dxa" w:w="80"/>
              <w:right w:type="dxa" w:w="80"/>
            </w:tcMar>
          </w:tcPr>
          <w:p>
            <w:r>
              <w:rPr>
                <w:rFonts w:ascii="Century Gothic" w:cs="Century Gothic" w:eastAsia="Century Gothic" w:hAnsi="Century Gothic"/>
                <w:b/>
                <w:bCs/>
                <w:color w:val="14322D"/>
                <w:sz w:val="20"/>
                <w:szCs w:val="20"/>
              </w:rPr>
              <w:t xml:space="preserve">CCS2</w:t>
            </w:r>
          </w:p>
        </w:tc>
        <w:tc>
          <w:tcPr>
            <w:tcW w:type="dxa" w:w="7826"/>
            <w:tcBorders>
              <w:top w:val="single" w:color="C9D6D0" w:sz="4"/>
              <w:left w:val="single" w:color="C9D6D0" w:sz="4"/>
              <w:bottom w:val="single" w:color="C9D6D0" w:sz="4"/>
              <w:right w:val="single" w:color="C9D6D0" w:sz="4"/>
            </w:tcBorders>
            <w:shd w:fill="DCEAE5" w:val="clear"/>
            <w:tcMar>
              <w:top w:type="dxa" w:w="80"/>
              <w:left w:type="dxa" w:w="140"/>
              <w:bottom w:type="dxa" w:w="80"/>
              <w:right w:type="dxa" w:w="120"/>
            </w:tcMar>
          </w:tcPr>
          <w:p>
            <w:r>
              <w:rPr>
                <w:rFonts w:ascii="Century Gothic" w:cs="Century Gothic" w:eastAsia="Century Gothic" w:hAnsi="Century Gothic"/>
                <w:color w:val="1A1F1D"/>
                <w:sz w:val="20"/>
                <w:szCs w:val="20"/>
              </w:rPr>
              <w:t xml:space="preserve">At the transition point, a clear description of the expectations for the independent task.</w:t>
            </w:r>
          </w:p>
        </w:tc>
      </w:tr>
      <w:tr>
        <w:trPr>
          <w:cantSplit/>
        </w:trPr>
        <w:tc>
          <w:tcPr>
            <w:tcW w:type="dxa" w:w="1200"/>
            <w:tcBorders>
              <w:top w:val="single" w:color="C9D6D0" w:sz="4"/>
              <w:left w:val="single" w:color="C9D6D0" w:sz="4"/>
              <w:bottom w:val="single" w:color="C9D6D0" w:sz="4"/>
              <w:right w:val="single" w:color="C9D6D0" w:sz="4"/>
            </w:tcBorders>
            <w:shd w:fill="FFFFFF" w:val="clear"/>
            <w:tcMar>
              <w:top w:type="dxa" w:w="80"/>
              <w:left w:type="dxa" w:w="120"/>
              <w:bottom w:type="dxa" w:w="80"/>
              <w:right w:type="dxa" w:w="80"/>
            </w:tcMar>
          </w:tcPr>
          <w:p>
            <w:r>
              <w:rPr>
                <w:rFonts w:ascii="Century Gothic" w:cs="Century Gothic" w:eastAsia="Century Gothic" w:hAnsi="Century Gothic"/>
                <w:b/>
                <w:bCs/>
                <w:color w:val="14322D"/>
                <w:sz w:val="20"/>
                <w:szCs w:val="20"/>
              </w:rPr>
              <w:t xml:space="preserve">CCS3</w:t>
            </w:r>
          </w:p>
        </w:tc>
        <w:tc>
          <w:tcPr>
            <w:tcW w:type="dxa" w:w="7826"/>
            <w:tcBorders>
              <w:top w:val="single" w:color="C9D6D0" w:sz="4"/>
              <w:left w:val="single" w:color="C9D6D0" w:sz="4"/>
              <w:bottom w:val="single" w:color="C9D6D0" w:sz="4"/>
              <w:right w:val="single" w:color="C9D6D0" w:sz="4"/>
            </w:tcBorders>
            <w:shd w:fill="FFFFFF" w:val="clear"/>
            <w:tcMar>
              <w:top w:type="dxa" w:w="80"/>
              <w:left w:type="dxa" w:w="140"/>
              <w:bottom w:type="dxa" w:w="80"/>
              <w:right w:type="dxa" w:w="120"/>
            </w:tcMar>
          </w:tcPr>
          <w:p>
            <w:r>
              <w:rPr>
                <w:rFonts w:ascii="Century Gothic" w:cs="Century Gothic" w:eastAsia="Century Gothic" w:hAnsi="Century Gothic"/>
                <w:color w:val="1A1F1D"/>
                <w:sz w:val="20"/>
                <w:szCs w:val="20"/>
              </w:rPr>
              <w:t xml:space="preserve">Checks confidence level through questioning / cold-calling.</w:t>
            </w:r>
          </w:p>
        </w:tc>
      </w:tr>
      <w:tr>
        <w:trPr>
          <w:cantSplit/>
        </w:trPr>
        <w:tc>
          <w:tcPr>
            <w:tcW w:type="dxa" w:w="1200"/>
            <w:tcBorders>
              <w:top w:val="single" w:color="C9D6D0" w:sz="4"/>
              <w:left w:val="single" w:color="C9D6D0" w:sz="4"/>
              <w:bottom w:val="single" w:color="C9D6D0" w:sz="4"/>
              <w:right w:val="single" w:color="C9D6D0" w:sz="4"/>
            </w:tcBorders>
            <w:shd w:fill="DCEAE5" w:val="clear"/>
            <w:tcMar>
              <w:top w:type="dxa" w:w="80"/>
              <w:left w:type="dxa" w:w="120"/>
              <w:bottom w:type="dxa" w:w="80"/>
              <w:right w:type="dxa" w:w="80"/>
            </w:tcMar>
          </w:tcPr>
          <w:p>
            <w:r>
              <w:rPr>
                <w:rFonts w:ascii="Century Gothic" w:cs="Century Gothic" w:eastAsia="Century Gothic" w:hAnsi="Century Gothic"/>
                <w:b/>
                <w:bCs/>
                <w:color w:val="14322D"/>
                <w:sz w:val="20"/>
                <w:szCs w:val="20"/>
              </w:rPr>
              <w:t xml:space="preserve">CCS4</w:t>
            </w:r>
          </w:p>
        </w:tc>
        <w:tc>
          <w:tcPr>
            <w:tcW w:type="dxa" w:w="7826"/>
            <w:tcBorders>
              <w:top w:val="single" w:color="C9D6D0" w:sz="4"/>
              <w:left w:val="single" w:color="C9D6D0" w:sz="4"/>
              <w:bottom w:val="single" w:color="C9D6D0" w:sz="4"/>
              <w:right w:val="single" w:color="C9D6D0" w:sz="4"/>
            </w:tcBorders>
            <w:shd w:fill="DCEAE5" w:val="clear"/>
            <w:tcMar>
              <w:top w:type="dxa" w:w="80"/>
              <w:left w:type="dxa" w:w="140"/>
              <w:bottom w:type="dxa" w:w="80"/>
              <w:right w:type="dxa" w:w="120"/>
            </w:tcMar>
          </w:tcPr>
          <w:p>
            <w:r>
              <w:rPr>
                <w:rFonts w:ascii="Century Gothic" w:cs="Century Gothic" w:eastAsia="Century Gothic" w:hAnsi="Century Gothic"/>
                <w:color w:val="1A1F1D"/>
                <w:sz w:val="20"/>
                <w:szCs w:val="20"/>
              </w:rPr>
              <w:t xml:space="preserve">Sets pupils to start work quickly and efficiently.</w:t>
            </w:r>
          </w:p>
        </w:tc>
      </w:tr>
      <w:tr>
        <w:trPr>
          <w:cantSplit/>
        </w:trPr>
        <w:tc>
          <w:tcPr>
            <w:tcW w:type="dxa" w:w="1200"/>
            <w:tcBorders>
              <w:top w:val="single" w:color="C9D6D0" w:sz="4"/>
              <w:left w:val="single" w:color="C9D6D0" w:sz="4"/>
              <w:bottom w:val="single" w:color="C9D6D0" w:sz="4"/>
              <w:right w:val="single" w:color="C9D6D0" w:sz="4"/>
            </w:tcBorders>
            <w:shd w:fill="FFFFFF" w:val="clear"/>
            <w:tcMar>
              <w:top w:type="dxa" w:w="80"/>
              <w:left w:type="dxa" w:w="120"/>
              <w:bottom w:type="dxa" w:w="80"/>
              <w:right w:type="dxa" w:w="80"/>
            </w:tcMar>
          </w:tcPr>
          <w:p>
            <w:r>
              <w:rPr>
                <w:rFonts w:ascii="Century Gothic" w:cs="Century Gothic" w:eastAsia="Century Gothic" w:hAnsi="Century Gothic"/>
                <w:b/>
                <w:bCs/>
                <w:color w:val="14322D"/>
                <w:sz w:val="20"/>
                <w:szCs w:val="20"/>
              </w:rPr>
              <w:t xml:space="preserve">CCS5</w:t>
            </w:r>
          </w:p>
        </w:tc>
        <w:tc>
          <w:tcPr>
            <w:tcW w:type="dxa" w:w="7826"/>
            <w:tcBorders>
              <w:top w:val="single" w:color="C9D6D0" w:sz="4"/>
              <w:left w:val="single" w:color="C9D6D0" w:sz="4"/>
              <w:bottom w:val="single" w:color="C9D6D0" w:sz="4"/>
              <w:right w:val="single" w:color="C9D6D0" w:sz="4"/>
            </w:tcBorders>
            <w:shd w:fill="FFFFFF" w:val="clear"/>
            <w:tcMar>
              <w:top w:type="dxa" w:w="80"/>
              <w:left w:type="dxa" w:w="140"/>
              <w:bottom w:type="dxa" w:w="80"/>
              <w:right w:type="dxa" w:w="120"/>
            </w:tcMar>
          </w:tcPr>
          <w:p>
            <w:r>
              <w:rPr>
                <w:rFonts w:ascii="Century Gothic" w:cs="Century Gothic" w:eastAsia="Century Gothic" w:hAnsi="Century Gothic"/>
                <w:color w:val="1A1F1D"/>
                <w:sz w:val="20"/>
                <w:szCs w:val="20"/>
              </w:rPr>
              <w:t xml:space="preserve">Places themselves in a strong position and checks if all pupils are on task.</w:t>
            </w:r>
          </w:p>
        </w:tc>
      </w:tr>
      <w:tr>
        <w:trPr>
          <w:cantSplit/>
        </w:trPr>
        <w:tc>
          <w:tcPr>
            <w:tcW w:type="dxa" w:w="1200"/>
            <w:tcBorders>
              <w:top w:val="single" w:color="C9D6D0" w:sz="4"/>
              <w:left w:val="single" w:color="C9D6D0" w:sz="4"/>
              <w:bottom w:val="single" w:color="C9D6D0" w:sz="4"/>
              <w:right w:val="single" w:color="C9D6D0" w:sz="4"/>
            </w:tcBorders>
            <w:shd w:fill="DCEAE5" w:val="clear"/>
            <w:tcMar>
              <w:top w:type="dxa" w:w="80"/>
              <w:left w:type="dxa" w:w="120"/>
              <w:bottom w:type="dxa" w:w="80"/>
              <w:right w:type="dxa" w:w="80"/>
            </w:tcMar>
          </w:tcPr>
          <w:p>
            <w:r>
              <w:rPr>
                <w:rFonts w:ascii="Century Gothic" w:cs="Century Gothic" w:eastAsia="Century Gothic" w:hAnsi="Century Gothic"/>
                <w:b/>
                <w:bCs/>
                <w:color w:val="14322D"/>
                <w:sz w:val="20"/>
                <w:szCs w:val="20"/>
              </w:rPr>
              <w:t xml:space="preserve">CCS6</w:t>
            </w:r>
          </w:p>
        </w:tc>
        <w:tc>
          <w:tcPr>
            <w:tcW w:type="dxa" w:w="7826"/>
            <w:tcBorders>
              <w:top w:val="single" w:color="C9D6D0" w:sz="4"/>
              <w:left w:val="single" w:color="C9D6D0" w:sz="4"/>
              <w:bottom w:val="single" w:color="C9D6D0" w:sz="4"/>
              <w:right w:val="single" w:color="C9D6D0" w:sz="4"/>
            </w:tcBorders>
            <w:shd w:fill="DCEAE5" w:val="clear"/>
            <w:tcMar>
              <w:top w:type="dxa" w:w="80"/>
              <w:left w:type="dxa" w:w="140"/>
              <w:bottom w:type="dxa" w:w="80"/>
              <w:right w:type="dxa" w:w="120"/>
            </w:tcMar>
          </w:tcPr>
          <w:p>
            <w:r>
              <w:rPr>
                <w:rFonts w:ascii="Century Gothic" w:cs="Century Gothic" w:eastAsia="Century Gothic" w:hAnsi="Century Gothic"/>
                <w:color w:val="1A1F1D"/>
                <w:sz w:val="20"/>
                <w:szCs w:val="20"/>
              </w:rPr>
              <w:t xml:space="preserve">Provides adaptations and/or scaffolding for SEND / lowest 20% so the task can be accessed.</w:t>
            </w:r>
          </w:p>
        </w:tc>
      </w:tr>
      <w:tr>
        <w:trPr>
          <w:cantSplit/>
        </w:trPr>
        <w:tc>
          <w:tcPr>
            <w:tcW w:type="dxa" w:w="1200"/>
            <w:tcBorders>
              <w:top w:val="single" w:color="C9D6D0" w:sz="4"/>
              <w:left w:val="single" w:color="C9D6D0" w:sz="4"/>
              <w:bottom w:val="single" w:color="C9D6D0" w:sz="4"/>
              <w:right w:val="single" w:color="C9D6D0" w:sz="4"/>
            </w:tcBorders>
            <w:shd w:fill="FFFFFF" w:val="clear"/>
            <w:tcMar>
              <w:top w:type="dxa" w:w="80"/>
              <w:left w:type="dxa" w:w="120"/>
              <w:bottom w:type="dxa" w:w="80"/>
              <w:right w:type="dxa" w:w="80"/>
            </w:tcMar>
          </w:tcPr>
          <w:p>
            <w:r>
              <w:rPr>
                <w:rFonts w:ascii="Century Gothic" w:cs="Century Gothic" w:eastAsia="Century Gothic" w:hAnsi="Century Gothic"/>
                <w:b/>
                <w:bCs/>
                <w:color w:val="14322D"/>
                <w:sz w:val="20"/>
                <w:szCs w:val="20"/>
              </w:rPr>
              <w:t xml:space="preserve">CCS7</w:t>
            </w:r>
          </w:p>
        </w:tc>
        <w:tc>
          <w:tcPr>
            <w:tcW w:type="dxa" w:w="7826"/>
            <w:tcBorders>
              <w:top w:val="single" w:color="C9D6D0" w:sz="4"/>
              <w:left w:val="single" w:color="C9D6D0" w:sz="4"/>
              <w:bottom w:val="single" w:color="C9D6D0" w:sz="4"/>
              <w:right w:val="single" w:color="C9D6D0" w:sz="4"/>
            </w:tcBorders>
            <w:shd w:fill="FFFFFF" w:val="clear"/>
            <w:tcMar>
              <w:top w:type="dxa" w:w="80"/>
              <w:left w:type="dxa" w:w="140"/>
              <w:bottom w:type="dxa" w:w="80"/>
              <w:right w:type="dxa" w:w="120"/>
            </w:tcMar>
          </w:tcPr>
          <w:p>
            <w:r>
              <w:rPr>
                <w:rFonts w:ascii="Century Gothic" w:cs="Century Gothic" w:eastAsia="Century Gothic" w:hAnsi="Century Gothic"/>
                <w:color w:val="1A1F1D"/>
                <w:sz w:val="20"/>
                <w:szCs w:val="20"/>
              </w:rPr>
              <w:t xml:space="preserve">Pupils engage in work quickly and purposefully.</w:t>
            </w:r>
          </w:p>
        </w:tc>
      </w:tr>
      <w:tr>
        <w:trPr>
          <w:cantSplit/>
        </w:trPr>
        <w:tc>
          <w:tcPr>
            <w:tcW w:type="dxa" w:w="1200"/>
            <w:tcBorders>
              <w:top w:val="single" w:color="C9D6D0" w:sz="4"/>
              <w:left w:val="single" w:color="C9D6D0" w:sz="4"/>
              <w:bottom w:val="single" w:color="C9D6D0" w:sz="4"/>
              <w:right w:val="single" w:color="C9D6D0" w:sz="4"/>
            </w:tcBorders>
            <w:shd w:fill="DCEAE5" w:val="clear"/>
            <w:tcMar>
              <w:top w:type="dxa" w:w="80"/>
              <w:left w:type="dxa" w:w="120"/>
              <w:bottom w:type="dxa" w:w="80"/>
              <w:right w:type="dxa" w:w="80"/>
            </w:tcMar>
          </w:tcPr>
          <w:p>
            <w:r>
              <w:rPr>
                <w:rFonts w:ascii="Century Gothic" w:cs="Century Gothic" w:eastAsia="Century Gothic" w:hAnsi="Century Gothic"/>
                <w:b/>
                <w:bCs/>
                <w:color w:val="14322D"/>
                <w:sz w:val="20"/>
                <w:szCs w:val="20"/>
              </w:rPr>
              <w:t xml:space="preserve">CCS8</w:t>
            </w:r>
          </w:p>
        </w:tc>
        <w:tc>
          <w:tcPr>
            <w:tcW w:type="dxa" w:w="7826"/>
            <w:tcBorders>
              <w:top w:val="single" w:color="C9D6D0" w:sz="4"/>
              <w:left w:val="single" w:color="C9D6D0" w:sz="4"/>
              <w:bottom w:val="single" w:color="C9D6D0" w:sz="4"/>
              <w:right w:val="single" w:color="C9D6D0" w:sz="4"/>
            </w:tcBorders>
            <w:shd w:fill="DCEAE5" w:val="clear"/>
            <w:tcMar>
              <w:top w:type="dxa" w:w="80"/>
              <w:left w:type="dxa" w:w="140"/>
              <w:bottom w:type="dxa" w:w="80"/>
              <w:right w:type="dxa" w:w="120"/>
            </w:tcMar>
          </w:tcPr>
          <w:p>
            <w:r>
              <w:rPr>
                <w:rFonts w:ascii="Century Gothic" w:cs="Century Gothic" w:eastAsia="Century Gothic" w:hAnsi="Century Gothic"/>
                <w:color w:val="1A1F1D"/>
                <w:sz w:val="20"/>
                <w:szCs w:val="20"/>
              </w:rPr>
              <w:t xml:space="preserve">Assistant teacher supports key pupils and teacher guidance is evident, where appropriate.</w:t>
            </w:r>
          </w:p>
        </w:tc>
      </w:tr>
      <w:tr>
        <w:trPr>
          <w:cantSplit/>
        </w:trPr>
        <w:tc>
          <w:tcPr>
            <w:tcW w:type="dxa" w:w="1200"/>
            <w:tcBorders>
              <w:top w:val="single" w:color="C9D6D0" w:sz="4"/>
              <w:left w:val="single" w:color="C9D6D0" w:sz="4"/>
              <w:bottom w:val="single" w:color="C9D6D0" w:sz="4"/>
              <w:right w:val="single" w:color="C9D6D0" w:sz="4"/>
            </w:tcBorders>
            <w:shd w:fill="FFFFFF" w:val="clear"/>
            <w:tcMar>
              <w:top w:type="dxa" w:w="80"/>
              <w:left w:type="dxa" w:w="120"/>
              <w:bottom w:type="dxa" w:w="80"/>
              <w:right w:type="dxa" w:w="80"/>
            </w:tcMar>
          </w:tcPr>
          <w:p>
            <w:r>
              <w:rPr>
                <w:rFonts w:ascii="Century Gothic" w:cs="Century Gothic" w:eastAsia="Century Gothic" w:hAnsi="Century Gothic"/>
                <w:b/>
                <w:bCs/>
                <w:color w:val="14322D"/>
                <w:sz w:val="20"/>
                <w:szCs w:val="20"/>
              </w:rPr>
              <w:t xml:space="preserve">CCS9</w:t>
            </w:r>
          </w:p>
        </w:tc>
        <w:tc>
          <w:tcPr>
            <w:tcW w:type="dxa" w:w="7826"/>
            <w:tcBorders>
              <w:top w:val="single" w:color="C9D6D0" w:sz="4"/>
              <w:left w:val="single" w:color="C9D6D0" w:sz="4"/>
              <w:bottom w:val="single" w:color="C9D6D0" w:sz="4"/>
              <w:right w:val="single" w:color="C9D6D0" w:sz="4"/>
            </w:tcBorders>
            <w:shd w:fill="FFFFFF" w:val="clear"/>
            <w:tcMar>
              <w:top w:type="dxa" w:w="80"/>
              <w:left w:type="dxa" w:w="140"/>
              <w:bottom w:type="dxa" w:w="80"/>
              <w:right w:type="dxa" w:w="120"/>
            </w:tcMar>
          </w:tcPr>
          <w:p>
            <w:r>
              <w:rPr>
                <w:rFonts w:ascii="Century Gothic" w:cs="Century Gothic" w:eastAsia="Century Gothic" w:hAnsi="Century Gothic"/>
                <w:color w:val="1A1F1D"/>
                <w:sz w:val="20"/>
                <w:szCs w:val="20"/>
              </w:rPr>
              <w:t xml:space="preserve">The working environment is calm and quiet, corrected using ‘peacefulness’ if it is not.</w:t>
            </w:r>
          </w:p>
        </w:tc>
      </w:tr>
      <w:tr>
        <w:trPr>
          <w:cantSplit/>
        </w:trPr>
        <w:tc>
          <w:tcPr>
            <w:tcW w:type="dxa" w:w="1200"/>
            <w:tcBorders>
              <w:top w:val="single" w:color="C9D6D0" w:sz="4"/>
              <w:left w:val="single" w:color="C9D6D0" w:sz="4"/>
              <w:bottom w:val="single" w:color="C9D6D0" w:sz="4"/>
              <w:right w:val="single" w:color="C9D6D0" w:sz="4"/>
            </w:tcBorders>
            <w:shd w:fill="DCEAE5" w:val="clear"/>
            <w:tcMar>
              <w:top w:type="dxa" w:w="80"/>
              <w:left w:type="dxa" w:w="120"/>
              <w:bottom w:type="dxa" w:w="80"/>
              <w:right w:type="dxa" w:w="80"/>
            </w:tcMar>
          </w:tcPr>
          <w:p>
            <w:r>
              <w:rPr>
                <w:rFonts w:ascii="Century Gothic" w:cs="Century Gothic" w:eastAsia="Century Gothic" w:hAnsi="Century Gothic"/>
                <w:b/>
                <w:bCs/>
                <w:color w:val="14322D"/>
                <w:sz w:val="20"/>
                <w:szCs w:val="20"/>
              </w:rPr>
              <w:t xml:space="preserve">CCS10</w:t>
            </w:r>
          </w:p>
        </w:tc>
        <w:tc>
          <w:tcPr>
            <w:tcW w:type="dxa" w:w="7826"/>
            <w:tcBorders>
              <w:top w:val="single" w:color="C9D6D0" w:sz="4"/>
              <w:left w:val="single" w:color="C9D6D0" w:sz="4"/>
              <w:bottom w:val="single" w:color="C9D6D0" w:sz="4"/>
              <w:right w:val="single" w:color="C9D6D0" w:sz="4"/>
            </w:tcBorders>
            <w:shd w:fill="DCEAE5" w:val="clear"/>
            <w:tcMar>
              <w:top w:type="dxa" w:w="80"/>
              <w:left w:type="dxa" w:w="140"/>
              <w:bottom w:type="dxa" w:w="80"/>
              <w:right w:type="dxa" w:w="120"/>
            </w:tcMar>
          </w:tcPr>
          <w:p>
            <w:r>
              <w:rPr>
                <w:rFonts w:ascii="Century Gothic" w:cs="Century Gothic" w:eastAsia="Century Gothic" w:hAnsi="Century Gothic"/>
                <w:color w:val="1A1F1D"/>
                <w:sz w:val="20"/>
                <w:szCs w:val="20"/>
              </w:rPr>
              <w:t xml:space="preserve">Actively circulates, checking for success and identifying who needs support or challenge.</w:t>
            </w:r>
          </w:p>
        </w:tc>
      </w:tr>
      <w:tr>
        <w:trPr>
          <w:cantSplit/>
        </w:trPr>
        <w:tc>
          <w:tcPr>
            <w:tcW w:type="dxa" w:w="1200"/>
            <w:tcBorders>
              <w:top w:val="single" w:color="C9D6D0" w:sz="4"/>
              <w:left w:val="single" w:color="C9D6D0" w:sz="4"/>
              <w:bottom w:val="single" w:color="C9D6D0" w:sz="4"/>
              <w:right w:val="single" w:color="C9D6D0" w:sz="4"/>
            </w:tcBorders>
            <w:shd w:fill="FFFFFF" w:val="clear"/>
            <w:tcMar>
              <w:top w:type="dxa" w:w="80"/>
              <w:left w:type="dxa" w:w="120"/>
              <w:bottom w:type="dxa" w:w="80"/>
              <w:right w:type="dxa" w:w="80"/>
            </w:tcMar>
          </w:tcPr>
          <w:p>
            <w:r>
              <w:rPr>
                <w:rFonts w:ascii="Century Gothic" w:cs="Century Gothic" w:eastAsia="Century Gothic" w:hAnsi="Century Gothic"/>
                <w:b/>
                <w:bCs/>
                <w:color w:val="14322D"/>
                <w:sz w:val="20"/>
                <w:szCs w:val="20"/>
              </w:rPr>
              <w:t xml:space="preserve">CCS11</w:t>
            </w:r>
          </w:p>
        </w:tc>
        <w:tc>
          <w:tcPr>
            <w:tcW w:type="dxa" w:w="7826"/>
            <w:tcBorders>
              <w:top w:val="single" w:color="C9D6D0" w:sz="4"/>
              <w:left w:val="single" w:color="C9D6D0" w:sz="4"/>
              <w:bottom w:val="single" w:color="C9D6D0" w:sz="4"/>
              <w:right w:val="single" w:color="C9D6D0" w:sz="4"/>
            </w:tcBorders>
            <w:shd w:fill="FFFFFF" w:val="clear"/>
            <w:tcMar>
              <w:top w:type="dxa" w:w="80"/>
              <w:left w:type="dxa" w:w="140"/>
              <w:bottom w:type="dxa" w:w="80"/>
              <w:right w:type="dxa" w:w="120"/>
            </w:tcMar>
          </w:tcPr>
          <w:p>
            <w:r>
              <w:rPr>
                <w:rFonts w:ascii="Century Gothic" w:cs="Century Gothic" w:eastAsia="Century Gothic" w:hAnsi="Century Gothic"/>
                <w:color w:val="1A1F1D"/>
                <w:sz w:val="20"/>
                <w:szCs w:val="20"/>
              </w:rPr>
              <w:t xml:space="preserve">Pupils respond to live teacher feedback using purple pen.</w:t>
            </w:r>
          </w:p>
        </w:tc>
      </w:tr>
    </w:tbl>
    <w:p>
      <w:pPr>
        <w:pStyle w:val="Heading2"/>
        <w:spacing w:after="80" w:before="240"/>
      </w:pPr>
      <w:r>
        <w:rPr>
          <w:rFonts w:ascii="Century Gothic" w:cs="Century Gothic" w:eastAsia="Century Gothic" w:hAnsi="Century Gothic"/>
          <w:b/>
          <w:bCs/>
          <w:color w:val="14322D"/>
          <w:sz w:val="24"/>
          <w:szCs w:val="24"/>
        </w:rPr>
        <w:t xml:space="preserve">Checking with mini-whiteboards</w:t>
      </w:r>
    </w:p>
    <w:p>
      <w:pPr>
        <w:spacing w:after="120" w:line="276"/>
      </w:pPr>
      <w:r>
        <w:rPr>
          <w:rFonts w:ascii="Century Gothic" w:cs="Century Gothic" w:eastAsia="Century Gothic" w:hAnsi="Century Gothic"/>
          <w:color w:val="1A1F1D"/>
        </w:rPr>
        <w:t xml:space="preserve">To see every pupil’s thinking at once, the mini-whiteboard is hard to beat. Set a clear task, give silent thinking time, and use ‘3-2-1, show me’ as the trigger so all boards go up together.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rPr>
          <w:cantSplit/>
          <w:tblHeader/>
        </w:trPr>
        <w:tc>
          <w:tcPr>
            <w:tcW w:type="dxa" w:w="9026"/>
            <w:gridSpan w:val="2"/>
            <w:tcBorders>
              <w:top w:val="single" w:color="C9D6D0" w:sz="4"/>
              <w:left w:val="single" w:color="C9D6D0" w:sz="4"/>
              <w:bottom w:val="single" w:color="C9D6D0" w:sz="4"/>
              <w:right w:val="single" w:color="C9D6D0" w:sz="4"/>
            </w:tcBorders>
            <w:shd w:fill="14322D" w:val="clear"/>
            <w:tcMar>
              <w:top w:type="dxa" w:w="90"/>
              <w:left w:type="dxa" w:w="140"/>
              <w:bottom w:type="dxa" w:w="90"/>
              <w:right w:type="dxa" w:w="120"/>
            </w:tcMar>
          </w:tcPr>
          <w:p>
            <w:r>
              <w:rPr>
                <w:rFonts w:ascii="Century Gothic" w:cs="Century Gothic" w:eastAsia="Century Gothic" w:hAnsi="Century Gothic"/>
                <w:b/>
                <w:bCs/>
                <w:color w:val="FFFFFF"/>
                <w:sz w:val="22"/>
                <w:szCs w:val="22"/>
              </w:rPr>
              <w:t xml:space="preserve">Mini-whiteboards · MW1–12</w:t>
            </w:r>
          </w:p>
        </w:tc>
      </w:tr>
      <w:tr>
        <w:trPr>
          <w:cantSplit/>
        </w:trPr>
        <w:tc>
          <w:tcPr>
            <w:tcW w:type="dxa" w:w="1200"/>
            <w:tcBorders>
              <w:top w:val="single" w:color="C9D6D0" w:sz="4"/>
              <w:left w:val="single" w:color="C9D6D0" w:sz="4"/>
              <w:bottom w:val="single" w:color="C9D6D0" w:sz="4"/>
              <w:right w:val="single" w:color="C9D6D0" w:sz="4"/>
            </w:tcBorders>
            <w:shd w:fill="DCEAE5" w:val="clear"/>
            <w:tcMar>
              <w:top w:type="dxa" w:w="80"/>
              <w:left w:type="dxa" w:w="120"/>
              <w:bottom w:type="dxa" w:w="80"/>
              <w:right w:type="dxa" w:w="80"/>
            </w:tcMar>
          </w:tcPr>
          <w:p>
            <w:r>
              <w:rPr>
                <w:rFonts w:ascii="Century Gothic" w:cs="Century Gothic" w:eastAsia="Century Gothic" w:hAnsi="Century Gothic"/>
                <w:b/>
                <w:bCs/>
                <w:color w:val="14322D"/>
                <w:sz w:val="20"/>
                <w:szCs w:val="20"/>
              </w:rPr>
              <w:t xml:space="preserve">MW1</w:t>
            </w:r>
          </w:p>
        </w:tc>
        <w:tc>
          <w:tcPr>
            <w:tcW w:type="dxa" w:w="7826"/>
            <w:tcBorders>
              <w:top w:val="single" w:color="C9D6D0" w:sz="4"/>
              <w:left w:val="single" w:color="C9D6D0" w:sz="4"/>
              <w:bottom w:val="single" w:color="C9D6D0" w:sz="4"/>
              <w:right w:val="single" w:color="C9D6D0" w:sz="4"/>
            </w:tcBorders>
            <w:shd w:fill="DCEAE5" w:val="clear"/>
            <w:tcMar>
              <w:top w:type="dxa" w:w="80"/>
              <w:left w:type="dxa" w:w="140"/>
              <w:bottom w:type="dxa" w:w="80"/>
              <w:right w:type="dxa" w:w="120"/>
            </w:tcMar>
          </w:tcPr>
          <w:p>
            <w:r>
              <w:rPr>
                <w:rFonts w:ascii="Century Gothic" w:cs="Century Gothic" w:eastAsia="Century Gothic" w:hAnsi="Century Gothic"/>
                <w:color w:val="1A1F1D"/>
                <w:sz w:val="20"/>
                <w:szCs w:val="20"/>
              </w:rPr>
              <w:t xml:space="preserve">Whiteboards and pens on desks throughout.</w:t>
            </w:r>
          </w:p>
        </w:tc>
      </w:tr>
      <w:tr>
        <w:trPr>
          <w:cantSplit/>
        </w:trPr>
        <w:tc>
          <w:tcPr>
            <w:tcW w:type="dxa" w:w="1200"/>
            <w:tcBorders>
              <w:top w:val="single" w:color="C9D6D0" w:sz="4"/>
              <w:left w:val="single" w:color="C9D6D0" w:sz="4"/>
              <w:bottom w:val="single" w:color="C9D6D0" w:sz="4"/>
              <w:right w:val="single" w:color="C9D6D0" w:sz="4"/>
            </w:tcBorders>
            <w:shd w:fill="FFFFFF" w:val="clear"/>
            <w:tcMar>
              <w:top w:type="dxa" w:w="80"/>
              <w:left w:type="dxa" w:w="120"/>
              <w:bottom w:type="dxa" w:w="80"/>
              <w:right w:type="dxa" w:w="80"/>
            </w:tcMar>
          </w:tcPr>
          <w:p>
            <w:r>
              <w:rPr>
                <w:rFonts w:ascii="Century Gothic" w:cs="Century Gothic" w:eastAsia="Century Gothic" w:hAnsi="Century Gothic"/>
                <w:b/>
                <w:bCs/>
                <w:color w:val="14322D"/>
                <w:sz w:val="20"/>
                <w:szCs w:val="20"/>
              </w:rPr>
              <w:t xml:space="preserve">MW2</w:t>
            </w:r>
          </w:p>
        </w:tc>
        <w:tc>
          <w:tcPr>
            <w:tcW w:type="dxa" w:w="7826"/>
            <w:tcBorders>
              <w:top w:val="single" w:color="C9D6D0" w:sz="4"/>
              <w:left w:val="single" w:color="C9D6D0" w:sz="4"/>
              <w:bottom w:val="single" w:color="C9D6D0" w:sz="4"/>
              <w:right w:val="single" w:color="C9D6D0" w:sz="4"/>
            </w:tcBorders>
            <w:shd w:fill="FFFFFF" w:val="clear"/>
            <w:tcMar>
              <w:top w:type="dxa" w:w="80"/>
              <w:left w:type="dxa" w:w="140"/>
              <w:bottom w:type="dxa" w:w="80"/>
              <w:right w:type="dxa" w:w="120"/>
            </w:tcMar>
          </w:tcPr>
          <w:p>
            <w:r>
              <w:rPr>
                <w:rFonts w:ascii="Century Gothic" w:cs="Century Gothic" w:eastAsia="Century Gothic" w:hAnsi="Century Gothic"/>
                <w:color w:val="1A1F1D"/>
                <w:sz w:val="20"/>
                <w:szCs w:val="20"/>
              </w:rPr>
              <w:t xml:space="preserve">Whiteboard task instructions are clear.</w:t>
            </w:r>
          </w:p>
        </w:tc>
      </w:tr>
      <w:tr>
        <w:trPr>
          <w:cantSplit/>
        </w:trPr>
        <w:tc>
          <w:tcPr>
            <w:tcW w:type="dxa" w:w="1200"/>
            <w:tcBorders>
              <w:top w:val="single" w:color="C9D6D0" w:sz="4"/>
              <w:left w:val="single" w:color="C9D6D0" w:sz="4"/>
              <w:bottom w:val="single" w:color="C9D6D0" w:sz="4"/>
              <w:right w:val="single" w:color="C9D6D0" w:sz="4"/>
            </w:tcBorders>
            <w:shd w:fill="DCEAE5" w:val="clear"/>
            <w:tcMar>
              <w:top w:type="dxa" w:w="80"/>
              <w:left w:type="dxa" w:w="120"/>
              <w:bottom w:type="dxa" w:w="80"/>
              <w:right w:type="dxa" w:w="80"/>
            </w:tcMar>
          </w:tcPr>
          <w:p>
            <w:r>
              <w:rPr>
                <w:rFonts w:ascii="Century Gothic" w:cs="Century Gothic" w:eastAsia="Century Gothic" w:hAnsi="Century Gothic"/>
                <w:b/>
                <w:bCs/>
                <w:color w:val="14322D"/>
                <w:sz w:val="20"/>
                <w:szCs w:val="20"/>
              </w:rPr>
              <w:t xml:space="preserve">MW3</w:t>
            </w:r>
          </w:p>
        </w:tc>
        <w:tc>
          <w:tcPr>
            <w:tcW w:type="dxa" w:w="7826"/>
            <w:tcBorders>
              <w:top w:val="single" w:color="C9D6D0" w:sz="4"/>
              <w:left w:val="single" w:color="C9D6D0" w:sz="4"/>
              <w:bottom w:val="single" w:color="C9D6D0" w:sz="4"/>
              <w:right w:val="single" w:color="C9D6D0" w:sz="4"/>
            </w:tcBorders>
            <w:shd w:fill="DCEAE5" w:val="clear"/>
            <w:tcMar>
              <w:top w:type="dxa" w:w="80"/>
              <w:left w:type="dxa" w:w="140"/>
              <w:bottom w:type="dxa" w:w="80"/>
              <w:right w:type="dxa" w:w="120"/>
            </w:tcMar>
          </w:tcPr>
          <w:p>
            <w:r>
              <w:rPr>
                <w:rFonts w:ascii="Century Gothic" w:cs="Century Gothic" w:eastAsia="Century Gothic" w:hAnsi="Century Gothic"/>
                <w:color w:val="1A1F1D"/>
                <w:sz w:val="20"/>
                <w:szCs w:val="20"/>
              </w:rPr>
              <w:t xml:space="preserve">Whiteboard task functions as genuine assessment.</w:t>
            </w:r>
          </w:p>
        </w:tc>
      </w:tr>
      <w:tr>
        <w:trPr>
          <w:cantSplit/>
        </w:trPr>
        <w:tc>
          <w:tcPr>
            <w:tcW w:type="dxa" w:w="1200"/>
            <w:tcBorders>
              <w:top w:val="single" w:color="C9D6D0" w:sz="4"/>
              <w:left w:val="single" w:color="C9D6D0" w:sz="4"/>
              <w:bottom w:val="single" w:color="C9D6D0" w:sz="4"/>
              <w:right w:val="single" w:color="C9D6D0" w:sz="4"/>
            </w:tcBorders>
            <w:shd w:fill="FFFFFF" w:val="clear"/>
            <w:tcMar>
              <w:top w:type="dxa" w:w="80"/>
              <w:left w:type="dxa" w:w="120"/>
              <w:bottom w:type="dxa" w:w="80"/>
              <w:right w:type="dxa" w:w="80"/>
            </w:tcMar>
          </w:tcPr>
          <w:p>
            <w:r>
              <w:rPr>
                <w:rFonts w:ascii="Century Gothic" w:cs="Century Gothic" w:eastAsia="Century Gothic" w:hAnsi="Century Gothic"/>
                <w:b/>
                <w:bCs/>
                <w:color w:val="14322D"/>
                <w:sz w:val="20"/>
                <w:szCs w:val="20"/>
              </w:rPr>
              <w:t xml:space="preserve">MW4</w:t>
            </w:r>
          </w:p>
        </w:tc>
        <w:tc>
          <w:tcPr>
            <w:tcW w:type="dxa" w:w="7826"/>
            <w:tcBorders>
              <w:top w:val="single" w:color="C9D6D0" w:sz="4"/>
              <w:left w:val="single" w:color="C9D6D0" w:sz="4"/>
              <w:bottom w:val="single" w:color="C9D6D0" w:sz="4"/>
              <w:right w:val="single" w:color="C9D6D0" w:sz="4"/>
            </w:tcBorders>
            <w:shd w:fill="FFFFFF" w:val="clear"/>
            <w:tcMar>
              <w:top w:type="dxa" w:w="80"/>
              <w:left w:type="dxa" w:w="140"/>
              <w:bottom w:type="dxa" w:w="80"/>
              <w:right w:type="dxa" w:w="120"/>
            </w:tcMar>
          </w:tcPr>
          <w:p>
            <w:r>
              <w:rPr>
                <w:rFonts w:ascii="Century Gothic" w:cs="Century Gothic" w:eastAsia="Century Gothic" w:hAnsi="Century Gothic"/>
                <w:color w:val="1A1F1D"/>
                <w:sz w:val="20"/>
                <w:szCs w:val="20"/>
              </w:rPr>
              <w:t xml:space="preserve">Time limit set and stated.</w:t>
            </w:r>
          </w:p>
        </w:tc>
      </w:tr>
      <w:tr>
        <w:trPr>
          <w:cantSplit/>
        </w:trPr>
        <w:tc>
          <w:tcPr>
            <w:tcW w:type="dxa" w:w="1200"/>
            <w:tcBorders>
              <w:top w:val="single" w:color="C9D6D0" w:sz="4"/>
              <w:left w:val="single" w:color="C9D6D0" w:sz="4"/>
              <w:bottom w:val="single" w:color="C9D6D0" w:sz="4"/>
              <w:right w:val="single" w:color="C9D6D0" w:sz="4"/>
            </w:tcBorders>
            <w:shd w:fill="DCEAE5" w:val="clear"/>
            <w:tcMar>
              <w:top w:type="dxa" w:w="80"/>
              <w:left w:type="dxa" w:w="120"/>
              <w:bottom w:type="dxa" w:w="80"/>
              <w:right w:type="dxa" w:w="80"/>
            </w:tcMar>
          </w:tcPr>
          <w:p>
            <w:r>
              <w:rPr>
                <w:rFonts w:ascii="Century Gothic" w:cs="Century Gothic" w:eastAsia="Century Gothic" w:hAnsi="Century Gothic"/>
                <w:b/>
                <w:bCs/>
                <w:color w:val="14322D"/>
                <w:sz w:val="20"/>
                <w:szCs w:val="20"/>
              </w:rPr>
              <w:t xml:space="preserve">MW5</w:t>
            </w:r>
          </w:p>
        </w:tc>
        <w:tc>
          <w:tcPr>
            <w:tcW w:type="dxa" w:w="7826"/>
            <w:tcBorders>
              <w:top w:val="single" w:color="C9D6D0" w:sz="4"/>
              <w:left w:val="single" w:color="C9D6D0" w:sz="4"/>
              <w:bottom w:val="single" w:color="C9D6D0" w:sz="4"/>
              <w:right w:val="single" w:color="C9D6D0" w:sz="4"/>
            </w:tcBorders>
            <w:shd w:fill="DCEAE5" w:val="clear"/>
            <w:tcMar>
              <w:top w:type="dxa" w:w="80"/>
              <w:left w:type="dxa" w:w="140"/>
              <w:bottom w:type="dxa" w:w="80"/>
              <w:right w:type="dxa" w:w="120"/>
            </w:tcMar>
          </w:tcPr>
          <w:p>
            <w:r>
              <w:rPr>
                <w:rFonts w:ascii="Century Gothic" w:cs="Century Gothic" w:eastAsia="Century Gothic" w:hAnsi="Century Gothic"/>
                <w:color w:val="1A1F1D"/>
                <w:sz w:val="20"/>
                <w:szCs w:val="20"/>
              </w:rPr>
              <w:t xml:space="preserve">Hesitation and confusion monitored across the room.</w:t>
            </w:r>
          </w:p>
        </w:tc>
      </w:tr>
      <w:tr>
        <w:trPr>
          <w:cantSplit/>
        </w:trPr>
        <w:tc>
          <w:tcPr>
            <w:tcW w:type="dxa" w:w="1200"/>
            <w:tcBorders>
              <w:top w:val="single" w:color="C9D6D0" w:sz="4"/>
              <w:left w:val="single" w:color="C9D6D0" w:sz="4"/>
              <w:bottom w:val="single" w:color="C9D6D0" w:sz="4"/>
              <w:right w:val="single" w:color="C9D6D0" w:sz="4"/>
            </w:tcBorders>
            <w:shd w:fill="FFFFFF" w:val="clear"/>
            <w:tcMar>
              <w:top w:type="dxa" w:w="80"/>
              <w:left w:type="dxa" w:w="120"/>
              <w:bottom w:type="dxa" w:w="80"/>
              <w:right w:type="dxa" w:w="80"/>
            </w:tcMar>
          </w:tcPr>
          <w:p>
            <w:r>
              <w:rPr>
                <w:rFonts w:ascii="Century Gothic" w:cs="Century Gothic" w:eastAsia="Century Gothic" w:hAnsi="Century Gothic"/>
                <w:b/>
                <w:bCs/>
                <w:color w:val="14322D"/>
                <w:sz w:val="20"/>
                <w:szCs w:val="20"/>
              </w:rPr>
              <w:t xml:space="preserve">MW6</w:t>
            </w:r>
          </w:p>
        </w:tc>
        <w:tc>
          <w:tcPr>
            <w:tcW w:type="dxa" w:w="7826"/>
            <w:tcBorders>
              <w:top w:val="single" w:color="C9D6D0" w:sz="4"/>
              <w:left w:val="single" w:color="C9D6D0" w:sz="4"/>
              <w:bottom w:val="single" w:color="C9D6D0" w:sz="4"/>
              <w:right w:val="single" w:color="C9D6D0" w:sz="4"/>
            </w:tcBorders>
            <w:shd w:fill="FFFFFF" w:val="clear"/>
            <w:tcMar>
              <w:top w:type="dxa" w:w="80"/>
              <w:left w:type="dxa" w:w="140"/>
              <w:bottom w:type="dxa" w:w="80"/>
              <w:right w:type="dxa" w:w="120"/>
            </w:tcMar>
          </w:tcPr>
          <w:p>
            <w:r>
              <w:rPr>
                <w:rFonts w:ascii="Century Gothic" w:cs="Century Gothic" w:eastAsia="Century Gothic" w:hAnsi="Century Gothic"/>
                <w:color w:val="1A1F1D"/>
                <w:sz w:val="20"/>
                <w:szCs w:val="20"/>
              </w:rPr>
              <w:t xml:space="preserve">Silent thinking time before response.</w:t>
            </w:r>
          </w:p>
        </w:tc>
      </w:tr>
      <w:tr>
        <w:trPr>
          <w:cantSplit/>
        </w:trPr>
        <w:tc>
          <w:tcPr>
            <w:tcW w:type="dxa" w:w="1200"/>
            <w:tcBorders>
              <w:top w:val="single" w:color="C9D6D0" w:sz="4"/>
              <w:left w:val="single" w:color="C9D6D0" w:sz="4"/>
              <w:bottom w:val="single" w:color="C9D6D0" w:sz="4"/>
              <w:right w:val="single" w:color="C9D6D0" w:sz="4"/>
            </w:tcBorders>
            <w:shd w:fill="DCEAE5" w:val="clear"/>
            <w:tcMar>
              <w:top w:type="dxa" w:w="80"/>
              <w:left w:type="dxa" w:w="120"/>
              <w:bottom w:type="dxa" w:w="80"/>
              <w:right w:type="dxa" w:w="80"/>
            </w:tcMar>
          </w:tcPr>
          <w:p>
            <w:r>
              <w:rPr>
                <w:rFonts w:ascii="Century Gothic" w:cs="Century Gothic" w:eastAsia="Century Gothic" w:hAnsi="Century Gothic"/>
                <w:b/>
                <w:bCs/>
                <w:color w:val="14322D"/>
                <w:sz w:val="20"/>
                <w:szCs w:val="20"/>
              </w:rPr>
              <w:t xml:space="preserve">MW7</w:t>
            </w:r>
          </w:p>
        </w:tc>
        <w:tc>
          <w:tcPr>
            <w:tcW w:type="dxa" w:w="7826"/>
            <w:tcBorders>
              <w:top w:val="single" w:color="C9D6D0" w:sz="4"/>
              <w:left w:val="single" w:color="C9D6D0" w:sz="4"/>
              <w:bottom w:val="single" w:color="C9D6D0" w:sz="4"/>
              <w:right w:val="single" w:color="C9D6D0" w:sz="4"/>
            </w:tcBorders>
            <w:shd w:fill="DCEAE5" w:val="clear"/>
            <w:tcMar>
              <w:top w:type="dxa" w:w="80"/>
              <w:left w:type="dxa" w:w="140"/>
              <w:bottom w:type="dxa" w:w="80"/>
              <w:right w:type="dxa" w:w="120"/>
            </w:tcMar>
          </w:tcPr>
          <w:p>
            <w:r>
              <w:rPr>
                <w:rFonts w:ascii="Century Gothic" w:cs="Century Gothic" w:eastAsia="Century Gothic" w:hAnsi="Century Gothic"/>
                <w:color w:val="1A1F1D"/>
                <w:sz w:val="20"/>
                <w:szCs w:val="20"/>
              </w:rPr>
              <w:t xml:space="preserve">‘3-2-1 Show me’ used as the trigger.</w:t>
            </w:r>
          </w:p>
        </w:tc>
      </w:tr>
      <w:tr>
        <w:trPr>
          <w:cantSplit/>
        </w:trPr>
        <w:tc>
          <w:tcPr>
            <w:tcW w:type="dxa" w:w="1200"/>
            <w:tcBorders>
              <w:top w:val="single" w:color="C9D6D0" w:sz="4"/>
              <w:left w:val="single" w:color="C9D6D0" w:sz="4"/>
              <w:bottom w:val="single" w:color="C9D6D0" w:sz="4"/>
              <w:right w:val="single" w:color="C9D6D0" w:sz="4"/>
            </w:tcBorders>
            <w:shd w:fill="FFFFFF" w:val="clear"/>
            <w:tcMar>
              <w:top w:type="dxa" w:w="80"/>
              <w:left w:type="dxa" w:w="120"/>
              <w:bottom w:type="dxa" w:w="80"/>
              <w:right w:type="dxa" w:w="80"/>
            </w:tcMar>
          </w:tcPr>
          <w:p>
            <w:r>
              <w:rPr>
                <w:rFonts w:ascii="Century Gothic" w:cs="Century Gothic" w:eastAsia="Century Gothic" w:hAnsi="Century Gothic"/>
                <w:b/>
                <w:bCs/>
                <w:color w:val="14322D"/>
                <w:sz w:val="20"/>
                <w:szCs w:val="20"/>
              </w:rPr>
              <w:t xml:space="preserve">MW8</w:t>
            </w:r>
          </w:p>
        </w:tc>
        <w:tc>
          <w:tcPr>
            <w:tcW w:type="dxa" w:w="7826"/>
            <w:tcBorders>
              <w:top w:val="single" w:color="C9D6D0" w:sz="4"/>
              <w:left w:val="single" w:color="C9D6D0" w:sz="4"/>
              <w:bottom w:val="single" w:color="C9D6D0" w:sz="4"/>
              <w:right w:val="single" w:color="C9D6D0" w:sz="4"/>
            </w:tcBorders>
            <w:shd w:fill="FFFFFF" w:val="clear"/>
            <w:tcMar>
              <w:top w:type="dxa" w:w="80"/>
              <w:left w:type="dxa" w:w="140"/>
              <w:bottom w:type="dxa" w:w="80"/>
              <w:right w:type="dxa" w:w="120"/>
            </w:tcMar>
          </w:tcPr>
          <w:p>
            <w:r>
              <w:rPr>
                <w:rFonts w:ascii="Century Gothic" w:cs="Century Gothic" w:eastAsia="Century Gothic" w:hAnsi="Century Gothic"/>
                <w:color w:val="1A1F1D"/>
                <w:sz w:val="20"/>
                <w:szCs w:val="20"/>
              </w:rPr>
              <w:t xml:space="preserve">All whiteboards raised; non-compliance corrected.</w:t>
            </w:r>
          </w:p>
        </w:tc>
      </w:tr>
      <w:tr>
        <w:trPr>
          <w:cantSplit/>
        </w:trPr>
        <w:tc>
          <w:tcPr>
            <w:tcW w:type="dxa" w:w="1200"/>
            <w:tcBorders>
              <w:top w:val="single" w:color="C9D6D0" w:sz="4"/>
              <w:left w:val="single" w:color="C9D6D0" w:sz="4"/>
              <w:bottom w:val="single" w:color="C9D6D0" w:sz="4"/>
              <w:right w:val="single" w:color="C9D6D0" w:sz="4"/>
            </w:tcBorders>
            <w:shd w:fill="DCEAE5" w:val="clear"/>
            <w:tcMar>
              <w:top w:type="dxa" w:w="80"/>
              <w:left w:type="dxa" w:w="120"/>
              <w:bottom w:type="dxa" w:w="80"/>
              <w:right w:type="dxa" w:w="80"/>
            </w:tcMar>
          </w:tcPr>
          <w:p>
            <w:r>
              <w:rPr>
                <w:rFonts w:ascii="Century Gothic" w:cs="Century Gothic" w:eastAsia="Century Gothic" w:hAnsi="Century Gothic"/>
                <w:b/>
                <w:bCs/>
                <w:color w:val="14322D"/>
                <w:sz w:val="20"/>
                <w:szCs w:val="20"/>
              </w:rPr>
              <w:t xml:space="preserve">MW9</w:t>
            </w:r>
          </w:p>
        </w:tc>
        <w:tc>
          <w:tcPr>
            <w:tcW w:type="dxa" w:w="7826"/>
            <w:tcBorders>
              <w:top w:val="single" w:color="C9D6D0" w:sz="4"/>
              <w:left w:val="single" w:color="C9D6D0" w:sz="4"/>
              <w:bottom w:val="single" w:color="C9D6D0" w:sz="4"/>
              <w:right w:val="single" w:color="C9D6D0" w:sz="4"/>
            </w:tcBorders>
            <w:shd w:fill="DCEAE5" w:val="clear"/>
            <w:tcMar>
              <w:top w:type="dxa" w:w="80"/>
              <w:left w:type="dxa" w:w="140"/>
              <w:bottom w:type="dxa" w:w="80"/>
              <w:right w:type="dxa" w:w="120"/>
            </w:tcMar>
          </w:tcPr>
          <w:p>
            <w:r>
              <w:rPr>
                <w:rFonts w:ascii="Century Gothic" w:cs="Century Gothic" w:eastAsia="Century Gothic" w:hAnsi="Century Gothic"/>
                <w:color w:val="1A1F1D"/>
                <w:sz w:val="20"/>
                <w:szCs w:val="20"/>
              </w:rPr>
              <w:t xml:space="preserve">Responses scanned and verbally acknowledged.</w:t>
            </w:r>
          </w:p>
        </w:tc>
      </w:tr>
      <w:tr>
        <w:trPr>
          <w:cantSplit/>
        </w:trPr>
        <w:tc>
          <w:tcPr>
            <w:tcW w:type="dxa" w:w="1200"/>
            <w:tcBorders>
              <w:top w:val="single" w:color="C9D6D0" w:sz="4"/>
              <w:left w:val="single" w:color="C9D6D0" w:sz="4"/>
              <w:bottom w:val="single" w:color="C9D6D0" w:sz="4"/>
              <w:right w:val="single" w:color="C9D6D0" w:sz="4"/>
            </w:tcBorders>
            <w:shd w:fill="FFFFFF" w:val="clear"/>
            <w:tcMar>
              <w:top w:type="dxa" w:w="80"/>
              <w:left w:type="dxa" w:w="120"/>
              <w:bottom w:type="dxa" w:w="80"/>
              <w:right w:type="dxa" w:w="80"/>
            </w:tcMar>
          </w:tcPr>
          <w:p>
            <w:r>
              <w:rPr>
                <w:rFonts w:ascii="Century Gothic" w:cs="Century Gothic" w:eastAsia="Century Gothic" w:hAnsi="Century Gothic"/>
                <w:b/>
                <w:bCs/>
                <w:color w:val="14322D"/>
                <w:sz w:val="20"/>
                <w:szCs w:val="20"/>
              </w:rPr>
              <w:t xml:space="preserve">MW10</w:t>
            </w:r>
          </w:p>
        </w:tc>
        <w:tc>
          <w:tcPr>
            <w:tcW w:type="dxa" w:w="7826"/>
            <w:tcBorders>
              <w:top w:val="single" w:color="C9D6D0" w:sz="4"/>
              <w:left w:val="single" w:color="C9D6D0" w:sz="4"/>
              <w:bottom w:val="single" w:color="C9D6D0" w:sz="4"/>
              <w:right w:val="single" w:color="C9D6D0" w:sz="4"/>
            </w:tcBorders>
            <w:shd w:fill="FFFFFF" w:val="clear"/>
            <w:tcMar>
              <w:top w:type="dxa" w:w="80"/>
              <w:left w:type="dxa" w:w="140"/>
              <w:bottom w:type="dxa" w:w="80"/>
              <w:right w:type="dxa" w:w="120"/>
            </w:tcMar>
          </w:tcPr>
          <w:p>
            <w:r>
              <w:rPr>
                <w:rFonts w:ascii="Century Gothic" w:cs="Century Gothic" w:eastAsia="Century Gothic" w:hAnsi="Century Gothic"/>
                <w:color w:val="1A1F1D"/>
                <w:sz w:val="20"/>
                <w:szCs w:val="20"/>
              </w:rPr>
              <w:t xml:space="preserve">Pupils with errors or hesitation identified.</w:t>
            </w:r>
          </w:p>
        </w:tc>
      </w:tr>
      <w:tr>
        <w:trPr>
          <w:cantSplit/>
        </w:trPr>
        <w:tc>
          <w:tcPr>
            <w:tcW w:type="dxa" w:w="1200"/>
            <w:tcBorders>
              <w:top w:val="single" w:color="C9D6D0" w:sz="4"/>
              <w:left w:val="single" w:color="C9D6D0" w:sz="4"/>
              <w:bottom w:val="single" w:color="C9D6D0" w:sz="4"/>
              <w:right w:val="single" w:color="C9D6D0" w:sz="4"/>
            </w:tcBorders>
            <w:shd w:fill="DCEAE5" w:val="clear"/>
            <w:tcMar>
              <w:top w:type="dxa" w:w="80"/>
              <w:left w:type="dxa" w:w="120"/>
              <w:bottom w:type="dxa" w:w="80"/>
              <w:right w:type="dxa" w:w="80"/>
            </w:tcMar>
          </w:tcPr>
          <w:p>
            <w:r>
              <w:rPr>
                <w:rFonts w:ascii="Century Gothic" w:cs="Century Gothic" w:eastAsia="Century Gothic" w:hAnsi="Century Gothic"/>
                <w:b/>
                <w:bCs/>
                <w:color w:val="14322D"/>
                <w:sz w:val="20"/>
                <w:szCs w:val="20"/>
              </w:rPr>
              <w:t xml:space="preserve">MW11</w:t>
            </w:r>
          </w:p>
        </w:tc>
        <w:tc>
          <w:tcPr>
            <w:tcW w:type="dxa" w:w="7826"/>
            <w:tcBorders>
              <w:top w:val="single" w:color="C9D6D0" w:sz="4"/>
              <w:left w:val="single" w:color="C9D6D0" w:sz="4"/>
              <w:bottom w:val="single" w:color="C9D6D0" w:sz="4"/>
              <w:right w:val="single" w:color="C9D6D0" w:sz="4"/>
            </w:tcBorders>
            <w:shd w:fill="DCEAE5" w:val="clear"/>
            <w:tcMar>
              <w:top w:type="dxa" w:w="80"/>
              <w:left w:type="dxa" w:w="140"/>
              <w:bottom w:type="dxa" w:w="80"/>
              <w:right w:type="dxa" w:w="120"/>
            </w:tcMar>
          </w:tcPr>
          <w:p>
            <w:r>
              <w:rPr>
                <w:rFonts w:ascii="Century Gothic" w:cs="Century Gothic" w:eastAsia="Century Gothic" w:hAnsi="Century Gothic"/>
                <w:color w:val="1A1F1D"/>
                <w:sz w:val="20"/>
                <w:szCs w:val="20"/>
              </w:rPr>
              <w:t xml:space="preserve">Teaching adapted to whole-class response pattern.</w:t>
            </w:r>
          </w:p>
        </w:tc>
      </w:tr>
      <w:tr>
        <w:trPr>
          <w:cantSplit/>
        </w:trPr>
        <w:tc>
          <w:tcPr>
            <w:tcW w:type="dxa" w:w="1200"/>
            <w:tcBorders>
              <w:top w:val="single" w:color="C9D6D0" w:sz="4"/>
              <w:left w:val="single" w:color="C9D6D0" w:sz="4"/>
              <w:bottom w:val="single" w:color="C9D6D0" w:sz="4"/>
              <w:right w:val="single" w:color="C9D6D0" w:sz="4"/>
            </w:tcBorders>
            <w:shd w:fill="FFFFFF" w:val="clear"/>
            <w:tcMar>
              <w:top w:type="dxa" w:w="80"/>
              <w:left w:type="dxa" w:w="120"/>
              <w:bottom w:type="dxa" w:w="80"/>
              <w:right w:type="dxa" w:w="80"/>
            </w:tcMar>
          </w:tcPr>
          <w:p>
            <w:r>
              <w:rPr>
                <w:rFonts w:ascii="Century Gothic" w:cs="Century Gothic" w:eastAsia="Century Gothic" w:hAnsi="Century Gothic"/>
                <w:b/>
                <w:bCs/>
                <w:color w:val="14322D"/>
                <w:sz w:val="20"/>
                <w:szCs w:val="20"/>
              </w:rPr>
              <w:t xml:space="preserve">MW12</w:t>
            </w:r>
          </w:p>
        </w:tc>
        <w:tc>
          <w:tcPr>
            <w:tcW w:type="dxa" w:w="7826"/>
            <w:tcBorders>
              <w:top w:val="single" w:color="C9D6D0" w:sz="4"/>
              <w:left w:val="single" w:color="C9D6D0" w:sz="4"/>
              <w:bottom w:val="single" w:color="C9D6D0" w:sz="4"/>
              <w:right w:val="single" w:color="C9D6D0" w:sz="4"/>
            </w:tcBorders>
            <w:shd w:fill="FFFFFF" w:val="clear"/>
            <w:tcMar>
              <w:top w:type="dxa" w:w="80"/>
              <w:left w:type="dxa" w:w="140"/>
              <w:bottom w:type="dxa" w:w="80"/>
              <w:right w:type="dxa" w:w="120"/>
            </w:tcMar>
          </w:tcPr>
          <w:p>
            <w:r>
              <w:rPr>
                <w:rFonts w:ascii="Century Gothic" w:cs="Century Gothic" w:eastAsia="Century Gothic" w:hAnsi="Century Gothic"/>
                <w:color w:val="1A1F1D"/>
                <w:sz w:val="20"/>
                <w:szCs w:val="20"/>
              </w:rPr>
              <w:t xml:space="preserve">Decision to reteach or move on is named.</w:t>
            </w:r>
          </w:p>
        </w:tc>
      </w:tr>
    </w:tbl>
    <w:p>
      <w:pPr>
        <w:spacing w:after="60"/>
      </w:pPr>
      <w:r>
        <w:rPr>
          <w:rFonts w:ascii="Century Gothic" w:cs="Century Gothic" w:eastAsia="Century Gothic" w:hAnsi="Century Gothic"/>
          <w:color w:val="1A1F1D"/>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left w:val="single" w:color="3F9488" w:sz="24"/>
              <w:bottom w:val="none"/>
              <w:right w:val="none"/>
            </w:tcBorders>
            <w:shd w:fill="E8F1EE" w:val="clear"/>
            <w:tcMar>
              <w:top w:type="dxa" w:w="140"/>
              <w:left w:type="dxa" w:w="220"/>
              <w:bottom w:type="dxa" w:w="140"/>
              <w:right w:type="dxa" w:w="200"/>
            </w:tcMar>
          </w:tcPr>
          <w:p>
            <w:pPr>
              <w:spacing w:after="60"/>
            </w:pPr>
            <w:r>
              <w:rPr>
                <w:rFonts w:ascii="Century Gothic" w:cs="Century Gothic" w:eastAsia="Century Gothic" w:hAnsi="Century Gothic"/>
                <w:b/>
                <w:bCs/>
                <w:color w:val="3F9488"/>
                <w:sz w:val="22"/>
                <w:szCs w:val="22"/>
              </w:rPr>
              <w:t xml:space="preserve">Team task — plan the cycle</w:t>
            </w:r>
          </w:p>
          <w:p>
            <w:pPr>
              <w:spacing w:after="120" w:line="276"/>
            </w:pPr>
            <w:r>
              <w:rPr>
                <w:rFonts w:ascii="Century Gothic" w:cs="Century Gothic" w:eastAsia="Century Gothic" w:hAnsi="Century Gothic"/>
                <w:color w:val="1A1F1D"/>
              </w:rPr>
              <w:t xml:space="preserve">Take one upcoming lesson. Plan the Set instruction in full, decide where you will hold position to Settle, sketch the Sweep route around your room, and agree what would make you Stop the whole class.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bl>
          <w:p/>
        </w:tc>
      </w:tr>
    </w:tbl>
    <w:p>
      <w:pPr>
        <w:pStyle w:val="Heading1"/>
        <w:pageBreakBefore/>
        <w:spacing w:after="120" w:before="0"/>
      </w:pPr>
      <w:r>
        <w:rPr>
          <w:rFonts w:ascii="Century Gothic" w:cs="Century Gothic" w:eastAsia="Century Gothic" w:hAnsi="Century Gothic"/>
          <w:b/>
          <w:bCs/>
          <w:color w:val="14322D"/>
          <w:sz w:val="30"/>
          <w:szCs w:val="30"/>
        </w:rPr>
        <w:t xml:space="preserve">5 · Live marking as adaptive teaching</w:t>
      </w:r>
    </w:p>
    <w:p>
      <w:pPr>
        <w:spacing w:after="120" w:line="276"/>
      </w:pPr>
      <w:r>
        <w:rPr>
          <w:rFonts w:ascii="Century Gothic" w:cs="Century Gothic" w:eastAsia="Century Gothic" w:hAnsi="Century Gothic"/>
          <w:b/>
          <w:bCs/>
          <w:color w:val="1A1F1D"/>
        </w:rPr>
        <w:t xml:space="preserve">Live marking is one of the kindest ways to support SEND pupils and those who find the work hardest, in the moment. </w:t>
      </w:r>
      <w:r>
        <w:rPr>
          <w:rFonts w:ascii="Century Gothic" w:cs="Century Gothic" w:eastAsia="Century Gothic" w:hAnsi="Century Gothic"/>
          <w:color w:val="1A1F1D"/>
        </w:rPr>
        <w:t xml:space="preserve">While the class is working, pause beside the pupils who need you most and add, in green pen, a key word at the top of the page, a sentence starter such as ‘This suggests that…’, a short-term target, or an underline showing where to start. Done quietly at the desk, this rarely draws attention — it just helps a pupil get going.</w:t>
      </w:r>
    </w:p>
    <w:p>
      <w:pPr>
        <w:spacing w:after="60" w:before="160"/>
      </w:pPr>
      <w:r>
        <w:rPr>
          <w:rFonts w:ascii="Century Gothic" w:cs="Century Gothic" w:eastAsia="Century Gothic" w:hAnsi="Century Gothic"/>
          <w:b/>
          <w:bCs/>
          <w:color w:val="3F9488"/>
          <w:sz w:val="22"/>
          <w:szCs w:val="22"/>
        </w:rPr>
        <w:t xml:space="preserve">Live verbal feedback</w:t>
      </w:r>
    </w:p>
    <w:p>
      <w:pPr>
        <w:spacing w:after="120" w:line="276"/>
      </w:pPr>
      <w:r>
        <w:rPr>
          <w:rFonts w:ascii="Century Gothic" w:cs="Century Gothic" w:eastAsia="Century Gothic" w:hAnsi="Century Gothic"/>
          <w:color w:val="1A1F1D"/>
        </w:rPr>
        <w:t xml:space="preserve">A quiet word at the desk can do as much as a written note, and there is no need to write a record of it: ‘Re-read step two, then have another go’; ‘You haven’t used the success criterion yet.’ Pupils still respond in purple pen — that is how we see the feedback has been acted on.</w:t>
      </w:r>
    </w:p>
    <w:p>
      <w:pPr>
        <w:spacing w:after="60" w:before="160"/>
      </w:pPr>
      <w:r>
        <w:rPr>
          <w:rFonts w:ascii="Century Gothic" w:cs="Century Gothic" w:eastAsia="Century Gothic" w:hAnsi="Century Gothic"/>
          <w:b/>
          <w:bCs/>
          <w:color w:val="3F9488"/>
          <w:sz w:val="22"/>
          <w:szCs w:val="22"/>
        </w:rPr>
        <w:t xml:space="preserve">Noticing a shared misconception</w:t>
      </w:r>
    </w:p>
    <w:p>
      <w:pPr>
        <w:spacing w:after="120" w:line="276"/>
      </w:pPr>
      <w:r>
        <w:rPr>
          <w:rFonts w:ascii="Century Gothic" w:cs="Century Gothic" w:eastAsia="Century Gothic" w:hAnsi="Century Gothic"/>
          <w:color w:val="1A1F1D"/>
        </w:rPr>
        <w:t xml:space="preserve">If the same mistake keeps appearing, it is usually worth pausing the whole class rather than fixing it one by one: whole-class check, cold call to confirm, pair-share, re-model, then a mini-whiteboard re-check before sending pupils back to it.</w:t>
      </w:r>
    </w:p>
    <w:p>
      <w:pPr>
        <w:spacing w:after="40"/>
      </w:pPr>
      <w:r>
        <w:rPr>
          <w:rFonts w:ascii="Century Gothic" w:cs="Century Gothic" w:eastAsia="Century Gothic" w:hAnsi="Century Gothic"/>
          <w:color w:val="1A1F1D"/>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left w:val="single" w:color="3F9488" w:sz="24"/>
              <w:bottom w:val="none"/>
              <w:right w:val="none"/>
            </w:tcBorders>
            <w:shd w:fill="E8F1EE" w:val="clear"/>
            <w:tcMar>
              <w:top w:type="dxa" w:w="140"/>
              <w:left w:type="dxa" w:w="220"/>
              <w:bottom w:type="dxa" w:w="140"/>
              <w:right w:type="dxa" w:w="200"/>
            </w:tcMar>
          </w:tcPr>
          <w:p>
            <w:pPr>
              <w:spacing w:after="60"/>
            </w:pPr>
            <w:r>
              <w:rPr>
                <w:rFonts w:ascii="Century Gothic" w:cs="Century Gothic" w:eastAsia="Century Gothic" w:hAnsi="Century Gothic"/>
                <w:b/>
                <w:bCs/>
                <w:color w:val="3F9488"/>
                <w:sz w:val="22"/>
                <w:szCs w:val="22"/>
              </w:rPr>
              <w:t xml:space="preserve">Discuss</w:t>
            </w:r>
          </w:p>
          <w:p>
            <w:pPr>
              <w:spacing w:after="120" w:line="276"/>
            </w:pPr>
            <w:r>
              <w:rPr>
                <w:rFonts w:ascii="Century Gothic" w:cs="Century Gothic" w:eastAsia="Century Gothic" w:hAnsi="Century Gothic"/>
                <w:color w:val="1A1F1D"/>
              </w:rPr>
              <w:t xml:space="preserve">Whose desk would you reach first on your next circuit, and what would you add in green pen to get them moving?</w:t>
            </w:r>
          </w:p>
        </w:tc>
      </w:tr>
    </w:tbl>
    <w:p>
      <w:pPr>
        <w:pStyle w:val="Heading1"/>
        <w:pageBreakBefore/>
        <w:spacing w:after="120" w:before="0"/>
      </w:pPr>
      <w:r>
        <w:rPr>
          <w:rFonts w:ascii="Century Gothic" w:cs="Century Gothic" w:eastAsia="Century Gothic" w:hAnsi="Century Gothic"/>
          <w:b/>
          <w:bCs/>
          <w:color w:val="14322D"/>
          <w:sz w:val="30"/>
          <w:szCs w:val="30"/>
        </w:rPr>
        <w:t xml:space="preserve">6 · Whole-class feedback and quality of work</w:t>
      </w:r>
    </w:p>
    <w:p>
      <w:pPr>
        <w:pStyle w:val="Heading2"/>
        <w:spacing w:after="80" w:before="240"/>
      </w:pPr>
      <w:r>
        <w:rPr>
          <w:rFonts w:ascii="Century Gothic" w:cs="Century Gothic" w:eastAsia="Century Gothic" w:hAnsi="Century Gothic"/>
          <w:b/>
          <w:bCs/>
          <w:color w:val="14322D"/>
          <w:sz w:val="24"/>
          <w:szCs w:val="24"/>
        </w:rPr>
        <w:t xml:space="preserve">Whole-class feedback the next day</w:t>
      </w:r>
    </w:p>
    <w:p>
      <w:pPr>
        <w:spacing w:after="120" w:line="276"/>
      </w:pPr>
      <w:r>
        <w:rPr>
          <w:rFonts w:ascii="Century Gothic" w:cs="Century Gothic" w:eastAsia="Century Gothic" w:hAnsi="Century Gothic"/>
          <w:color w:val="1A1F1D"/>
        </w:rPr>
        <w:t xml:space="preserve">When marking in the lesson is not possible, read the set looking for patterns rather than commenting on every book: three or four shared misconceptions, a couple of strong pieces, recurring SPaG. Jot them onto a single sheet, open the next lesson with that sheet on the visualiser, re-teach the misconceptions, share some of the stronger work, and give pupils time early in the lesson to edit and improve.</w:t>
      </w:r>
    </w:p>
    <w:p>
      <w:pPr>
        <w:pStyle w:val="Heading2"/>
        <w:spacing w:after="80" w:before="240"/>
      </w:pPr>
      <w:r>
        <w:rPr>
          <w:rFonts w:ascii="Century Gothic" w:cs="Century Gothic" w:eastAsia="Century Gothic" w:hAnsi="Century Gothic"/>
          <w:b/>
          <w:bCs/>
          <w:color w:val="14322D"/>
          <w:sz w:val="24"/>
          <w:szCs w:val="24"/>
        </w:rPr>
        <w:t xml:space="preserve">Quality of work: what we look for</w:t>
      </w:r>
    </w:p>
    <w:p>
      <w:pPr>
        <w:spacing w:after="120" w:line="276"/>
      </w:pPr>
      <w:r>
        <w:rPr>
          <w:rFonts w:ascii="Century Gothic" w:cs="Century Gothic" w:eastAsia="Century Gothic" w:hAnsi="Century Gothic"/>
          <w:color w:val="1A1F1D"/>
        </w:rPr>
        <w:t xml:space="preserve">A pupil’s book is a record of a whole year’s thinking, and what we choose to accept in it says a lot about what we expect. The quality-of-work checklist is the shared standard when colleagues look through books together.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rPr>
          <w:cantSplit/>
          <w:tblHeader/>
        </w:trPr>
        <w:tc>
          <w:tcPr>
            <w:tcW w:type="dxa" w:w="9026"/>
            <w:gridSpan w:val="2"/>
            <w:tcBorders>
              <w:top w:val="single" w:color="C9D6D0" w:sz="4"/>
              <w:left w:val="single" w:color="C9D6D0" w:sz="4"/>
              <w:bottom w:val="single" w:color="C9D6D0" w:sz="4"/>
              <w:right w:val="single" w:color="C9D6D0" w:sz="4"/>
            </w:tcBorders>
            <w:shd w:fill="14322D" w:val="clear"/>
            <w:tcMar>
              <w:top w:type="dxa" w:w="90"/>
              <w:left w:type="dxa" w:w="140"/>
              <w:bottom w:type="dxa" w:w="90"/>
              <w:right w:type="dxa" w:w="120"/>
            </w:tcMar>
          </w:tcPr>
          <w:p>
            <w:r>
              <w:rPr>
                <w:rFonts w:ascii="Century Gothic" w:cs="Century Gothic" w:eastAsia="Century Gothic" w:hAnsi="Century Gothic"/>
                <w:b/>
                <w:bCs/>
                <w:color w:val="FFFFFF"/>
                <w:sz w:val="22"/>
                <w:szCs w:val="22"/>
              </w:rPr>
              <w:t xml:space="preserve">Quality of work · QOW1–8</w:t>
            </w:r>
          </w:p>
        </w:tc>
      </w:tr>
      <w:tr>
        <w:trPr>
          <w:cantSplit/>
        </w:trPr>
        <w:tc>
          <w:tcPr>
            <w:tcW w:type="dxa" w:w="1200"/>
            <w:tcBorders>
              <w:top w:val="single" w:color="C9D6D0" w:sz="4"/>
              <w:left w:val="single" w:color="C9D6D0" w:sz="4"/>
              <w:bottom w:val="single" w:color="C9D6D0" w:sz="4"/>
              <w:right w:val="single" w:color="C9D6D0" w:sz="4"/>
            </w:tcBorders>
            <w:shd w:fill="DCEAE5" w:val="clear"/>
            <w:tcMar>
              <w:top w:type="dxa" w:w="80"/>
              <w:left w:type="dxa" w:w="120"/>
              <w:bottom w:type="dxa" w:w="80"/>
              <w:right w:type="dxa" w:w="80"/>
            </w:tcMar>
          </w:tcPr>
          <w:p>
            <w:r>
              <w:rPr>
                <w:rFonts w:ascii="Century Gothic" w:cs="Century Gothic" w:eastAsia="Century Gothic" w:hAnsi="Century Gothic"/>
                <w:b/>
                <w:bCs/>
                <w:color w:val="14322D"/>
                <w:sz w:val="20"/>
                <w:szCs w:val="20"/>
              </w:rPr>
              <w:t xml:space="preserve">QOW1</w:t>
            </w:r>
          </w:p>
        </w:tc>
        <w:tc>
          <w:tcPr>
            <w:tcW w:type="dxa" w:w="7826"/>
            <w:tcBorders>
              <w:top w:val="single" w:color="C9D6D0" w:sz="4"/>
              <w:left w:val="single" w:color="C9D6D0" w:sz="4"/>
              <w:bottom w:val="single" w:color="C9D6D0" w:sz="4"/>
              <w:right w:val="single" w:color="C9D6D0" w:sz="4"/>
            </w:tcBorders>
            <w:shd w:fill="DCEAE5" w:val="clear"/>
            <w:tcMar>
              <w:top w:type="dxa" w:w="80"/>
              <w:left w:type="dxa" w:w="140"/>
              <w:bottom w:type="dxa" w:w="80"/>
              <w:right w:type="dxa" w:w="120"/>
            </w:tcMar>
          </w:tcPr>
          <w:p>
            <w:r>
              <w:rPr>
                <w:rFonts w:ascii="Century Gothic" w:cs="Century Gothic" w:eastAsia="Century Gothic" w:hAnsi="Century Gothic"/>
                <w:color w:val="1A1F1D"/>
                <w:sz w:val="20"/>
                <w:szCs w:val="20"/>
              </w:rPr>
              <w:t xml:space="preserve">Across the sample, handwriting is clear and legible; work is neat; the pupils seem to care.</w:t>
            </w:r>
          </w:p>
        </w:tc>
      </w:tr>
      <w:tr>
        <w:trPr>
          <w:cantSplit/>
        </w:trPr>
        <w:tc>
          <w:tcPr>
            <w:tcW w:type="dxa" w:w="1200"/>
            <w:tcBorders>
              <w:top w:val="single" w:color="C9D6D0" w:sz="4"/>
              <w:left w:val="single" w:color="C9D6D0" w:sz="4"/>
              <w:bottom w:val="single" w:color="C9D6D0" w:sz="4"/>
              <w:right w:val="single" w:color="C9D6D0" w:sz="4"/>
            </w:tcBorders>
            <w:shd w:fill="FFFFFF" w:val="clear"/>
            <w:tcMar>
              <w:top w:type="dxa" w:w="80"/>
              <w:left w:type="dxa" w:w="120"/>
              <w:bottom w:type="dxa" w:w="80"/>
              <w:right w:type="dxa" w:w="80"/>
            </w:tcMar>
          </w:tcPr>
          <w:p>
            <w:r>
              <w:rPr>
                <w:rFonts w:ascii="Century Gothic" w:cs="Century Gothic" w:eastAsia="Century Gothic" w:hAnsi="Century Gothic"/>
                <w:b/>
                <w:bCs/>
                <w:color w:val="14322D"/>
                <w:sz w:val="20"/>
                <w:szCs w:val="20"/>
              </w:rPr>
              <w:t xml:space="preserve">QOW2</w:t>
            </w:r>
          </w:p>
        </w:tc>
        <w:tc>
          <w:tcPr>
            <w:tcW w:type="dxa" w:w="7826"/>
            <w:tcBorders>
              <w:top w:val="single" w:color="C9D6D0" w:sz="4"/>
              <w:left w:val="single" w:color="C9D6D0" w:sz="4"/>
              <w:bottom w:val="single" w:color="C9D6D0" w:sz="4"/>
              <w:right w:val="single" w:color="C9D6D0" w:sz="4"/>
            </w:tcBorders>
            <w:shd w:fill="FFFFFF" w:val="clear"/>
            <w:tcMar>
              <w:top w:type="dxa" w:w="80"/>
              <w:left w:type="dxa" w:w="140"/>
              <w:bottom w:type="dxa" w:w="80"/>
              <w:right w:type="dxa" w:w="120"/>
            </w:tcMar>
          </w:tcPr>
          <w:p>
            <w:r>
              <w:rPr>
                <w:rFonts w:ascii="Century Gothic" w:cs="Century Gothic" w:eastAsia="Century Gothic" w:hAnsi="Century Gothic"/>
                <w:color w:val="1A1F1D"/>
                <w:sz w:val="20"/>
                <w:szCs w:val="20"/>
              </w:rPr>
              <w:t xml:space="preserve">Date and title are written and underlined without exception.</w:t>
            </w:r>
          </w:p>
        </w:tc>
      </w:tr>
      <w:tr>
        <w:trPr>
          <w:cantSplit/>
        </w:trPr>
        <w:tc>
          <w:tcPr>
            <w:tcW w:type="dxa" w:w="1200"/>
            <w:tcBorders>
              <w:top w:val="single" w:color="C9D6D0" w:sz="4"/>
              <w:left w:val="single" w:color="C9D6D0" w:sz="4"/>
              <w:bottom w:val="single" w:color="C9D6D0" w:sz="4"/>
              <w:right w:val="single" w:color="C9D6D0" w:sz="4"/>
            </w:tcBorders>
            <w:shd w:fill="DCEAE5" w:val="clear"/>
            <w:tcMar>
              <w:top w:type="dxa" w:w="80"/>
              <w:left w:type="dxa" w:w="120"/>
              <w:bottom w:type="dxa" w:w="80"/>
              <w:right w:type="dxa" w:w="80"/>
            </w:tcMar>
          </w:tcPr>
          <w:p>
            <w:r>
              <w:rPr>
                <w:rFonts w:ascii="Century Gothic" w:cs="Century Gothic" w:eastAsia="Century Gothic" w:hAnsi="Century Gothic"/>
                <w:b/>
                <w:bCs/>
                <w:color w:val="14322D"/>
                <w:sz w:val="20"/>
                <w:szCs w:val="20"/>
              </w:rPr>
              <w:t xml:space="preserve">QOW3</w:t>
            </w:r>
          </w:p>
        </w:tc>
        <w:tc>
          <w:tcPr>
            <w:tcW w:type="dxa" w:w="7826"/>
            <w:tcBorders>
              <w:top w:val="single" w:color="C9D6D0" w:sz="4"/>
              <w:left w:val="single" w:color="C9D6D0" w:sz="4"/>
              <w:bottom w:val="single" w:color="C9D6D0" w:sz="4"/>
              <w:right w:val="single" w:color="C9D6D0" w:sz="4"/>
            </w:tcBorders>
            <w:shd w:fill="DCEAE5" w:val="clear"/>
            <w:tcMar>
              <w:top w:type="dxa" w:w="80"/>
              <w:left w:type="dxa" w:w="140"/>
              <w:bottom w:type="dxa" w:w="80"/>
              <w:right w:type="dxa" w:w="120"/>
            </w:tcMar>
          </w:tcPr>
          <w:p>
            <w:r>
              <w:rPr>
                <w:rFonts w:ascii="Century Gothic" w:cs="Century Gothic" w:eastAsia="Century Gothic" w:hAnsi="Century Gothic"/>
                <w:color w:val="1A1F1D"/>
                <w:sz w:val="20"/>
                <w:szCs w:val="20"/>
              </w:rPr>
              <w:t xml:space="preserve">A clear narrative of increasing complexity, depth, and challenge as time progresses.</w:t>
            </w:r>
          </w:p>
        </w:tc>
      </w:tr>
      <w:tr>
        <w:trPr>
          <w:cantSplit/>
        </w:trPr>
        <w:tc>
          <w:tcPr>
            <w:tcW w:type="dxa" w:w="1200"/>
            <w:tcBorders>
              <w:top w:val="single" w:color="C9D6D0" w:sz="4"/>
              <w:left w:val="single" w:color="C9D6D0" w:sz="4"/>
              <w:bottom w:val="single" w:color="C9D6D0" w:sz="4"/>
              <w:right w:val="single" w:color="C9D6D0" w:sz="4"/>
            </w:tcBorders>
            <w:shd w:fill="FFFFFF" w:val="clear"/>
            <w:tcMar>
              <w:top w:type="dxa" w:w="80"/>
              <w:left w:type="dxa" w:w="120"/>
              <w:bottom w:type="dxa" w:w="80"/>
              <w:right w:type="dxa" w:w="80"/>
            </w:tcMar>
          </w:tcPr>
          <w:p>
            <w:r>
              <w:rPr>
                <w:rFonts w:ascii="Century Gothic" w:cs="Century Gothic" w:eastAsia="Century Gothic" w:hAnsi="Century Gothic"/>
                <w:b/>
                <w:bCs/>
                <w:color w:val="14322D"/>
                <w:sz w:val="20"/>
                <w:szCs w:val="20"/>
              </w:rPr>
              <w:t xml:space="preserve">QOW4</w:t>
            </w:r>
          </w:p>
        </w:tc>
        <w:tc>
          <w:tcPr>
            <w:tcW w:type="dxa" w:w="7826"/>
            <w:tcBorders>
              <w:top w:val="single" w:color="C9D6D0" w:sz="4"/>
              <w:left w:val="single" w:color="C9D6D0" w:sz="4"/>
              <w:bottom w:val="single" w:color="C9D6D0" w:sz="4"/>
              <w:right w:val="single" w:color="C9D6D0" w:sz="4"/>
            </w:tcBorders>
            <w:shd w:fill="FFFFFF" w:val="clear"/>
            <w:tcMar>
              <w:top w:type="dxa" w:w="80"/>
              <w:left w:type="dxa" w:w="140"/>
              <w:bottom w:type="dxa" w:w="80"/>
              <w:right w:type="dxa" w:w="120"/>
            </w:tcMar>
          </w:tcPr>
          <w:p>
            <w:r>
              <w:rPr>
                <w:rFonts w:ascii="Century Gothic" w:cs="Century Gothic" w:eastAsia="Century Gothic" w:hAnsi="Century Gothic"/>
                <w:color w:val="1A1F1D"/>
                <w:sz w:val="20"/>
                <w:szCs w:val="20"/>
              </w:rPr>
              <w:t xml:space="preserve">Departmental marking guidelines followed: regularity, style, green pen, purple pen, pupil responses evident.</w:t>
            </w:r>
          </w:p>
        </w:tc>
      </w:tr>
      <w:tr>
        <w:trPr>
          <w:cantSplit/>
        </w:trPr>
        <w:tc>
          <w:tcPr>
            <w:tcW w:type="dxa" w:w="1200"/>
            <w:tcBorders>
              <w:top w:val="single" w:color="C9D6D0" w:sz="4"/>
              <w:left w:val="single" w:color="C9D6D0" w:sz="4"/>
              <w:bottom w:val="single" w:color="C9D6D0" w:sz="4"/>
              <w:right w:val="single" w:color="C9D6D0" w:sz="4"/>
            </w:tcBorders>
            <w:shd w:fill="DCEAE5" w:val="clear"/>
            <w:tcMar>
              <w:top w:type="dxa" w:w="80"/>
              <w:left w:type="dxa" w:w="120"/>
              <w:bottom w:type="dxa" w:w="80"/>
              <w:right w:type="dxa" w:w="80"/>
            </w:tcMar>
          </w:tcPr>
          <w:p>
            <w:r>
              <w:rPr>
                <w:rFonts w:ascii="Century Gothic" w:cs="Century Gothic" w:eastAsia="Century Gothic" w:hAnsi="Century Gothic"/>
                <w:b/>
                <w:bCs/>
                <w:color w:val="14322D"/>
                <w:sz w:val="20"/>
                <w:szCs w:val="20"/>
              </w:rPr>
              <w:t xml:space="preserve">QOW5</w:t>
            </w:r>
          </w:p>
        </w:tc>
        <w:tc>
          <w:tcPr>
            <w:tcW w:type="dxa" w:w="7826"/>
            <w:tcBorders>
              <w:top w:val="single" w:color="C9D6D0" w:sz="4"/>
              <w:left w:val="single" w:color="C9D6D0" w:sz="4"/>
              <w:bottom w:val="single" w:color="C9D6D0" w:sz="4"/>
              <w:right w:val="single" w:color="C9D6D0" w:sz="4"/>
            </w:tcBorders>
            <w:shd w:fill="DCEAE5" w:val="clear"/>
            <w:tcMar>
              <w:top w:type="dxa" w:w="80"/>
              <w:left w:type="dxa" w:w="140"/>
              <w:bottom w:type="dxa" w:w="80"/>
              <w:right w:type="dxa" w:w="120"/>
            </w:tcMar>
          </w:tcPr>
          <w:p>
            <w:r>
              <w:rPr>
                <w:rFonts w:ascii="Century Gothic" w:cs="Century Gothic" w:eastAsia="Century Gothic" w:hAnsi="Century Gothic"/>
                <w:color w:val="1A1F1D"/>
                <w:sz w:val="20"/>
                <w:szCs w:val="20"/>
              </w:rPr>
              <w:t xml:space="preserve">Volume of work consistent across the sample; the same level expected regardless of SEND or PP status.</w:t>
            </w:r>
          </w:p>
        </w:tc>
      </w:tr>
      <w:tr>
        <w:trPr>
          <w:cantSplit/>
        </w:trPr>
        <w:tc>
          <w:tcPr>
            <w:tcW w:type="dxa" w:w="1200"/>
            <w:tcBorders>
              <w:top w:val="single" w:color="C9D6D0" w:sz="4"/>
              <w:left w:val="single" w:color="C9D6D0" w:sz="4"/>
              <w:bottom w:val="single" w:color="C9D6D0" w:sz="4"/>
              <w:right w:val="single" w:color="C9D6D0" w:sz="4"/>
            </w:tcBorders>
            <w:shd w:fill="FFFFFF" w:val="clear"/>
            <w:tcMar>
              <w:top w:type="dxa" w:w="80"/>
              <w:left w:type="dxa" w:w="120"/>
              <w:bottom w:type="dxa" w:w="80"/>
              <w:right w:type="dxa" w:w="80"/>
            </w:tcMar>
          </w:tcPr>
          <w:p>
            <w:r>
              <w:rPr>
                <w:rFonts w:ascii="Century Gothic" w:cs="Century Gothic" w:eastAsia="Century Gothic" w:hAnsi="Century Gothic"/>
                <w:b/>
                <w:bCs/>
                <w:color w:val="14322D"/>
                <w:sz w:val="20"/>
                <w:szCs w:val="20"/>
              </w:rPr>
              <w:t xml:space="preserve">QOW6</w:t>
            </w:r>
          </w:p>
        </w:tc>
        <w:tc>
          <w:tcPr>
            <w:tcW w:type="dxa" w:w="7826"/>
            <w:tcBorders>
              <w:top w:val="single" w:color="C9D6D0" w:sz="4"/>
              <w:left w:val="single" w:color="C9D6D0" w:sz="4"/>
              <w:bottom w:val="single" w:color="C9D6D0" w:sz="4"/>
              <w:right w:val="single" w:color="C9D6D0" w:sz="4"/>
            </w:tcBorders>
            <w:shd w:fill="FFFFFF" w:val="clear"/>
            <w:tcMar>
              <w:top w:type="dxa" w:w="80"/>
              <w:left w:type="dxa" w:w="140"/>
              <w:bottom w:type="dxa" w:w="80"/>
              <w:right w:type="dxa" w:w="120"/>
            </w:tcMar>
          </w:tcPr>
          <w:p>
            <w:r>
              <w:rPr>
                <w:rFonts w:ascii="Century Gothic" w:cs="Century Gothic" w:eastAsia="Century Gothic" w:hAnsi="Century Gothic"/>
                <w:color w:val="1A1F1D"/>
                <w:sz w:val="20"/>
                <w:szCs w:val="20"/>
              </w:rPr>
              <w:t xml:space="preserve">Books look ordered and well cared for: no doodling or graffiti, no pages falling out or ripped covers.</w:t>
            </w:r>
          </w:p>
        </w:tc>
      </w:tr>
      <w:tr>
        <w:trPr>
          <w:cantSplit/>
        </w:trPr>
        <w:tc>
          <w:tcPr>
            <w:tcW w:type="dxa" w:w="1200"/>
            <w:tcBorders>
              <w:top w:val="single" w:color="C9D6D0" w:sz="4"/>
              <w:left w:val="single" w:color="C9D6D0" w:sz="4"/>
              <w:bottom w:val="single" w:color="C9D6D0" w:sz="4"/>
              <w:right w:val="single" w:color="C9D6D0" w:sz="4"/>
            </w:tcBorders>
            <w:shd w:fill="DCEAE5" w:val="clear"/>
            <w:tcMar>
              <w:top w:type="dxa" w:w="80"/>
              <w:left w:type="dxa" w:w="120"/>
              <w:bottom w:type="dxa" w:w="80"/>
              <w:right w:type="dxa" w:w="80"/>
            </w:tcMar>
          </w:tcPr>
          <w:p>
            <w:r>
              <w:rPr>
                <w:rFonts w:ascii="Century Gothic" w:cs="Century Gothic" w:eastAsia="Century Gothic" w:hAnsi="Century Gothic"/>
                <w:b/>
                <w:bCs/>
                <w:color w:val="14322D"/>
                <w:sz w:val="20"/>
                <w:szCs w:val="20"/>
              </w:rPr>
              <w:t xml:space="preserve">QOW7</w:t>
            </w:r>
          </w:p>
        </w:tc>
        <w:tc>
          <w:tcPr>
            <w:tcW w:type="dxa" w:w="7826"/>
            <w:tcBorders>
              <w:top w:val="single" w:color="C9D6D0" w:sz="4"/>
              <w:left w:val="single" w:color="C9D6D0" w:sz="4"/>
              <w:bottom w:val="single" w:color="C9D6D0" w:sz="4"/>
              <w:right w:val="single" w:color="C9D6D0" w:sz="4"/>
            </w:tcBorders>
            <w:shd w:fill="DCEAE5" w:val="clear"/>
            <w:tcMar>
              <w:top w:type="dxa" w:w="80"/>
              <w:left w:type="dxa" w:w="140"/>
              <w:bottom w:type="dxa" w:w="80"/>
              <w:right w:type="dxa" w:w="120"/>
            </w:tcMar>
          </w:tcPr>
          <w:p>
            <w:r>
              <w:rPr>
                <w:rFonts w:ascii="Century Gothic" w:cs="Century Gothic" w:eastAsia="Century Gothic" w:hAnsi="Century Gothic"/>
                <w:color w:val="1A1F1D"/>
                <w:sz w:val="20"/>
                <w:szCs w:val="20"/>
              </w:rPr>
              <w:t xml:space="preserve">All work completed to a high standard; no unexplained gaps, empty pages, or semi-completed tasks.</w:t>
            </w:r>
          </w:p>
        </w:tc>
      </w:tr>
      <w:tr>
        <w:trPr>
          <w:cantSplit/>
        </w:trPr>
        <w:tc>
          <w:tcPr>
            <w:tcW w:type="dxa" w:w="1200"/>
            <w:tcBorders>
              <w:top w:val="single" w:color="C9D6D0" w:sz="4"/>
              <w:left w:val="single" w:color="C9D6D0" w:sz="4"/>
              <w:bottom w:val="single" w:color="C9D6D0" w:sz="4"/>
              <w:right w:val="single" w:color="C9D6D0" w:sz="4"/>
            </w:tcBorders>
            <w:shd w:fill="FFFFFF" w:val="clear"/>
            <w:tcMar>
              <w:top w:type="dxa" w:w="80"/>
              <w:left w:type="dxa" w:w="120"/>
              <w:bottom w:type="dxa" w:w="80"/>
              <w:right w:type="dxa" w:w="80"/>
            </w:tcMar>
          </w:tcPr>
          <w:p>
            <w:r>
              <w:rPr>
                <w:rFonts w:ascii="Century Gothic" w:cs="Century Gothic" w:eastAsia="Century Gothic" w:hAnsi="Century Gothic"/>
                <w:b/>
                <w:bCs/>
                <w:color w:val="14322D"/>
                <w:sz w:val="20"/>
                <w:szCs w:val="20"/>
              </w:rPr>
              <w:t xml:space="preserve">QOW8</w:t>
            </w:r>
          </w:p>
        </w:tc>
        <w:tc>
          <w:tcPr>
            <w:tcW w:type="dxa" w:w="7826"/>
            <w:tcBorders>
              <w:top w:val="single" w:color="C9D6D0" w:sz="4"/>
              <w:left w:val="single" w:color="C9D6D0" w:sz="4"/>
              <w:bottom w:val="single" w:color="C9D6D0" w:sz="4"/>
              <w:right w:val="single" w:color="C9D6D0" w:sz="4"/>
            </w:tcBorders>
            <w:shd w:fill="FFFFFF" w:val="clear"/>
            <w:tcMar>
              <w:top w:type="dxa" w:w="80"/>
              <w:left w:type="dxa" w:w="140"/>
              <w:bottom w:type="dxa" w:w="80"/>
              <w:right w:type="dxa" w:w="120"/>
            </w:tcMar>
          </w:tcPr>
          <w:p>
            <w:r>
              <w:rPr>
                <w:rFonts w:ascii="Century Gothic" w:cs="Century Gothic" w:eastAsia="Century Gothic" w:hAnsi="Century Gothic"/>
                <w:color w:val="1A1F1D"/>
                <w:sz w:val="20"/>
                <w:szCs w:val="20"/>
              </w:rPr>
              <w:t xml:space="preserve">Clear evidence that significant independent work takes place most lessons.</w:t>
            </w:r>
          </w:p>
        </w:tc>
      </w:tr>
    </w:tbl>
    <w:p>
      <w:pPr>
        <w:spacing w:after="60"/>
      </w:pPr>
      <w:r>
        <w:rPr>
          <w:rFonts w:ascii="Century Gothic" w:cs="Century Gothic" w:eastAsia="Century Gothic" w:hAnsi="Century Gothic"/>
          <w:color w:val="1A1F1D"/>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left w:val="single" w:color="3F9488" w:sz="24"/>
              <w:bottom w:val="none"/>
              <w:right w:val="none"/>
            </w:tcBorders>
            <w:shd w:fill="E8F1EE" w:val="clear"/>
            <w:tcMar>
              <w:top w:type="dxa" w:w="140"/>
              <w:left w:type="dxa" w:w="220"/>
              <w:bottom w:type="dxa" w:w="140"/>
              <w:right w:type="dxa" w:w="200"/>
            </w:tcMar>
          </w:tcPr>
          <w:p>
            <w:pPr>
              <w:spacing w:after="60"/>
            </w:pPr>
            <w:r>
              <w:rPr>
                <w:rFonts w:ascii="Century Gothic" w:cs="Century Gothic" w:eastAsia="Century Gothic" w:hAnsi="Century Gothic"/>
                <w:b/>
                <w:bCs/>
                <w:color w:val="3F9488"/>
                <w:sz w:val="22"/>
                <w:szCs w:val="22"/>
              </w:rPr>
              <w:t xml:space="preserve">Team task — look at books together</w:t>
            </w:r>
          </w:p>
          <w:p>
            <w:pPr>
              <w:spacing w:after="120" w:line="276"/>
            </w:pPr>
            <w:r>
              <w:rPr>
                <w:rFonts w:ascii="Century Gothic" w:cs="Century Gothic" w:eastAsia="Century Gothic" w:hAnsi="Century Gothic"/>
                <w:color w:val="1A1F1D"/>
              </w:rPr>
              <w:t xml:space="preserve">Bring a sample of books to your next team meeting. Read them for patterns against QOW1–8, agree the two things you would most want to see change, and plan a whole-class feedback sheet for one shared misconception.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bl>
          <w:p/>
        </w:tc>
      </w:tr>
    </w:tbl>
    <w:p>
      <w:pPr>
        <w:pStyle w:val="Heading1"/>
        <w:pageBreakBefore/>
        <w:spacing w:after="120" w:before="0"/>
      </w:pPr>
      <w:r>
        <w:rPr>
          <w:rFonts w:ascii="Century Gothic" w:cs="Century Gothic" w:eastAsia="Century Gothic" w:hAnsi="Century Gothic"/>
          <w:b/>
          <w:bCs/>
          <w:color w:val="14322D"/>
          <w:sz w:val="30"/>
          <w:szCs w:val="30"/>
        </w:rPr>
        <w:t xml:space="preserve">Continue online, and next steps</w:t>
      </w:r>
    </w:p>
    <w:p>
      <w:pPr>
        <w:spacing w:after="120" w:line="276"/>
      </w:pPr>
      <w:r>
        <w:rPr>
          <w:rFonts w:ascii="Century Gothic" w:cs="Century Gothic" w:eastAsia="Century Gothic" w:hAnsi="Century Gothic"/>
          <w:color w:val="1A1F1D"/>
        </w:rPr>
        <w:t xml:space="preserve">This booklet and the session that accompanies it are the live, facilitated layer. The self‑guided pages online let you revisit the method at your own pace, with the same checklists and worked detail.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left w:val="single" w:color="3F9488" w:sz="24"/>
              <w:bottom w:val="none"/>
              <w:right w:val="none"/>
            </w:tcBorders>
            <w:shd w:fill="E8F1EE" w:val="clear"/>
            <w:tcMar>
              <w:top w:type="dxa" w:w="140"/>
              <w:left w:type="dxa" w:w="220"/>
              <w:bottom w:type="dxa" w:w="140"/>
              <w:right w:type="dxa" w:w="200"/>
            </w:tcMar>
          </w:tcPr>
          <w:p>
            <w:pPr>
              <w:spacing w:after="60"/>
            </w:pPr>
            <w:r>
              <w:rPr>
                <w:rFonts w:ascii="Century Gothic" w:cs="Century Gothic" w:eastAsia="Century Gothic" w:hAnsi="Century Gothic"/>
                <w:b/>
                <w:bCs/>
                <w:color w:val="3F9488"/>
                <w:sz w:val="22"/>
                <w:szCs w:val="22"/>
              </w:rPr>
              <w:t xml:space="preserve">Where this goes next</w:t>
            </w:r>
          </w:p>
          <w:p>
            <w:pPr>
              <w:pStyle w:val="ListParagraph"/>
              <w:numPr>
                <w:ilvl w:val="0"/>
                <w:numId w:val="2"/>
              </w:numPr>
              <w:spacing w:after="60" w:line="264"/>
            </w:pPr>
            <w:r>
              <w:rPr>
                <w:rFonts w:ascii="Century Gothic" w:cs="Century Gothic" w:eastAsia="Century Gothic" w:hAnsi="Century Gothic"/>
                <w:b/>
                <w:bCs/>
                <w:color w:val="1A1F1D"/>
              </w:rPr>
              <w:t xml:space="preserve">Online — self‑guided. </w:t>
            </w:r>
            <w:r>
              <w:rPr>
                <w:rFonts w:ascii="Century Gothic" w:cs="Century Gothic" w:eastAsia="Century Gothic" w:hAnsi="Century Gothic"/>
                <w:color w:val="1A1F1D"/>
              </w:rPr>
              <w:t xml:space="preserve">The Checking for Understanding strand of the Teaching Practice site walks through circulation and live feedback again, in your own time.</w:t>
            </w:r>
          </w:p>
          <w:p>
            <w:pPr>
              <w:pStyle w:val="ListParagraph"/>
              <w:numPr>
                <w:ilvl w:val="0"/>
                <w:numId w:val="2"/>
              </w:numPr>
              <w:spacing w:after="60" w:line="264"/>
            </w:pPr>
            <w:r>
              <w:rPr>
                <w:rFonts w:ascii="Century Gothic" w:cs="Century Gothic" w:eastAsia="Century Gothic" w:hAnsi="Century Gothic"/>
                <w:b/>
                <w:bCs/>
                <w:color w:val="1A1F1D"/>
              </w:rPr>
              <w:t xml:space="preserve">The checklists. </w:t>
            </w:r>
            <w:r>
              <w:rPr>
                <w:rFonts w:ascii="Century Gothic" w:cs="Century Gothic" w:eastAsia="Century Gothic" w:hAnsi="Century Gothic"/>
                <w:color w:val="1A1F1D"/>
              </w:rPr>
              <w:t xml:space="preserve">CCS2–11, MW1–12 and QOW1–8 are the standard you and a coach can observe against, lesson to lesson.</w:t>
            </w:r>
          </w:p>
          <w:p>
            <w:pPr>
              <w:pStyle w:val="ListParagraph"/>
              <w:numPr>
                <w:ilvl w:val="0"/>
                <w:numId w:val="2"/>
              </w:numPr>
              <w:spacing w:after="60" w:line="264"/>
            </w:pPr>
            <w:r>
              <w:rPr>
                <w:rFonts w:ascii="Century Gothic" w:cs="Century Gothic" w:eastAsia="Century Gothic" w:hAnsi="Century Gothic"/>
                <w:b/>
                <w:bCs/>
                <w:color w:val="1A1F1D"/>
              </w:rPr>
              <w:t xml:space="preserve">In the room. </w:t>
            </w:r>
            <w:r>
              <w:rPr>
                <w:rFonts w:ascii="Century Gothic" w:cs="Century Gothic" w:eastAsia="Century Gothic" w:hAnsi="Century Gothic"/>
                <w:color w:val="1A1F1D"/>
              </w:rPr>
              <w:t xml:space="preserve">Bring footage of your own teaching to your next coaching meeting and name one concrete change to make.</w:t>
            </w:r>
          </w:p>
        </w:tc>
      </w:tr>
    </w:tbl>
    <w:p>
      <w:pPr>
        <w:spacing w:after="60"/>
      </w:pPr>
      <w:r>
        <w:rPr>
          <w:rFonts w:ascii="Century Gothic" w:cs="Century Gothic" w:eastAsia="Century Gothic" w:hAnsi="Century Gothic"/>
          <w:color w:val="1A1F1D"/>
        </w:rPr>
        <w:t xml:space="preserve"/>
      </w:r>
    </w:p>
    <w:p>
      <w:pPr>
        <w:spacing w:after="120" w:line="276"/>
      </w:pPr>
      <w:r>
        <w:rPr>
          <w:rFonts w:ascii="Century Gothic" w:cs="Century Gothic" w:eastAsia="Century Gothic" w:hAnsi="Century Gothic"/>
          <w:color w:val="1A1F1D"/>
        </w:rPr>
        <w:t xml:space="preserve">This is Pillar 4 of six. The companion pillars are Behaviour &amp; Climate, Questioning &amp; Classroom Dialogue, Instruction &amp; Modelling, Adaptive Teaching &amp; Inclusion, and Standards &amp; Curriculum.</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E2DD" w:sz="4" w:space="6"/>
      </w:pBdr>
      <w:tabs>
        <w:tab w:val="right" w:pos="9026"/>
      </w:tabs>
    </w:pPr>
    <w:r>
      <w:rPr>
        <w:rFonts w:ascii="Century Gothic" w:cs="Century Gothic" w:eastAsia="Century Gothic" w:hAnsi="Century Gothic"/>
        <w:color w:val="555F5A"/>
        <w:sz w:val="16"/>
        <w:szCs w:val="16"/>
      </w:rPr>
      <w:t xml:space="preserve">A Nishkam Schools professional development programme</w:t>
    </w:r>
    <w:r>
      <w:rPr>
        <w:rFonts w:ascii="Century Gothic" w:cs="Century Gothic" w:eastAsia="Century Gothic" w:hAnsi="Century Gothic"/>
        <w:color w:val="555F5A"/>
        <w:sz w:val="16"/>
        <w:szCs w:val="16"/>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E2DD" w:sz="4" w:space="6"/>
      </w:pBdr>
      <w:tabs>
        <w:tab w:val="right" w:pos="9026"/>
      </w:tabs>
    </w:pPr>
    <w:r>
      <w:rPr>
        <w:rFonts w:ascii="Century Gothic" w:cs="Century Gothic" w:eastAsia="Century Gothic" w:hAnsi="Century Gothic"/>
        <w:b/>
        <w:bCs/>
        <w:caps/>
        <w:color w:val="3F9488"/>
        <w:sz w:val="16"/>
        <w:szCs w:val="16"/>
      </w:rPr>
      <w:t xml:space="preserve">TEACHING EXCELLENCE PROGRAMME</w:t>
    </w:r>
    <w:r>
      <w:rPr>
        <w:rFonts w:ascii="Century Gothic" w:cs="Century Gothic" w:eastAsia="Century Gothic" w:hAnsi="Century Gothic"/>
        <w:color w:val="555F5A"/>
        <w:sz w:val="16"/>
        <w:szCs w:val="16"/>
      </w:rPr>
      <w:t xml:space="preserve">	Pillar 4 · Checking for Understanding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80"/>
      </w:pPr>
    </w:lvl>
  </w:abstractNum>
  <w:abstractNum w:abstractNumId="4" w15:restartNumberingAfterBreak="0">
    <w:multiLevelType w:val="hybridMultilevel"/>
    <w:lvl w:ilvl="0" w15:tentative="1">
      <w:start w:val="1"/>
      <w:numFmt w:val="decimal"/>
      <w:lvlText w:val="%1."/>
      <w:lvlJc w:val="left"/>
      <w:pPr>
        <w:ind w:left="460" w:hanging="280"/>
      </w:pPr>
    </w:lvl>
  </w:abstractNum>
  <w:abstractNum w:abstractNumId="5" w15:restartNumberingAfterBreak="0">
    <w:multiLevelType w:val="hybridMultilevel"/>
    <w:lvl w:ilvl="0" w15:tentative="1">
      <w:start w:val="1"/>
      <w:numFmt w:val="decimal"/>
      <w:lvlText w:val="%1."/>
      <w:lvlJc w:val="left"/>
      <w:pPr>
        <w:ind w:left="460" w:hanging="280"/>
      </w:pPr>
    </w:lvl>
  </w:abstractNum>
  <w:abstractNum w:abstractNumId="6" w15:restartNumberingAfterBreak="0">
    <w:multiLevelType w:val="hybridMultilevel"/>
    <w:lvl w:ilvl="0" w15:tentative="1">
      <w:start w:val="1"/>
      <w:numFmt w:val="decimal"/>
      <w:lvlText w:val="%1."/>
      <w:lvlJc w:val="left"/>
      <w:pPr>
        <w:ind w:left="460" w:hanging="280"/>
      </w:pPr>
    </w:lvl>
  </w:abstractNum>
  <w:abstractNum w:abstractNumId="7" w15:restartNumberingAfterBreak="0">
    <w:multiLevelType w:val="hybridMultilevel"/>
    <w:lvl w:ilvl="0" w15:tentative="1">
      <w:start w:val="1"/>
      <w:numFmt w:val="decimal"/>
      <w:lvlText w:val="%1."/>
      <w:lvlJc w:val="left"/>
      <w:pPr>
        <w:ind w:left="460" w:hanging="280"/>
      </w:pPr>
    </w:lvl>
  </w:abstractNum>
  <w:abstractNum w:abstractNumId="8" w15:restartNumberingAfterBreak="0">
    <w:multiLevelType w:val="hybridMultilevel"/>
    <w:lvl w:ilvl="0" w15:tentative="1">
      <w:start w:val="1"/>
      <w:numFmt w:val="decimal"/>
      <w:lvlText w:val="%1."/>
      <w:lvlJc w:val="left"/>
      <w:pPr>
        <w:ind w:left="4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Gothic" w:cs="Century Gothic" w:eastAsia="Century Gothic" w:hAnsi="Century Gothic"/>
        <w:color w:val="1A1F1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entury Gothic" w:cs="Century Gothic" w:eastAsia="Century Gothic" w:hAnsi="Century Gothic"/>
      <w:b/>
      <w:bCs/>
      <w:color w:val="14322D"/>
      <w:sz w:val="30"/>
      <w:szCs w:val="30"/>
    </w:rPr>
  </w:style>
  <w:style w:type="paragraph" w:styleId="Heading2">
    <w:name w:val="Heading 2"/>
    <w:basedOn w:val="Normal"/>
    <w:next w:val="Normal"/>
    <w:qFormat/>
    <w:pPr>
      <w:spacing w:after="80" w:before="240"/>
      <w:outlineLvl w:val="1"/>
    </w:pPr>
    <w:rPr>
      <w:rFonts w:ascii="Century Gothic" w:cs="Century Gothic" w:eastAsia="Century Gothic" w:hAnsi="Century Gothic"/>
      <w:b/>
      <w:bCs/>
      <w:color w:val="14322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481604a7041e2694108c7983bce2311457d679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2026-06-10T08:16:08.023Z</dcterms:created>
  <dcterms:modified xsi:type="dcterms:W3CDTF">2026-06-10T08:16:08.023Z</dcterms:modified>
</cp:coreProperties>
</file>

<file path=docProps/custom.xml><?xml version="1.0" encoding="utf-8"?>
<Properties xmlns="http://schemas.openxmlformats.org/officeDocument/2006/custom-properties" xmlns:vt="http://schemas.openxmlformats.org/officeDocument/2006/docPropsVTypes"/>
</file>