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5</w:t>
      </w:r>
    </w:p>
    <w:p>
      <w:pPr>
        <w:spacing w:after="60"/>
      </w:pPr>
      <w:r>
        <w:rPr>
          <w:rFonts w:ascii="Century Gothic" w:cs="Century Gothic" w:eastAsia="Century Gothic" w:hAnsi="Century Gothic"/>
          <w:b/>
          <w:bCs/>
          <w:color w:val="14322D"/>
          <w:sz w:val="46"/>
          <w:szCs w:val="46"/>
        </w:rPr>
        <w:t xml:space="preserve">Questioning &amp; Dialogue</w:t>
      </w:r>
    </w:p>
    <w:p>
      <w:pPr>
        <w:spacing w:after="300"/>
      </w:pPr>
      <w:r>
        <w:rPr>
          <w:rFonts w:ascii="Century Gothic" w:cs="Century Gothic" w:eastAsia="Century Gothic" w:hAnsi="Century Gothic"/>
          <w:color w:val="1A1F1D"/>
          <w:sz w:val="36"/>
          <w:szCs w:val="36"/>
        </w:rPr>
        <w:t xml:space="preserve">Cold calling, probing and classroom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“The point of a question is to cause thinking.”</w:t>
            </w:r>
          </w:p>
          <w:p>
            <w:pPr>
              <w:spacing w:before="40"/>
            </w:pPr>
            <w:r>
              <w:rPr>
                <w:rFonts w:ascii="Century Gothic" w:cs="Century Gothic" w:eastAsia="Century Gothic" w:hAnsi="Century Gothic"/>
                <w:color w:val="555F5A"/>
                <w:sz w:val="20"/>
                <w:szCs w:val="20"/>
              </w:rPr>
              <w:t xml:space="preserve">after Dylan Wiliam</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1 · Purpose and shared practice</w:t>
      </w:r>
    </w:p>
    <w:p>
      <w:pPr>
        <w:spacing w:after="120" w:line="276"/>
      </w:pPr>
      <w:r>
        <w:rPr>
          <w:rFonts w:ascii="Century Gothic" w:cs="Century Gothic" w:eastAsia="Century Gothic" w:hAnsi="Century Gothic"/>
          <w:color w:val="1A1F1D"/>
          <w:sz w:val="24"/>
          <w:szCs w:val="24"/>
        </w:rPr>
        <w:t xml:space="preserve">2 · Why we question — and why hands-up narrows the room</w:t>
      </w:r>
    </w:p>
    <w:p>
      <w:pPr>
        <w:spacing w:after="120" w:line="276"/>
      </w:pPr>
      <w:r>
        <w:rPr>
          <w:rFonts w:ascii="Century Gothic" w:cs="Century Gothic" w:eastAsia="Century Gothic" w:hAnsi="Century Gothic"/>
          <w:color w:val="1A1F1D"/>
          <w:sz w:val="24"/>
          <w:szCs w:val="24"/>
        </w:rPr>
        <w:t xml:space="preserve">3 · Cold calling in action</w:t>
      </w:r>
    </w:p>
    <w:p>
      <w:pPr>
        <w:spacing w:after="120" w:line="276"/>
      </w:pPr>
      <w:r>
        <w:rPr>
          <w:rFonts w:ascii="Century Gothic" w:cs="Century Gothic" w:eastAsia="Century Gothic" w:hAnsi="Century Gothic"/>
          <w:color w:val="1A1F1D"/>
          <w:sz w:val="24"/>
          <w:szCs w:val="24"/>
        </w:rPr>
        <w:t xml:space="preserve">4 · The cold-call sequence and the checklist</w:t>
      </w:r>
    </w:p>
    <w:p>
      <w:pPr>
        <w:spacing w:after="120" w:line="276"/>
      </w:pPr>
      <w:r>
        <w:rPr>
          <w:rFonts w:ascii="Century Gothic" w:cs="Century Gothic" w:eastAsia="Century Gothic" w:hAnsi="Century Gothic"/>
          <w:color w:val="1A1F1D"/>
          <w:sz w:val="24"/>
          <w:szCs w:val="24"/>
        </w:rPr>
        <w:t xml:space="preserve">5 · Inclusion — questioning that includes everyone</w:t>
      </w:r>
    </w:p>
    <w:p>
      <w:pPr>
        <w:spacing w:after="120" w:line="276"/>
      </w:pPr>
      <w:r>
        <w:rPr>
          <w:rFonts w:ascii="Century Gothic" w:cs="Century Gothic" w:eastAsia="Century Gothic" w:hAnsi="Century Gothic"/>
          <w:color w:val="1A1F1D"/>
          <w:sz w:val="24"/>
          <w:szCs w:val="24"/>
        </w:rPr>
        <w:t xml:space="preserve">6 · Probing, think-pair-share, and team planning</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1 · Purpose and shared practice</w:t>
      </w:r>
    </w:p>
    <w:p>
      <w:pPr>
        <w:pStyle w:val="Heading2"/>
        <w:spacing w:after="80" w:before="240"/>
      </w:pPr>
      <w:r>
        <w:rPr>
          <w:rFonts w:ascii="Century Gothic" w:cs="Century Gothic" w:eastAsia="Century Gothic" w:hAnsi="Century Gothic"/>
          <w:b/>
          <w:bCs/>
          <w:color w:val="14322D"/>
          <w:sz w:val="24"/>
          <w:szCs w:val="24"/>
        </w:rPr>
        <w:t xml:space="preserve">What this pillar is for</w:t>
      </w:r>
    </w:p>
    <w:p>
      <w:pPr>
        <w:pStyle w:val="ListParagraph"/>
        <w:numPr>
          <w:ilvl w:val="0"/>
          <w:numId w:val="2"/>
        </w:numPr>
        <w:spacing w:after="60" w:line="264"/>
      </w:pPr>
      <w:r>
        <w:rPr>
          <w:rFonts w:ascii="Century Gothic" w:cs="Century Gothic" w:eastAsia="Century Gothic" w:hAnsi="Century Gothic"/>
          <w:color w:val="1A1F1D"/>
        </w:rPr>
        <w:t xml:space="preserve">To question in a way that makes every pupil think, not just the volunteers.</w:t>
      </w:r>
    </w:p>
    <w:p>
      <w:pPr>
        <w:pStyle w:val="ListParagraph"/>
        <w:numPr>
          <w:ilvl w:val="0"/>
          <w:numId w:val="2"/>
        </w:numPr>
        <w:spacing w:after="60" w:line="264"/>
      </w:pPr>
      <w:r>
        <w:rPr>
          <w:rFonts w:ascii="Century Gothic" w:cs="Century Gothic" w:eastAsia="Century Gothic" w:hAnsi="Century Gothic"/>
          <w:color w:val="1A1F1D"/>
        </w:rPr>
        <w:t xml:space="preserve">To use cold calling warmly, as the norm, so the whole room stays accountable.</w:t>
      </w:r>
    </w:p>
    <w:p>
      <w:pPr>
        <w:pStyle w:val="ListParagraph"/>
        <w:numPr>
          <w:ilvl w:val="0"/>
          <w:numId w:val="2"/>
        </w:numPr>
        <w:spacing w:after="60" w:line="264"/>
      </w:pPr>
      <w:r>
        <w:rPr>
          <w:rFonts w:ascii="Century Gothic" w:cs="Century Gothic" w:eastAsia="Century Gothic" w:hAnsi="Century Gothic"/>
          <w:color w:val="1A1F1D"/>
        </w:rPr>
        <w:t xml:space="preserve">To probe answers, pushing thinking deeper and building dialogue between pupils.</w:t>
      </w:r>
    </w:p>
    <w:p>
      <w:pPr>
        <w:pStyle w:val="ListParagraph"/>
        <w:numPr>
          <w:ilvl w:val="0"/>
          <w:numId w:val="2"/>
        </w:numPr>
        <w:spacing w:after="60" w:line="264"/>
      </w:pPr>
      <w:r>
        <w:rPr>
          <w:rFonts w:ascii="Century Gothic" w:cs="Century Gothic" w:eastAsia="Century Gothic" w:hAnsi="Century Gothic"/>
          <w:color w:val="1A1F1D"/>
        </w:rPr>
        <w:t xml:space="preserve">To build a shared questioning standard across a school.</w:t>
      </w:r>
    </w:p>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rPr>
        <w:t xml:space="preserve">A question is the most direct way to find out what a pupil is thinking. </w:t>
      </w:r>
      <w:r>
        <w:rPr>
          <w:rFonts w:ascii="Century Gothic" w:cs="Century Gothic" w:eastAsia="Century Gothic" w:hAnsi="Century Gothic"/>
          <w:color w:val="1A1F1D"/>
        </w:rPr>
        <w:t xml:space="preserve">Used well, it makes the whole class think; used poorly, it hears from the same few hands and lets everyone else opt out.</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What strong everyday practice looks like</w:t>
      </w:r>
    </w:p>
    <w:p>
      <w:pPr>
        <w:spacing w:after="120" w:line="276"/>
      </w:pPr>
      <w:r>
        <w:rPr>
          <w:rFonts w:ascii="Century Gothic" w:cs="Century Gothic" w:eastAsia="Century Gothic" w:hAnsi="Century Gothic"/>
          <w:color w:val="1A1F1D"/>
        </w:rPr>
        <w:t xml:space="preserve">A useful starting audit. Where questioning is strong, the teacher tends to:</w:t>
      </w:r>
    </w:p>
    <w:p>
      <w:pPr>
        <w:pStyle w:val="ListParagraph"/>
        <w:numPr>
          <w:ilvl w:val="0"/>
          <w:numId w:val="2"/>
        </w:numPr>
        <w:spacing w:after="60" w:line="264"/>
      </w:pPr>
      <w:r>
        <w:rPr>
          <w:rFonts w:ascii="Century Gothic" w:cs="Century Gothic" w:eastAsia="Century Gothic" w:hAnsi="Century Gothic"/>
          <w:color w:val="1A1F1D"/>
        </w:rPr>
        <w:t xml:space="preserve">pose the question to the whole class first, with no name attached;</w:t>
      </w:r>
    </w:p>
    <w:p>
      <w:pPr>
        <w:pStyle w:val="ListParagraph"/>
        <w:numPr>
          <w:ilvl w:val="0"/>
          <w:numId w:val="2"/>
        </w:numPr>
        <w:spacing w:after="60" w:line="264"/>
      </w:pPr>
      <w:r>
        <w:rPr>
          <w:rFonts w:ascii="Century Gothic" w:cs="Century Gothic" w:eastAsia="Century Gothic" w:hAnsi="Century Gothic"/>
          <w:color w:val="1A1F1D"/>
        </w:rPr>
        <w:t xml:space="preserve">hold thinking time before naming a pupil;</w:t>
      </w:r>
    </w:p>
    <w:p>
      <w:pPr>
        <w:pStyle w:val="ListParagraph"/>
        <w:numPr>
          <w:ilvl w:val="0"/>
          <w:numId w:val="2"/>
        </w:numPr>
        <w:spacing w:after="60" w:line="264"/>
      </w:pPr>
      <w:r>
        <w:rPr>
          <w:rFonts w:ascii="Century Gothic" w:cs="Century Gothic" w:eastAsia="Century Gothic" w:hAnsi="Century Gothic"/>
          <w:color w:val="1A1F1D"/>
        </w:rPr>
        <w:t xml:space="preserve">cold call warmly, as the norm, so all pupils prepare an answer;</w:t>
      </w:r>
    </w:p>
    <w:p>
      <w:pPr>
        <w:pStyle w:val="ListParagraph"/>
        <w:numPr>
          <w:ilvl w:val="0"/>
          <w:numId w:val="2"/>
        </w:numPr>
        <w:spacing w:after="60" w:line="264"/>
      </w:pPr>
      <w:r>
        <w:rPr>
          <w:rFonts w:ascii="Century Gothic" w:cs="Century Gothic" w:eastAsia="Century Gothic" w:hAnsi="Century Gothic"/>
          <w:color w:val="1A1F1D"/>
        </w:rPr>
        <w:t xml:space="preserve">acknowledge a response, then probe it;</w:t>
      </w:r>
    </w:p>
    <w:p>
      <w:pPr>
        <w:pStyle w:val="ListParagraph"/>
        <w:numPr>
          <w:ilvl w:val="0"/>
          <w:numId w:val="2"/>
        </w:numPr>
        <w:spacing w:after="60" w:line="264"/>
      </w:pPr>
      <w:r>
        <w:rPr>
          <w:rFonts w:ascii="Century Gothic" w:cs="Century Gothic" w:eastAsia="Century Gothic" w:hAnsi="Century Gothic"/>
          <w:color w:val="1A1F1D"/>
        </w:rPr>
        <w:t xml:space="preserve">come back to a pupil who said ‘I don’t know’, rather than letting it stand;</w:t>
      </w:r>
    </w:p>
    <w:p>
      <w:pPr>
        <w:pStyle w:val="ListParagraph"/>
        <w:numPr>
          <w:ilvl w:val="0"/>
          <w:numId w:val="2"/>
        </w:numPr>
        <w:spacing w:after="60" w:line="264"/>
      </w:pPr>
      <w:r>
        <w:rPr>
          <w:rFonts w:ascii="Century Gothic" w:cs="Century Gothic" w:eastAsia="Century Gothic" w:hAnsi="Century Gothic"/>
          <w:color w:val="1A1F1D"/>
        </w:rPr>
        <w:t xml:space="preserve">use think-pair-share to raise the floor before answers go public;</w:t>
      </w:r>
    </w:p>
    <w:p>
      <w:pPr>
        <w:pStyle w:val="ListParagraph"/>
        <w:numPr>
          <w:ilvl w:val="0"/>
          <w:numId w:val="2"/>
        </w:numPr>
        <w:spacing w:after="60" w:line="264"/>
      </w:pPr>
      <w:r>
        <w:rPr>
          <w:rFonts w:ascii="Century Gothic" w:cs="Century Gothic" w:eastAsia="Century Gothic" w:hAnsi="Century Gothic"/>
          <w:color w:val="1A1F1D"/>
        </w:rPr>
        <w:t xml:space="preserve">adapt the teaching to the pattern of answers.</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At Nishkam, questioning is anchored in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 every pupil is expected to think and to be ready to answer — within the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of a calm, safe room where being wrong is part of learning. Pupils show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by staying with a question and pushing their thinking further. The principle travels: ask the class, hold the pause, name a pupil, then probe.</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Independent task</w:t>
            </w:r>
          </w:p>
          <w:p>
            <w:pPr>
              <w:spacing w:after="120" w:line="276"/>
            </w:pPr>
            <w:r>
              <w:rPr>
                <w:rFonts w:ascii="Century Gothic" w:cs="Century Gothic" w:eastAsia="Century Gothic" w:hAnsi="Century Gothic"/>
                <w:color w:val="1A1F1D"/>
              </w:rPr>
              <w:t xml:space="preserve">In a recent lesson, roughly how many pupils answered your questions? Who never does? What would have to change for them to be ready to be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2 · Why we question, and why hands-up narrows the room</w:t>
      </w:r>
    </w:p>
    <w:p>
      <w:pPr>
        <w:spacing w:after="120" w:line="276"/>
      </w:pPr>
      <w:r>
        <w:rPr>
          <w:rFonts w:ascii="Century Gothic" w:cs="Century Gothic" w:eastAsia="Century Gothic" w:hAnsi="Century Gothic"/>
          <w:b/>
          <w:bCs/>
          <w:color w:val="1A1F1D"/>
        </w:rPr>
        <w:t xml:space="preserve">Hands-up narrows the room. </w:t>
      </w:r>
      <w:r>
        <w:rPr>
          <w:rFonts w:ascii="Century Gothic" w:cs="Century Gothic" w:eastAsia="Century Gothic" w:hAnsi="Century Gothic"/>
          <w:color w:val="1A1F1D"/>
        </w:rPr>
        <w:t xml:space="preserve">When questions go out to volunteers, the same confident few answer, and everyone else quietly learns that they can opt out. The teacher hears from the pupils who already understand, and misses the ones who do not.</w:t>
      </w:r>
    </w:p>
    <w:p>
      <w:pPr>
        <w:spacing w:after="120" w:line="276"/>
      </w:pPr>
      <w:r>
        <w:rPr>
          <w:rFonts w:ascii="Century Gothic" w:cs="Century Gothic" w:eastAsia="Century Gothic" w:hAnsi="Century Gothic"/>
          <w:b/>
          <w:bCs/>
          <w:color w:val="1A1F1D"/>
        </w:rPr>
        <w:t xml:space="preserve">Cold call keeps all pupils accountable. </w:t>
      </w:r>
      <w:r>
        <w:rPr>
          <w:rFonts w:ascii="Century Gothic" w:cs="Century Gothic" w:eastAsia="Century Gothic" w:hAnsi="Century Gothic"/>
          <w:color w:val="1A1F1D"/>
        </w:rPr>
        <w:t xml:space="preserve">When anyone might be asked, every pupil prepares an answer — so the questioning becomes a genuine check for understanding, not a conversation with the keen. It works because it is the norm, and because it is kind: a warm expectation, never a ‘gotcha’.</w:t>
      </w:r>
    </w:p>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Two classrooms</w:t>
      </w:r>
    </w:p>
    <w:p>
      <w:pPr>
        <w:spacing w:after="120" w:line="276"/>
      </w:pPr>
      <w:r>
        <w:rPr>
          <w:rFonts w:ascii="Century Gothic" w:cs="Century Gothic" w:eastAsia="Century Gothic" w:hAnsi="Century Gothic"/>
          <w:color w:val="1A1F1D"/>
        </w:rPr>
        <w:t xml:space="preserve">In the first classroom, the question goes out and hands shoot up. The same five pupils answer; thinking time is a second or two; the rest wait it out. In the second, the question goes to the whole class, thinking time is held, and then a name is given — so everyone has prepared, and the answer is probed rather than simply accepted.</w:t>
      </w:r>
    </w:p>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Group discussion</w:t>
            </w:r>
          </w:p>
          <w:p>
            <w:pPr>
              <w:spacing w:after="120" w:line="276"/>
            </w:pPr>
            <w:r>
              <w:rPr>
                <w:rFonts w:ascii="Century Gothic" w:cs="Century Gothic" w:eastAsia="Century Gothic" w:hAnsi="Century Gothic"/>
                <w:color w:val="1A1F1D"/>
              </w:rPr>
              <w:t xml:space="preserve">Same question, same class. In which room is every pupil actually thinking? What stops you cold calling more often, and is the worry founded?</w:t>
            </w:r>
          </w:p>
        </w:tc>
      </w:tr>
    </w:tbl>
    <w:p>
      <w:pPr>
        <w:pStyle w:val="Heading1"/>
        <w:pageBreakBefore/>
        <w:spacing w:after="120" w:before="0"/>
      </w:pPr>
      <w:r>
        <w:rPr>
          <w:rFonts w:ascii="Century Gothic" w:cs="Century Gothic" w:eastAsia="Century Gothic" w:hAnsi="Century Gothic"/>
          <w:b/>
          <w:bCs/>
          <w:color w:val="14322D"/>
          <w:sz w:val="30"/>
          <w:szCs w:val="30"/>
        </w:rPr>
        <w:t xml:space="preserve">3 · Cold calling in action</w:t>
      </w:r>
    </w:p>
    <w:p>
      <w:pPr>
        <w:spacing w:after="120" w:line="276"/>
      </w:pPr>
      <w:r>
        <w:rPr>
          <w:rFonts w:ascii="Century Gothic" w:cs="Century Gothic" w:eastAsia="Century Gothic" w:hAnsi="Century Gothic"/>
          <w:color w:val="1A1F1D"/>
        </w:rPr>
        <w:t xml:space="preserve">This section draws on Doug Lemov’s Teach Like a Champion 3.0, and in particular the techniques Cold Call, No Opt Out and Right is Right.</w:t>
      </w:r>
    </w:p>
    <w:p>
      <w:pPr>
        <w:spacing w:after="60" w:before="160"/>
      </w:pPr>
      <w:r>
        <w:rPr>
          <w:rFonts w:ascii="Century Gothic" w:cs="Century Gothic" w:eastAsia="Century Gothic" w:hAnsi="Century Gothic"/>
          <w:b/>
          <w:bCs/>
          <w:color w:val="3F9488"/>
          <w:sz w:val="22"/>
          <w:szCs w:val="22"/>
        </w:rPr>
        <w:t xml:space="preserve">Ask the class first, name second</w:t>
      </w:r>
    </w:p>
    <w:p>
      <w:pPr>
        <w:spacing w:after="120" w:line="276"/>
      </w:pPr>
      <w:r>
        <w:rPr>
          <w:rFonts w:ascii="Century Gothic" w:cs="Century Gothic" w:eastAsia="Century Gothic" w:hAnsi="Century Gothic"/>
          <w:color w:val="1A1F1D"/>
        </w:rPr>
        <w:t xml:space="preserve">Pose the question to the whole room with no name attached, so every pupil prepares an answer. Naming a pupil first tells everyone else they are off the hook.</w:t>
      </w:r>
    </w:p>
    <w:p>
      <w:pPr>
        <w:spacing w:after="60" w:before="160"/>
      </w:pPr>
      <w:r>
        <w:rPr>
          <w:rFonts w:ascii="Century Gothic" w:cs="Century Gothic" w:eastAsia="Century Gothic" w:hAnsi="Century Gothic"/>
          <w:b/>
          <w:bCs/>
          <w:color w:val="3F9488"/>
          <w:sz w:val="22"/>
          <w:szCs w:val="22"/>
        </w:rPr>
        <w:t xml:space="preserve">Hold thinking time</w:t>
      </w:r>
    </w:p>
    <w:p>
      <w:pPr>
        <w:spacing w:after="120" w:line="276"/>
      </w:pPr>
      <w:r>
        <w:rPr>
          <w:rFonts w:ascii="Century Gothic" w:cs="Century Gothic" w:eastAsia="Century Gothic" w:hAnsi="Century Gothic"/>
          <w:color w:val="1A1F1D"/>
        </w:rPr>
        <w:t xml:space="preserve">Pause before naming a pupil. The silence is where the thinking happens; cutting it short rewards speed over thought. A few seconds, held deliberately, raises the quality of every answer.</w:t>
      </w:r>
    </w:p>
    <w:p>
      <w:pPr>
        <w:spacing w:after="60" w:before="160"/>
      </w:pPr>
      <w:r>
        <w:rPr>
          <w:rFonts w:ascii="Century Gothic" w:cs="Century Gothic" w:eastAsia="Century Gothic" w:hAnsi="Century Gothic"/>
          <w:b/>
          <w:bCs/>
          <w:color w:val="3F9488"/>
          <w:sz w:val="22"/>
          <w:szCs w:val="22"/>
        </w:rPr>
        <w:t xml:space="preserve">Probe, don’t just accept</w:t>
      </w:r>
    </w:p>
    <w:p>
      <w:pPr>
        <w:spacing w:after="120" w:line="276"/>
      </w:pPr>
      <w:r>
        <w:rPr>
          <w:rFonts w:ascii="Century Gothic" w:cs="Century Gothic" w:eastAsia="Century Gothic" w:hAnsi="Century Gothic"/>
          <w:color w:val="1A1F1D"/>
        </w:rPr>
        <w:t xml:space="preserve">A first answer is a starting point. Acknowledge it, then ask the pupil to clarify, justify, give evidence, or take it further — and invite others to build on it.</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Video study</w:t>
            </w:r>
          </w:p>
          <w:p>
            <w:pPr>
              <w:spacing w:after="120" w:line="276"/>
            </w:pPr>
            <w:r>
              <w:rPr>
                <w:rFonts w:ascii="Century Gothic" w:cs="Century Gothic" w:eastAsia="Century Gothic" w:hAnsi="Century Gothic"/>
                <w:color w:val="1A1F1D"/>
              </w:rPr>
              <w:t xml:space="preserve">Watch a short clip from the </w:t>
            </w:r>
            <w:r>
              <w:rPr>
                <w:rFonts w:ascii="Century Gothic" w:cs="Century Gothic" w:eastAsia="Century Gothic" w:hAnsi="Century Gothic"/>
                <w:i/>
                <w:iCs/>
                <w:color w:val="1A1F1D"/>
              </w:rPr>
              <w:t xml:space="preserve">Teach Like a Champion</w:t>
            </w:r>
            <w:r>
              <w:rPr>
                <w:rFonts w:ascii="Century Gothic" w:cs="Century Gothic" w:eastAsia="Century Gothic" w:hAnsi="Century Gothic"/>
                <w:color w:val="1A1F1D"/>
              </w:rPr>
              <w:t xml:space="preserve"> collection, then discuss as a group.</w:t>
            </w:r>
          </w:p>
          <w:p>
            <w:pPr>
              <w:spacing w:after="120" w:line="276"/>
            </w:pPr>
            <w:r>
              <w:rPr>
                <w:rFonts w:ascii="Century Gothic" w:cs="Century Gothic" w:eastAsia="Century Gothic" w:hAnsi="Century Gothic"/>
                <w:b/>
                <w:bCs/>
                <w:color w:val="1A1F1D"/>
              </w:rPr>
              <w:t xml:space="preserve">Portal: </w:t>
            </w:r>
            <w:r>
              <w:rPr>
                <w:rFonts w:ascii="Century Gothic" w:cs="Century Gothic" w:eastAsia="Century Gothic" w:hAnsi="Century Gothic"/>
                <w:color w:val="1A1F1D"/>
              </w:rPr>
              <w:t xml:space="preserve">books.wiley.com/titles/9781119712619    </w:t>
            </w:r>
            <w:r>
              <w:rPr>
                <w:rFonts w:ascii="Century Gothic" w:cs="Century Gothic" w:eastAsia="Century Gothic" w:hAnsi="Century Gothic"/>
                <w:b/>
                <w:bCs/>
                <w:color w:val="1A1F1D"/>
              </w:rPr>
              <w:t xml:space="preserve">Password: </w:t>
            </w:r>
            <w:r>
              <w:rPr>
                <w:rFonts w:ascii="Century Gothic" w:cs="Century Gothic" w:eastAsia="Century Gothic" w:hAnsi="Century Gothic"/>
                <w:color w:val="1A1F1D"/>
              </w:rPr>
              <w:t xml:space="preserve">consider</w:t>
            </w:r>
          </w:p>
          <w:p>
            <w:pPr>
              <w:spacing w:after="120" w:line="276"/>
            </w:pPr>
            <w:r>
              <w:rPr>
                <w:rFonts w:ascii="Century Gothic" w:cs="Century Gothic" w:eastAsia="Century Gothic" w:hAnsi="Century Gothic"/>
                <w:color w:val="1A1F1D"/>
              </w:rPr>
              <w:t xml:space="preserve">Look for clips on Cold Call and questioning. As you watch: How does the teacher make cold call feel warm, not a ‘gotcha’? What does thinking time look like before a name is given? How is a first answer probed into a fuller one?</w:t>
            </w:r>
          </w:p>
        </w:tc>
      </w:tr>
    </w:tbl>
    <w:p>
      <w:pPr>
        <w:pStyle w:val="Heading1"/>
        <w:pageBreakBefore/>
        <w:spacing w:after="120" w:before="0"/>
      </w:pPr>
      <w:r>
        <w:rPr>
          <w:rFonts w:ascii="Century Gothic" w:cs="Century Gothic" w:eastAsia="Century Gothic" w:hAnsi="Century Gothic"/>
          <w:b/>
          <w:bCs/>
          <w:color w:val="14322D"/>
          <w:sz w:val="30"/>
          <w:szCs w:val="30"/>
        </w:rPr>
        <w:t xml:space="preserve">4 · The cold-call sequence</w:t>
      </w:r>
    </w:p>
    <w:p>
      <w:pPr>
        <w:spacing w:after="120" w:line="276"/>
      </w:pPr>
      <w:r>
        <w:rPr>
          <w:rFonts w:ascii="Century Gothic" w:cs="Century Gothic" w:eastAsia="Century Gothic" w:hAnsi="Century Gothic"/>
          <w:color w:val="1A1F1D"/>
        </w:rPr>
        <w:t xml:space="preserve">A reliable sequence for cold calling, to rehearse until it is second nature.</w:t>
      </w:r>
    </w:p>
    <w:p>
      <w:pPr>
        <w:pStyle w:val="ListParagraph"/>
        <w:numPr>
          <w:ilvl w:val="0"/>
          <w:numId w:val="3"/>
        </w:numPr>
        <w:spacing w:after="60" w:line="264"/>
      </w:pPr>
      <w:r>
        <w:rPr>
          <w:rFonts w:ascii="Century Gothic" w:cs="Century Gothic" w:eastAsia="Century Gothic" w:hAnsi="Century Gothic"/>
          <w:color w:val="1A1F1D"/>
        </w:rPr>
        <w:t xml:space="preserve">Pose the question to the whole class.</w:t>
      </w:r>
    </w:p>
    <w:p>
      <w:pPr>
        <w:pStyle w:val="ListParagraph"/>
        <w:numPr>
          <w:ilvl w:val="0"/>
          <w:numId w:val="3"/>
        </w:numPr>
        <w:spacing w:after="60" w:line="264"/>
      </w:pPr>
      <w:r>
        <w:rPr>
          <w:rFonts w:ascii="Century Gothic" w:cs="Century Gothic" w:eastAsia="Century Gothic" w:hAnsi="Century Gothic"/>
          <w:color w:val="1A1F1D"/>
        </w:rPr>
        <w:t xml:space="preserve">Attach no name to the initial question.</w:t>
      </w:r>
    </w:p>
    <w:p>
      <w:pPr>
        <w:pStyle w:val="ListParagraph"/>
        <w:numPr>
          <w:ilvl w:val="0"/>
          <w:numId w:val="3"/>
        </w:numPr>
        <w:spacing w:after="60" w:line="264"/>
      </w:pPr>
      <w:r>
        <w:rPr>
          <w:rFonts w:ascii="Century Gothic" w:cs="Century Gothic" w:eastAsia="Century Gothic" w:hAnsi="Century Gothic"/>
          <w:color w:val="1A1F1D"/>
        </w:rPr>
        <w:t xml:space="preserve">Hold thinking time — let the silence do its work.</w:t>
      </w:r>
    </w:p>
    <w:p>
      <w:pPr>
        <w:pStyle w:val="ListParagraph"/>
        <w:numPr>
          <w:ilvl w:val="0"/>
          <w:numId w:val="3"/>
        </w:numPr>
        <w:spacing w:after="60" w:line="264"/>
      </w:pPr>
      <w:r>
        <w:rPr>
          <w:rFonts w:ascii="Century Gothic" w:cs="Century Gothic" w:eastAsia="Century Gothic" w:hAnsi="Century Gothic"/>
          <w:color w:val="1A1F1D"/>
        </w:rPr>
        <w:t xml:space="preserve">Name a pupil, and direct the question to them.</w:t>
      </w:r>
    </w:p>
    <w:p>
      <w:pPr>
        <w:pStyle w:val="ListParagraph"/>
        <w:numPr>
          <w:ilvl w:val="0"/>
          <w:numId w:val="3"/>
        </w:numPr>
        <w:spacing w:after="60" w:line="264"/>
      </w:pPr>
      <w:r>
        <w:rPr>
          <w:rFonts w:ascii="Century Gothic" w:cs="Century Gothic" w:eastAsia="Century Gothic" w:hAnsi="Century Gothic"/>
          <w:color w:val="1A1F1D"/>
        </w:rPr>
        <w:t xml:space="preserve">Acknowledge or affirm the response.</w:t>
      </w:r>
    </w:p>
    <w:p>
      <w:pPr>
        <w:pStyle w:val="ListParagraph"/>
        <w:numPr>
          <w:ilvl w:val="0"/>
          <w:numId w:val="3"/>
        </w:numPr>
        <w:spacing w:after="60" w:line="264"/>
      </w:pPr>
      <w:r>
        <w:rPr>
          <w:rFonts w:ascii="Century Gothic" w:cs="Century Gothic" w:eastAsia="Century Gothic" w:hAnsi="Century Gothic"/>
          <w:color w:val="1A1F1D"/>
        </w:rPr>
        <w:t xml:space="preserve">Probe: ask the pupil to elaborate or explain their reasoning.</w:t>
      </w:r>
    </w:p>
    <w:p>
      <w:pPr>
        <w:pStyle w:val="ListParagraph"/>
        <w:numPr>
          <w:ilvl w:val="0"/>
          <w:numId w:val="3"/>
        </w:numPr>
        <w:spacing w:after="60" w:line="264"/>
      </w:pPr>
      <w:r>
        <w:rPr>
          <w:rFonts w:ascii="Century Gothic" w:cs="Century Gothic" w:eastAsia="Century Gothic" w:hAnsi="Century Gothic"/>
          <w:color w:val="1A1F1D"/>
        </w:rPr>
        <w:t xml:space="preserve">Identify and address any misconception, calmly.</w:t>
      </w:r>
    </w:p>
    <w:p>
      <w:pPr>
        <w:pStyle w:val="ListParagraph"/>
        <w:numPr>
          <w:ilvl w:val="0"/>
          <w:numId w:val="3"/>
        </w:numPr>
        <w:spacing w:after="60" w:line="264"/>
      </w:pPr>
      <w:r>
        <w:rPr>
          <w:rFonts w:ascii="Century Gothic" w:cs="Century Gothic" w:eastAsia="Century Gothic" w:hAnsi="Century Gothic"/>
          <w:color w:val="1A1F1D"/>
        </w:rPr>
        <w:t xml:space="preserve">Build toward fuller, probing dialogue across the class.</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warmth is the technique. Cold call works when it is the </w:t>
            </w:r>
            <w:r>
              <w:rPr>
                <w:rFonts w:ascii="Century Gothic" w:cs="Century Gothic" w:eastAsia="Century Gothic" w:hAnsi="Century Gothic"/>
                <w:i/>
                <w:iCs/>
                <w:color w:val="1A1F1D"/>
              </w:rPr>
              <w:t xml:space="preserve">norm</w:t>
            </w:r>
            <w:r>
              <w:rPr>
                <w:rFonts w:ascii="Century Gothic" w:cs="Century Gothic" w:eastAsia="Century Gothic" w:hAnsi="Century Gothic"/>
                <w:color w:val="1A1F1D"/>
              </w:rPr>
              <w:t xml:space="preserve"> — every lesson, every pupil — and when a wrong answer is welcomed as part of the thinking, not punished. That is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in practice.</w:t>
            </w:r>
          </w:p>
        </w:tc>
      </w:tr>
    </w:tbl>
    <w:p>
      <w:pPr>
        <w:pStyle w:val="Heading2"/>
        <w:spacing w:after="80" w:before="240"/>
      </w:pPr>
      <w:r>
        <w:rPr>
          <w:rFonts w:ascii="Century Gothic" w:cs="Century Gothic" w:eastAsia="Century Gothic" w:hAnsi="Century Gothic"/>
          <w:b/>
          <w:bCs/>
          <w:color w:val="14322D"/>
          <w:sz w:val="24"/>
          <w:szCs w:val="24"/>
        </w:rPr>
        <w:t xml:space="preserve">The cold-call checklist</w:t>
      </w:r>
    </w:p>
    <w:p>
      <w:pPr>
        <w:spacing w:after="120" w:line="276"/>
      </w:pPr>
      <w:r>
        <w:rPr>
          <w:rFonts w:ascii="Century Gothic" w:cs="Century Gothic" w:eastAsia="Century Gothic" w:hAnsi="Century Gothic"/>
          <w:color w:val="1A1F1D"/>
        </w:rPr>
        <w:t xml:space="preserve">This sits behind the coaching work, and it is a shared language when colleagues look at one another’s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Cold call · CC</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Teacher in a strong position.</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CC3</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Question posed to the whole class first.</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CC4</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No name attached to the initial question.</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CC5</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Thinking time held before naming a pupil.</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CC6</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Question directed to a named pupil.</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CC8</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Response acknowledged with affirmation or probe.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CC9</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 asked to elaborate or explain reasoning.</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CC11</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Misconceptions identified and addressed.</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CC13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Teaching adapted based on response pattern.</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CC14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Builds toward probing questioning.</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rehearse the sequence</w:t>
            </w:r>
          </w:p>
          <w:p>
            <w:pPr>
              <w:spacing w:after="120" w:line="276"/>
            </w:pPr>
            <w:r>
              <w:rPr>
                <w:rFonts w:ascii="Century Gothic" w:cs="Century Gothic" w:eastAsia="Century Gothic" w:hAnsi="Century Gothic"/>
                <w:color w:val="1A1F1D"/>
              </w:rPr>
              <w:t xml:space="preserve">Plan three cold-call questions for an upcoming lesson, with the thinking-time pause built in. Rehearse the sequence with a colleague watching against CC1–14, and agree one move to sharpen.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5 · Inclusion — questioning that includes everyone</w:t>
      </w:r>
    </w:p>
    <w:p>
      <w:pPr>
        <w:spacing w:after="120" w:line="276"/>
      </w:pPr>
      <w:r>
        <w:rPr>
          <w:rFonts w:ascii="Century Gothic" w:cs="Century Gothic" w:eastAsia="Century Gothic" w:hAnsi="Century Gothic"/>
          <w:b/>
          <w:bCs/>
          <w:color w:val="1A1F1D"/>
        </w:rPr>
        <w:t xml:space="preserve">Good questioning is one of the most inclusive things a teacher does. </w:t>
      </w:r>
      <w:r>
        <w:rPr>
          <w:rFonts w:ascii="Century Gothic" w:cs="Century Gothic" w:eastAsia="Century Gothic" w:hAnsi="Century Gothic"/>
          <w:color w:val="1A1F1D"/>
        </w:rPr>
        <w:t xml:space="preserve">Handled with care, it brings the quietest pupils into the conversation rather than leaving them at its edge.</w:t>
      </w:r>
    </w:p>
    <w:p>
      <w:pPr>
        <w:spacing w:after="20"/>
      </w:pPr>
      <w:r>
        <w:rPr>
          <w:rFonts w:ascii="Century Gothic" w:cs="Century Gothic" w:eastAsia="Century Gothic" w:hAnsi="Century Gothic"/>
          <w:color w:val="1A1F1D"/>
        </w:rPr>
        <w:t xml:space="preserve"/>
      </w:r>
    </w:p>
    <w:p>
      <w:pPr>
        <w:pStyle w:val="ListParagraph"/>
        <w:numPr>
          <w:ilvl w:val="0"/>
          <w:numId w:val="2"/>
        </w:numPr>
        <w:spacing w:after="60" w:line="264"/>
      </w:pPr>
      <w:r>
        <w:rPr>
          <w:rFonts w:ascii="Century Gothic" w:cs="Century Gothic" w:eastAsia="Century Gothic" w:hAnsi="Century Gothic"/>
          <w:color w:val="1A1F1D"/>
        </w:rPr>
        <w:t xml:space="preserve">Thinking time and pair-share give pupils who process more slowly a fair chance to prepare an answer.</w:t>
      </w:r>
    </w:p>
    <w:p>
      <w:pPr>
        <w:pStyle w:val="ListParagraph"/>
        <w:numPr>
          <w:ilvl w:val="0"/>
          <w:numId w:val="2"/>
        </w:numPr>
        <w:spacing w:after="60" w:line="264"/>
      </w:pPr>
      <w:r>
        <w:rPr>
          <w:rFonts w:ascii="Century Gothic" w:cs="Century Gothic" w:eastAsia="Century Gothic" w:hAnsi="Century Gothic"/>
          <w:color w:val="1A1F1D"/>
        </w:rPr>
        <w:t xml:space="preserve">Warm cold calling tells every pupil they are expected, and able, to contribute.</w:t>
      </w:r>
    </w:p>
    <w:p>
      <w:pPr>
        <w:pStyle w:val="ListParagraph"/>
        <w:numPr>
          <w:ilvl w:val="0"/>
          <w:numId w:val="2"/>
        </w:numPr>
        <w:spacing w:after="60" w:line="264"/>
      </w:pPr>
      <w:r>
        <w:rPr>
          <w:rFonts w:ascii="Century Gothic" w:cs="Century Gothic" w:eastAsia="Century Gothic" w:hAnsi="Century Gothic"/>
          <w:color w:val="1A1F1D"/>
        </w:rPr>
        <w:t xml:space="preserve">Probing lets the teacher adapt on the spot — stretching some, supporting others, from the same question.</w:t>
      </w:r>
    </w:p>
    <w:p>
      <w:pPr>
        <w:pStyle w:val="ListParagraph"/>
        <w:numPr>
          <w:ilvl w:val="0"/>
          <w:numId w:val="2"/>
        </w:numPr>
        <w:spacing w:after="60" w:line="264"/>
      </w:pPr>
      <w:r>
        <w:rPr>
          <w:rFonts w:ascii="Century Gothic" w:cs="Century Gothic" w:eastAsia="Century Gothic" w:hAnsi="Century Gothic"/>
          <w:color w:val="1A1F1D"/>
        </w:rPr>
        <w:t xml:space="preserve">Keep the routine; flex the question; respond to the pupil in front of you.</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w:t>
            </w:r>
          </w:p>
          <w:p>
            <w:pPr>
              <w:spacing w:after="120" w:line="276"/>
            </w:pPr>
            <w:r>
              <w:rPr>
                <w:rFonts w:ascii="Century Gothic" w:cs="Century Gothic" w:eastAsia="Century Gothic" w:hAnsi="Century Gothic"/>
                <w:color w:val="1A1F1D"/>
              </w:rPr>
              <w:t xml:space="preserve">How could thinking time or a pair-share bring one particular pupil into your next discussion?</w:t>
            </w:r>
          </w:p>
        </w:tc>
      </w:tr>
    </w:tbl>
    <w:p>
      <w:pPr>
        <w:pStyle w:val="Heading1"/>
        <w:pageBreakBefore/>
        <w:spacing w:after="120" w:before="0"/>
      </w:pPr>
      <w:r>
        <w:rPr>
          <w:rFonts w:ascii="Century Gothic" w:cs="Century Gothic" w:eastAsia="Century Gothic" w:hAnsi="Century Gothic"/>
          <w:b/>
          <w:bCs/>
          <w:color w:val="14322D"/>
          <w:sz w:val="30"/>
          <w:szCs w:val="30"/>
        </w:rPr>
        <w:t xml:space="preserve">6 · Probing, think-pair-share, and team planning</w:t>
      </w:r>
    </w:p>
    <w:p>
      <w:pPr>
        <w:pStyle w:val="Heading2"/>
        <w:spacing w:after="80" w:before="240"/>
      </w:pPr>
      <w:r>
        <w:rPr>
          <w:rFonts w:ascii="Century Gothic" w:cs="Century Gothic" w:eastAsia="Century Gothic" w:hAnsi="Century Gothic"/>
          <w:b/>
          <w:bCs/>
          <w:color w:val="14322D"/>
          <w:sz w:val="24"/>
          <w:szCs w:val="24"/>
        </w:rPr>
        <w:t xml:space="preserve">Probing questions</w:t>
      </w:r>
    </w:p>
    <w:p>
      <w:pPr>
        <w:spacing w:after="120" w:line="276"/>
      </w:pPr>
      <w:r>
        <w:rPr>
          <w:rFonts w:ascii="Century Gothic" w:cs="Century Gothic" w:eastAsia="Century Gothic" w:hAnsi="Century Gothic"/>
          <w:color w:val="1A1F1D"/>
        </w:rPr>
        <w:t xml:space="preserve">Probing turns a first answer into deeper thinking. One good probe per answer is plenty: clarify, justify, ask for evidence, offer an alternative, or draw out an implication. The probing-questions checklist sits behind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Probing questions · PQ</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Open question asked of the whole class.</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 selected after thinking time.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First response acknowledged and rephrased where needed.</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One probe asked: clarify, justify, evidence, alternative, implication.</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PQ7</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Other pupils invited to build on the answer.</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PQ10</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Cycle continues until new learning surfaces and is named.</w:t>
            </w:r>
          </w:p>
        </w:tc>
      </w:tr>
    </w:tbl>
    <w:p>
      <w:pPr>
        <w:pStyle w:val="Heading2"/>
        <w:spacing w:after="80" w:before="240"/>
      </w:pPr>
      <w:r>
        <w:rPr>
          <w:rFonts w:ascii="Century Gothic" w:cs="Century Gothic" w:eastAsia="Century Gothic" w:hAnsi="Century Gothic"/>
          <w:b/>
          <w:bCs/>
          <w:color w:val="14322D"/>
          <w:sz w:val="24"/>
          <w:szCs w:val="24"/>
        </w:rPr>
        <w:t xml:space="preserve">Think · pair · share</w:t>
      </w:r>
    </w:p>
    <w:p>
      <w:pPr>
        <w:spacing w:after="120" w:line="276"/>
      </w:pPr>
      <w:r>
        <w:rPr>
          <w:rFonts w:ascii="Century Gothic" w:cs="Century Gothic" w:eastAsia="Century Gothic" w:hAnsi="Century Gothic"/>
          <w:color w:val="1A1F1D"/>
        </w:rPr>
        <w:t xml:space="preserve">Before an answer goes public, let pupils rehearse it with a partner. It raises the floor — every pupil has something to say — and it warms the room for cold call.</w:t>
      </w:r>
    </w:p>
    <w:p>
      <w:pPr>
        <w:pStyle w:val="Heading2"/>
        <w:spacing w:after="80" w:before="240"/>
      </w:pPr>
      <w:r>
        <w:rPr>
          <w:rFonts w:ascii="Century Gothic" w:cs="Century Gothic" w:eastAsia="Century Gothic" w:hAnsi="Century Gothic"/>
          <w:b/>
          <w:bCs/>
          <w:color w:val="14322D"/>
          <w:sz w:val="24"/>
          <w:szCs w:val="24"/>
        </w:rPr>
        <w:t xml:space="preserve">No opt out, and say it again better</w:t>
      </w:r>
    </w:p>
    <w:p>
      <w:pPr>
        <w:spacing w:after="120" w:line="276"/>
      </w:pPr>
      <w:r>
        <w:rPr>
          <w:rFonts w:ascii="Century Gothic" w:cs="Century Gothic" w:eastAsia="Century Gothic" w:hAnsi="Century Gothic"/>
          <w:color w:val="1A1F1D"/>
        </w:rPr>
        <w:t xml:space="preserve">‘I don’t know’ is not the end of the exchange: come back to the pupil for a correct answer once it has been given by someone else. And when an answer is roughly right, hold out for the full, precise version — ‘say it again, better’.</w:t>
      </w:r>
    </w:p>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plan the talk</w:t>
            </w:r>
          </w:p>
          <w:p>
            <w:pPr>
              <w:spacing w:after="120" w:line="276"/>
            </w:pPr>
            <w:r>
              <w:rPr>
                <w:rFonts w:ascii="Century Gothic" w:cs="Century Gothic" w:eastAsia="Century Gothic" w:hAnsi="Century Gothic"/>
                <w:color w:val="1A1F1D"/>
              </w:rPr>
              <w:t xml:space="preserve">In your subject, plan one question worth real dialogue. Decide the thinking time, the cold-call order, the probe you will use, and how you will invite pupils to build on one another’s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Questioning &amp; Dialogue strand of the Teaching Practice site walks through cold calling and probing again, in your own time.</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CC1–14 and PQ are the standard you and a coach can observe against, lesson to lesson.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This is Pillar 5 of six. The companion pillars are Behaviour &amp; Climate, Instruction &amp; Modelling, Checking for Understanding, Adaptive Teaching &amp; Inclusion, and Standards &amp; Curriculum.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5 · Questioning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2026-06-10T08:16:08.227Z</dcterms:created>
  <dcterms:modified xsi:type="dcterms:W3CDTF">2026-06-10T08:16:08.227Z</dcterms:modified>
</cp:coreProperties>
</file>

<file path=docProps/custom.xml><?xml version="1.0" encoding="utf-8"?>
<Properties xmlns="http://schemas.openxmlformats.org/officeDocument/2006/custom-properties" xmlns:vt="http://schemas.openxmlformats.org/officeDocument/2006/docPropsVTypes"/>
</file>