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a"/>
        <w:jc w:val="center"/>
      </w:pPr>
      <w:r>
        <w:rPr>
          <w:rFonts w:ascii="Arial" w:hAnsi="Arial" w:eastAsia="Microsoft JhengHei"/>
          <w:b/>
          <w:color w:val="000000"/>
          <w:sz w:val="32"/>
        </w:rPr>
        <w:t>以 eBPF 與 IBLT 偵測 filldir64 至 getdents64 間的目錄項身分差異</w:t>
      </w:r>
    </w:p>
    <w:p>
      <w:pPr>
        <w:pStyle w:val="EnglishTitle"/>
        <w:jc w:val="center"/>
      </w:pPr>
      <w:r>
        <w:rPr>
          <w:rFonts w:ascii="Times New Roman" w:hAnsi="Times New Roman" w:eastAsia="Microsoft JhengHei"/>
          <w:i/>
          <w:color w:val="000000"/>
          <w:sz w:val="21"/>
        </w:rPr>
        <w:t>Detecting Directory-Entry Identity Discrepancies between filldir64 and getdents64 with eBPF and IBLT</w:t>
      </w:r>
    </w:p>
    <w:p>
      <w:pPr>
        <w:pStyle w:val="PaperAuthor"/>
        <w:jc w:val="center"/>
      </w:pPr>
      <w:r>
        <w:rPr>
          <w:rFonts w:ascii="Times New Roman" w:hAnsi="Times New Roman" w:eastAsia="PMingLiU"/>
          <w:color w:val="000000"/>
          <w:sz w:val="19"/>
        </w:rPr>
        <w:t>江威廷　國立中山大學資訊工程學系</w:t>
      </w:r>
    </w:p>
    <w:p>
      <w:pPr>
        <w:widowControl/>
        <w:spacing w:before="0" w:after="12" w:line="240" w:lineRule="auto"/>
        <w:jc w:val="both"/>
      </w:pPr>
      <w:r>
        <w:rPr>
          <w:rFonts w:ascii="Times New Roman" w:hAnsi="Times New Roman" w:eastAsia="PMingLiU"/>
          <w:b/>
          <w:i w:val="0"/>
          <w:color w:val="000000"/>
          <w:sz w:val="19"/>
        </w:rPr>
        <w:t xml:space="preserve">摘要—Linux 檔案隱藏可使核心列舉過的目錄項在 </w:t>
      </w:r>
      <w:r>
        <w:rPr>
          <w:rFonts w:ascii="Times New Roman" w:hAnsi="Times New Roman" w:eastAsia="PMingLiU"/>
          <w:i/>
          <w:color w:val="000000"/>
          <w:sz w:val="19"/>
        </w:rPr>
        <w:t>getdents64</w:t>
      </w:r>
      <w:r>
        <w:rPr>
          <w:rFonts w:ascii="Times New Roman" w:hAnsi="Times New Roman" w:eastAsia="PMingLiU"/>
          <w:i w:val="0"/>
          <w:color w:val="000000"/>
          <w:sz w:val="19"/>
        </w:rPr>
        <w:t xml:space="preserve"> 交付使用者空間前消失。既有 eBPF 時序方法以核心函式執行時間位移辨識 rootkit，但時間也會反映掛接、正常比對、排程與背景負載；只比較上下游數量則會漏掉等量替換。</w:t>
      </w:r>
    </w:p>
    <w:p>
      <w:pPr>
        <w:widowControl/>
        <w:spacing w:before="0" w:after="12" w:line="240" w:lineRule="auto"/>
        <w:ind w:firstLine="259"/>
        <w:jc w:val="both"/>
      </w:pPr>
      <w:r>
        <w:rPr>
          <w:rFonts w:ascii="Times New Roman" w:hAnsi="Times New Roman" w:eastAsia="PMingLiU"/>
          <w:i w:val="0"/>
          <w:color w:val="000000"/>
          <w:sz w:val="19"/>
        </w:rPr>
        <w:t xml:space="preserve">本文將問題限定為：同一次完整目錄列舉中，最外層 </w:t>
      </w:r>
      <w:r>
        <w:rPr>
          <w:rFonts w:ascii="Times New Roman" w:hAnsi="Times New Roman" w:eastAsia="PMingLiU"/>
          <w:i/>
          <w:color w:val="000000"/>
          <w:sz w:val="19"/>
        </w:rPr>
        <w:t>filldir64</w:t>
      </w:r>
      <w:r>
        <w:rPr>
          <w:rFonts w:ascii="Times New Roman" w:hAnsi="Times New Roman" w:eastAsia="PMingLiU"/>
          <w:i w:val="0"/>
          <w:color w:val="000000"/>
          <w:sz w:val="19"/>
        </w:rPr>
        <w:t xml:space="preserve"> 已接受的項目，與使用者從全部 </w:t>
      </w:r>
      <w:r>
        <w:rPr>
          <w:rFonts w:ascii="Times New Roman" w:hAnsi="Times New Roman" w:eastAsia="PMingLiU"/>
          <w:i/>
          <w:color w:val="000000"/>
          <w:sz w:val="19"/>
        </w:rPr>
        <w:t>getdents64</w:t>
      </w:r>
      <w:r>
        <w:rPr>
          <w:rFonts w:ascii="Times New Roman" w:hAnsi="Times New Roman" w:eastAsia="PMingLiU"/>
          <w:i w:val="0"/>
          <w:color w:val="000000"/>
          <w:sz w:val="19"/>
        </w:rPr>
        <w:t xml:space="preserve"> 分頁解析到的項目，是否具有相同身分多重集合。核心端 eBPF 與使用者端 probe 以相同 seed 建立固定大小 fingerprint；摘要不同時，再以相減 Invertible Bloom Lookup Table（IBLT）還原少量 upstream-only 與 downstream-only token。callback 配對、名稱讀取或交易完整性失敗時一律標為 invalid，而不推測正常或攻擊。</w:t>
      </w:r>
    </w:p>
    <w:p>
      <w:pPr>
        <w:widowControl/>
        <w:spacing w:before="0" w:after="12" w:line="240" w:lineRule="auto"/>
        <w:ind w:firstLine="259"/>
        <w:jc w:val="both"/>
      </w:pPr>
      <w:r>
        <w:rPr>
          <w:rFonts w:ascii="Times New Roman" w:hAnsi="Times New Roman" w:eastAsia="PMingLiU"/>
          <w:i w:val="0"/>
          <w:color w:val="000000"/>
          <w:sz w:val="19"/>
        </w:rPr>
        <w:t>正式驗證涵蓋 9 次獨立開機、9 種狀態、4 種負載、4 種 buffer、1,296 批與 25,920 次列舉。D9 在 576 個差異批次全部觸發，720 個無差異控制均未觸發；recall、precision 與 F1 為 100%，FPR 為 0%，相應 Wilson 95% 區間分別為 99.34%–100% 與 0%–0.53%。只比數量的消融對等量替換144/144 批全數漏報，總 recall 為 75%；兩個事前固定的簡單時序比較器 recall 僅 4.86% 與 1.56%，且 FPR 為 7.08% 與 2.36%。11,520 次差異交易的 IBLT 均精確還原。</w:t>
      </w:r>
    </w:p>
    <w:p>
      <w:pPr>
        <w:widowControl/>
        <w:spacing w:before="0" w:after="12" w:line="240" w:lineRule="auto"/>
        <w:ind w:firstLine="259"/>
        <w:jc w:val="both"/>
      </w:pPr>
      <w:r>
        <w:rPr>
          <w:rFonts w:ascii="Times New Roman" w:hAnsi="Times New Roman" w:eastAsia="PMingLiU"/>
          <w:color w:val="000000"/>
          <w:sz w:val="19"/>
        </w:rPr>
        <w:t>外部比較使用同一受控 filldir 隱藏模組。D9 在四個共同情境為 100% recall、0% FPR；Trace of the Times 以測試標籤選最佳 F1 的 fun／seq recall 為 93.89%／98.00%，FPR 為 15.20%／27.18%。Decloaker 測試只用於確認觀測邊界是否適用，不納入效能排名。結果支持的是受測邊界的身分差異偵測；合法政策過濾亦會觸發，不能單獨判定惡意 rootkit。</w:t>
      </w:r>
    </w:p>
    <w:p>
      <w:pPr>
        <w:spacing w:before="20" w:after="60"/>
        <w:jc w:val="both"/>
      </w:pPr>
      <w:r>
        <w:rPr>
          <w:rFonts w:ascii="Times New Roman" w:hAnsi="Times New Roman" w:eastAsia="PMingLiU"/>
          <w:b/>
          <w:color w:val="000000"/>
          <w:sz w:val="19"/>
        </w:rPr>
        <w:t>關鍵詞—</w:t>
      </w:r>
      <w:r>
        <w:rPr>
          <w:rFonts w:ascii="Times New Roman" w:hAnsi="Times New Roman" w:eastAsia="PMingLiU"/>
          <w:i w:val="0"/>
          <w:color w:val="000000"/>
          <w:sz w:val="19"/>
        </w:rPr>
        <w:t>eBPF、Linux rootkit、目錄列舉、跨層一致性、多重集合 fingerprint、IBLT</w:t>
      </w:r>
    </w:p>
    <w:p>
      <w:pPr>
        <w:sectPr>
          <w:footerReference w:type="default" r:id="rId13"/>
          <w:type w:val="continuous"/>
          <w:pgSz w:w="12240" w:h="15840"/>
          <w:pgMar w:top="835" w:right="893" w:bottom="835" w:left="893" w:header="360" w:footer="403" w:gutter="0"/>
          <w:cols w:num="1" w:space="360" w:equalWidth="1"/>
          <w:docGrid w:linePitch="360"/>
        </w:sectPr>
      </w:pPr>
    </w:p>
    <w:p>
      <w:pPr>
        <w:pStyle w:val="SectionHeading"/>
        <w:keepNext/>
        <w:spacing w:before="100" w:after="40"/>
      </w:pPr>
      <w:r>
        <w:rPr>
          <w:rFonts w:ascii="Times New Roman" w:hAnsi="Times New Roman" w:eastAsia="PMingLiU"/>
          <w:b/>
          <w:color w:val="000000"/>
          <w:sz w:val="21"/>
        </w:rPr>
        <w:t>1. 介紹</w:t>
      </w:r>
    </w:p>
    <w:p>
      <w:pPr>
        <w:widowControl/>
        <w:spacing w:before="0" w:after="30" w:line="240" w:lineRule="auto"/>
        <w:ind w:firstLine="259"/>
        <w:jc w:val="both"/>
      </w:pPr>
      <w:r>
        <w:rPr>
          <w:rFonts w:ascii="Times New Roman" w:hAnsi="Times New Roman" w:eastAsia="PMingLiU"/>
          <w:i/>
          <w:color w:val="000000"/>
          <w:sz w:val="19"/>
        </w:rPr>
        <w:t>getdents64</w:t>
      </w:r>
      <w:r>
        <w:rPr>
          <w:rFonts w:ascii="Times New Roman" w:hAnsi="Times New Roman" w:eastAsia="PMingLiU"/>
          <w:i w:val="0"/>
          <w:color w:val="000000"/>
          <w:sz w:val="19"/>
        </w:rPr>
        <w:t xml:space="preserve"> 將 </w:t>
      </w:r>
      <w:r>
        <w:rPr>
          <w:rFonts w:ascii="Times New Roman" w:hAnsi="Times New Roman" w:eastAsia="PMingLiU"/>
          <w:i/>
          <w:color w:val="000000"/>
          <w:sz w:val="19"/>
        </w:rPr>
        <w:t>linux_dirent64</w:t>
      </w:r>
      <w:r>
        <w:rPr>
          <w:rFonts w:ascii="Times New Roman" w:hAnsi="Times New Roman" w:eastAsia="PMingLiU"/>
          <w:i w:val="0"/>
          <w:color w:val="000000"/>
          <w:sz w:val="19"/>
        </w:rPr>
        <w:t xml:space="preserve"> 記錄寫入使用者緩衝區；Linux 的 </w:t>
      </w:r>
      <w:r>
        <w:rPr>
          <w:rFonts w:ascii="Times New Roman" w:hAnsi="Times New Roman" w:eastAsia="PMingLiU"/>
          <w:i/>
          <w:color w:val="000000"/>
          <w:sz w:val="19"/>
        </w:rPr>
        <w:t>filldir64</w:t>
      </w:r>
      <w:r>
        <w:rPr>
          <w:rFonts w:ascii="Times New Roman" w:hAnsi="Times New Roman" w:eastAsia="PMingLiU"/>
          <w:i w:val="0"/>
          <w:color w:val="000000"/>
          <w:sz w:val="19"/>
        </w:rPr>
        <w:t xml:space="preserve"> actor 先檢查名稱與剩餘空間，再提交 inode、型態與名稱 </w:t>
      </w:r>
      <w:r>
        <w:rPr>
          <w:rFonts w:ascii="Times New Roman" w:hAnsi="Times New Roman" w:eastAsia="PMingLiU"/>
          <w:i w:val="0"/>
          <w:color w:val="000000"/>
          <w:sz w:val="19"/>
          <w:vertAlign w:val="superscript"/>
        </w:rPr>
        <w:t>[1]</w:t>
      </w:r>
      <w:r>
        <w:rPr>
          <w:rFonts w:ascii="Times New Roman" w:hAnsi="Times New Roman" w:eastAsia="PMingLiU"/>
          <w:i w:val="0"/>
          <w:color w:val="000000"/>
          <w:sz w:val="19"/>
        </w:rPr>
        <w:t xml:space="preserve">, </w:t>
      </w:r>
      <w:r>
        <w:rPr>
          <w:rFonts w:ascii="Times New Roman" w:hAnsi="Times New Roman" w:eastAsia="PMingLiU"/>
          <w:i w:val="0"/>
          <w:color w:val="000000"/>
          <w:sz w:val="19"/>
          <w:vertAlign w:val="superscript"/>
        </w:rPr>
        <w:t>[2]</w:t>
      </w:r>
      <w:r>
        <w:rPr>
          <w:rFonts w:ascii="Times New Roman" w:hAnsi="Times New Roman" w:eastAsia="PMingLiU"/>
          <w:i w:val="0"/>
          <w:color w:val="000000"/>
          <w:sz w:val="19"/>
        </w:rPr>
        <w:t xml:space="preserve">。檔案隱藏程式可攔截 callback 或修改回傳緩衝區，使檔案仍存在卻不出現在 </w:t>
      </w:r>
      <w:r>
        <w:rPr>
          <w:rFonts w:ascii="Times New Roman" w:hAnsi="Times New Roman" w:eastAsia="PMingLiU"/>
          <w:i/>
          <w:color w:val="000000"/>
          <w:sz w:val="19"/>
        </w:rPr>
        <w:t>ls</w:t>
      </w:r>
      <w:r>
        <w:rPr>
          <w:rFonts w:ascii="Times New Roman" w:hAnsi="Times New Roman" w:eastAsia="PMingLiU"/>
          <w:i w:val="0"/>
          <w:color w:val="000000"/>
          <w:sz w:val="19"/>
        </w:rPr>
        <w:t xml:space="preserve"> 等列舉結果。偵測困難不只在於 hook 形式多樣，也在於觀測訊號是否真的對應「項目消失」。</w:t>
      </w:r>
    </w:p>
    <w:p>
      <w:pPr>
        <w:widowControl/>
        <w:spacing w:before="0" w:after="30" w:line="240" w:lineRule="auto"/>
        <w:ind w:firstLine="259"/>
        <w:jc w:val="both"/>
      </w:pPr>
      <w:r>
        <w:rPr>
          <w:rFonts w:ascii="Times New Roman" w:hAnsi="Times New Roman" w:eastAsia="PMingLiU"/>
          <w:i w:val="0"/>
          <w:color w:val="000000"/>
          <w:sz w:val="19"/>
        </w:rPr>
        <w:t xml:space="preserve">Trace of the Times 以 eBPF 取得相關核心函式時間戳，建構執行時間分布並以統計檢定偵測位移 </w:t>
      </w:r>
      <w:r>
        <w:rPr>
          <w:rFonts w:ascii="Times New Roman" w:hAnsi="Times New Roman" w:eastAsia="PMingLiU"/>
          <w:i w:val="0"/>
          <w:color w:val="000000"/>
          <w:sz w:val="19"/>
          <w:vertAlign w:val="superscript"/>
        </w:rPr>
        <w:t>[3]</w:t>
      </w:r>
      <w:r>
        <w:rPr>
          <w:rFonts w:ascii="Times New Roman" w:hAnsi="Times New Roman" w:eastAsia="PMingLiU"/>
          <w:i w:val="0"/>
          <w:color w:val="000000"/>
          <w:sz w:val="19"/>
        </w:rPr>
        <w:t xml:space="preserve">。這種方法不需已知檔名，但時間是間接代理；掛接、字串比對、排程或負載都可能改變分布。另一方面，跨視圖差分能直接比較資源，但可信低階視圖取得成本與適用檔案系統各異 </w:t>
      </w:r>
      <w:r>
        <w:rPr>
          <w:rFonts w:ascii="Times New Roman" w:hAnsi="Times New Roman" w:eastAsia="PMingLiU"/>
          <w:i w:val="0"/>
          <w:color w:val="000000"/>
          <w:sz w:val="19"/>
          <w:vertAlign w:val="superscript"/>
        </w:rPr>
        <w:t>[4]</w:t>
      </w:r>
      <w:r>
        <w:rPr>
          <w:rFonts w:ascii="Times New Roman" w:hAnsi="Times New Roman" w:eastAsia="PMingLiU"/>
          <w:i w:val="0"/>
          <w:color w:val="000000"/>
          <w:sz w:val="19"/>
        </w:rPr>
        <w:t>。本文因而聚焦於更窄且可驗證的交易邊界：</w:t>
      </w:r>
      <w:r>
        <w:rPr>
          <w:rFonts w:ascii="Times New Roman" w:hAnsi="Times New Roman" w:eastAsia="PMingLiU"/>
          <w:i/>
          <w:color w:val="000000"/>
          <w:sz w:val="19"/>
        </w:rPr>
        <w:t>filldir64</w:t>
      </w:r>
      <w:r>
        <w:rPr>
          <w:rFonts w:ascii="Times New Roman" w:hAnsi="Times New Roman" w:eastAsia="PMingLiU"/>
          <w:i w:val="0"/>
          <w:color w:val="000000"/>
          <w:sz w:val="19"/>
        </w:rPr>
        <w:t xml:space="preserve"> 已接受後至完整 </w:t>
      </w:r>
      <w:r>
        <w:rPr>
          <w:rFonts w:ascii="Times New Roman" w:hAnsi="Times New Roman" w:eastAsia="PMingLiU"/>
          <w:i/>
          <w:color w:val="000000"/>
          <w:sz w:val="19"/>
        </w:rPr>
        <w:t>getdents64</w:t>
      </w:r>
      <w:r>
        <w:rPr>
          <w:rFonts w:ascii="Times New Roman" w:hAnsi="Times New Roman" w:eastAsia="PMingLiU"/>
          <w:i w:val="0"/>
          <w:color w:val="000000"/>
          <w:sz w:val="19"/>
        </w:rPr>
        <w:t xml:space="preserve"> 輸出前。</w:t>
      </w:r>
    </w:p>
    <w:p>
      <w:pPr>
        <w:widowControl/>
        <w:spacing w:before="0" w:after="30" w:line="240" w:lineRule="auto"/>
        <w:ind w:firstLine="259"/>
        <w:jc w:val="both"/>
      </w:pPr>
      <w:r>
        <w:rPr>
          <w:rFonts w:ascii="Times New Roman" w:hAnsi="Times New Roman" w:eastAsia="PMingLiU"/>
          <w:i w:val="0"/>
          <w:color w:val="000000"/>
          <w:sz w:val="19"/>
        </w:rPr>
        <w:t>本研究貢獻有三點。第一，定義 accepted-entry 語意，避免把正常 buffer-full callback 與多頁列舉誤當成項目消失。第二，以固定大小多重集合 fingerprint 偵測身分不一致，再用 IBLT 還原少量差異，因而能辨識 count-only 看不到的等量替換。第三，以多開機、配對控制、分頁、負載、檔案系統、churn、併發與失效注入驗證，並明確將合法政策過濾保留為「會警報但非惡意」控制。</w:t>
      </w:r>
    </w:p>
    <w:p>
      <w:pPr>
        <w:pStyle w:val="SectionHeading"/>
        <w:keepNext/>
        <w:spacing w:before="100" w:after="40"/>
      </w:pPr>
      <w:r>
        <w:rPr>
          <w:rFonts w:ascii="Times New Roman" w:hAnsi="Times New Roman" w:eastAsia="PMingLiU"/>
          <w:b/>
          <w:color w:val="000000"/>
          <w:sz w:val="21"/>
        </w:rPr>
        <w:t>2. 背景與相關研究</w:t>
      </w:r>
    </w:p>
    <w:p>
      <w:pPr>
        <w:pStyle w:val="SubsectionHeading"/>
        <w:keepNext/>
        <w:spacing w:before="60" w:after="20"/>
      </w:pPr>
      <w:r>
        <w:rPr>
          <w:rFonts w:ascii="Times New Roman" w:hAnsi="Times New Roman" w:eastAsia="PMingLiU"/>
          <w:b/>
          <w:i w:val="0"/>
          <w:color w:val="000000"/>
          <w:sz w:val="19"/>
        </w:rPr>
        <w:t>2.1 目錄列舉與觀測邊界</w:t>
      </w:r>
    </w:p>
    <w:p>
      <w:pPr>
        <w:widowControl/>
        <w:spacing w:before="0" w:after="30" w:line="240" w:lineRule="auto"/>
        <w:ind w:firstLine="259"/>
        <w:jc w:val="both"/>
      </w:pPr>
      <w:r>
        <w:rPr>
          <w:rFonts w:ascii="Times New Roman" w:hAnsi="Times New Roman" w:eastAsia="PMingLiU"/>
          <w:i w:val="0"/>
          <w:color w:val="000000"/>
          <w:sz w:val="19"/>
        </w:rPr>
        <w:t>核心原始碼顯示，</w:t>
      </w:r>
      <w:r>
        <w:rPr>
          <w:rFonts w:ascii="Times New Roman" w:hAnsi="Times New Roman" w:eastAsia="PMingLiU"/>
          <w:i/>
          <w:color w:val="000000"/>
          <w:sz w:val="19"/>
        </w:rPr>
        <w:t>getdents64</w:t>
      </w:r>
      <w:r>
        <w:rPr>
          <w:rFonts w:ascii="Times New Roman" w:hAnsi="Times New Roman" w:eastAsia="PMingLiU"/>
          <w:i w:val="0"/>
          <w:color w:val="000000"/>
          <w:sz w:val="19"/>
        </w:rPr>
        <w:t xml:space="preserve"> 以 </w:t>
      </w:r>
      <w:r>
        <w:rPr>
          <w:rFonts w:ascii="Times New Roman" w:hAnsi="Times New Roman" w:eastAsia="PMingLiU"/>
          <w:i/>
          <w:color w:val="000000"/>
          <w:sz w:val="19"/>
        </w:rPr>
        <w:t>filldir64</w:t>
      </w:r>
      <w:r>
        <w:rPr>
          <w:rFonts w:ascii="Times New Roman" w:hAnsi="Times New Roman" w:eastAsia="PMingLiU"/>
          <w:i w:val="0"/>
          <w:color w:val="000000"/>
          <w:sz w:val="19"/>
        </w:rPr>
        <w:t xml:space="preserve"> 作為 actor；當記錄大於剩餘 </w:t>
      </w:r>
      <w:r>
        <w:rPr>
          <w:rFonts w:ascii="Times New Roman" w:hAnsi="Times New Roman" w:eastAsia="PMingLiU"/>
          <w:i/>
          <w:color w:val="000000"/>
          <w:sz w:val="19"/>
        </w:rPr>
        <w:t>ctx-&gt;count</w:t>
      </w:r>
      <w:r>
        <w:rPr>
          <w:rFonts w:ascii="Times New Roman" w:hAnsi="Times New Roman" w:eastAsia="PMingLiU"/>
          <w:i w:val="0"/>
          <w:color w:val="000000"/>
          <w:sz w:val="19"/>
        </w:rPr>
        <w:t>，</w:t>
      </w:r>
      <w:r>
        <w:rPr>
          <w:rFonts w:ascii="Times New Roman" w:hAnsi="Times New Roman" w:eastAsia="PMingLiU"/>
          <w:i/>
          <w:color w:val="000000"/>
          <w:sz w:val="19"/>
        </w:rPr>
        <w:t>filldir64</w:t>
      </w:r>
      <w:r>
        <w:rPr>
          <w:rFonts w:ascii="Times New Roman" w:hAnsi="Times New Roman" w:eastAsia="PMingLiU"/>
          <w:i w:val="0"/>
          <w:color w:val="000000"/>
          <w:sz w:val="19"/>
        </w:rPr>
        <w:t xml:space="preserve"> 返回 false，該項目可在下一頁再次出現 </w:t>
      </w:r>
      <w:r>
        <w:rPr>
          <w:rFonts w:ascii="Times New Roman" w:hAnsi="Times New Roman" w:eastAsia="PMingLiU"/>
          <w:i w:val="0"/>
          <w:color w:val="000000"/>
          <w:sz w:val="19"/>
          <w:vertAlign w:val="superscript"/>
        </w:rPr>
        <w:t>[2]</w:t>
      </w:r>
      <w:r>
        <w:rPr>
          <w:rFonts w:ascii="Times New Roman" w:hAnsi="Times New Roman" w:eastAsia="PMingLiU"/>
          <w:i w:val="0"/>
          <w:color w:val="000000"/>
          <w:sz w:val="19"/>
        </w:rPr>
        <w:t xml:space="preserve">。因此，若在 entry 端看到 callback 就直接計入，上游會多算正常重試。本文在 kretprobe 端僅提交返回 true 的最外層 callback，並令使用者 probe 反覆呼叫 </w:t>
      </w:r>
      <w:r>
        <w:rPr>
          <w:rFonts w:ascii="Times New Roman" w:hAnsi="Times New Roman" w:eastAsia="PMingLiU"/>
          <w:i/>
          <w:color w:val="000000"/>
          <w:sz w:val="19"/>
        </w:rPr>
        <w:t>getdents64</w:t>
      </w:r>
      <w:r>
        <w:rPr>
          <w:rFonts w:ascii="Times New Roman" w:hAnsi="Times New Roman" w:eastAsia="PMingLiU"/>
          <w:i w:val="0"/>
          <w:color w:val="000000"/>
          <w:sz w:val="19"/>
        </w:rPr>
        <w:t xml:space="preserve"> 至 EOF，兩側才具有可比較的提交語意。</w:t>
      </w:r>
    </w:p>
    <w:p>
      <w:pPr>
        <w:pStyle w:val="SubsectionHeading"/>
        <w:keepNext/>
        <w:spacing w:before="60" w:after="20"/>
      </w:pPr>
      <w:r>
        <w:rPr>
          <w:rFonts w:ascii="Times New Roman" w:hAnsi="Times New Roman" w:eastAsia="PMingLiU"/>
          <w:b/>
          <w:i w:val="0"/>
          <w:color w:val="000000"/>
          <w:sz w:val="19"/>
        </w:rPr>
        <w:t>2.2 既有偵測方向</w:t>
      </w:r>
    </w:p>
    <w:p>
      <w:pPr>
        <w:spacing w:before="0" w:after="0"/>
      </w:pPr>
      <w:r>
        <w:rPr>
          <w:rFonts w:ascii="Times New Roman" w:hAnsi="Times New Roman" w:eastAsia="PMingLiU"/>
          <w:color w:val="000000"/>
          <w:sz w:val="19"/>
        </w:rPr>
        <w:br w:type="column"/>
      </w:r>
    </w:p>
    <w:p>
      <w:pPr>
        <w:pStyle w:val="af7"/>
        <w:keepLines/>
        <w:spacing w:before="20" w:after="60"/>
        <w:jc w:val="center"/>
      </w:pPr>
      <w:r>
        <w:rPr>
          <w:rFonts w:ascii="Times New Roman" w:hAnsi="Times New Roman" w:eastAsia="PMingLiU"/>
          <w:color w:val="000000"/>
          <w:sz w:val="17"/>
        </w:rPr>
        <w:t>表 1　相關方法與本文方法之差異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613"/>
        <w:gridCol w:w="2613"/>
        <w:gridCol w:w="2613"/>
        <w:gridCol w:w="2613"/>
      </w:tblGrid>
      <w:tr>
        <w:trPr>
          <w:tblHeader/>
        </w:trPr>
        <w:tc>
          <w:tcPr>
            <w:tcW w:type="dxa" w:w="89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1F1F1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/>
                <w:color w:val="FFFFFF"/>
                <w:sz w:val="15"/>
              </w:rPr>
              <w:t>方法</w:t>
            </w:r>
          </w:p>
        </w:tc>
        <w:tc>
          <w:tcPr>
            <w:tcW w:type="dxa" w:w="112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1F1F1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/>
                <w:color w:val="FFFFFF"/>
                <w:sz w:val="15"/>
              </w:rPr>
              <w:t>觀測</w:t>
            </w:r>
          </w:p>
        </w:tc>
        <w:tc>
          <w:tcPr>
            <w:tcW w:type="dxa" w:w="126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1F1F1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/>
                <w:color w:val="FFFFFF"/>
                <w:sz w:val="15"/>
              </w:rPr>
              <w:t>優點</w:t>
            </w:r>
          </w:p>
        </w:tc>
        <w:tc>
          <w:tcPr>
            <w:tcW w:type="dxa" w:w="123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1F1F1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/>
                <w:color w:val="FFFFFF"/>
                <w:sz w:val="15"/>
              </w:rPr>
              <w:t>限制</w:t>
            </w:r>
          </w:p>
        </w:tc>
      </w:tr>
      <w:tr>
        <w:tc>
          <w:tcPr>
            <w:tcW w:type="dxa" w:w="89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PMingLiU"/>
                <w:b w:val="0"/>
                <w:color w:val="000000"/>
                <w:sz w:val="15"/>
              </w:rPr>
              <w:t xml:space="preserve">Trace of the Times </w:t>
            </w:r>
            <w:r>
              <w:rPr>
                <w:rFonts w:ascii="Times New Roman" w:hAnsi="Times New Roman" w:eastAsia="PMingLiU"/>
                <w:b w:val="0"/>
                <w:color w:val="000000"/>
                <w:sz w:val="15"/>
                <w:vertAlign w:val="superscript"/>
              </w:rPr>
              <w:t>[3,12]</w:t>
            </w:r>
          </w:p>
        </w:tc>
        <w:tc>
          <w:tcPr>
            <w:tcW w:type="dxa" w:w="112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 w:val="0"/>
                <w:color w:val="000000"/>
                <w:sz w:val="15"/>
              </w:rPr>
              <w:t>函式時間分布</w:t>
            </w:r>
          </w:p>
        </w:tc>
        <w:tc>
          <w:tcPr>
            <w:tcW w:type="dxa" w:w="126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 w:val="0"/>
                <w:color w:val="000000"/>
                <w:sz w:val="15"/>
              </w:rPr>
              <w:t>不需已知檔名</w:t>
            </w:r>
          </w:p>
        </w:tc>
        <w:tc>
          <w:tcPr>
            <w:tcW w:type="dxa" w:w="123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 w:val="0"/>
                <w:color w:val="000000"/>
                <w:sz w:val="15"/>
              </w:rPr>
              <w:t>間接、門檻與負載敏感</w:t>
            </w:r>
          </w:p>
        </w:tc>
      </w:tr>
      <w:tr>
        <w:tc>
          <w:tcPr>
            <w:tcW w:type="dxa" w:w="89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2F2F2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PMingLiU"/>
                <w:b w:val="0"/>
                <w:color w:val="000000"/>
                <w:sz w:val="15"/>
              </w:rPr>
              <w:t xml:space="preserve">Cross-view／Decloaker </w:t>
            </w:r>
            <w:r>
              <w:rPr>
                <w:rFonts w:ascii="Times New Roman" w:hAnsi="Times New Roman" w:eastAsia="PMingLiU"/>
                <w:b w:val="0"/>
                <w:color w:val="000000"/>
                <w:sz w:val="15"/>
                <w:vertAlign w:val="superscript"/>
              </w:rPr>
              <w:t>[4,7]</w:t>
            </w:r>
          </w:p>
        </w:tc>
        <w:tc>
          <w:tcPr>
            <w:tcW w:type="dxa" w:w="112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2F2F2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 w:val="0"/>
                <w:color w:val="000000"/>
                <w:sz w:val="15"/>
              </w:rPr>
              <w:t>API 與低階視圖</w:t>
            </w:r>
          </w:p>
        </w:tc>
        <w:tc>
          <w:tcPr>
            <w:tcW w:type="dxa" w:w="126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2F2F2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 w:val="0"/>
                <w:color w:val="000000"/>
                <w:sz w:val="15"/>
              </w:rPr>
              <w:t>可找隱藏資源</w:t>
            </w:r>
          </w:p>
        </w:tc>
        <w:tc>
          <w:tcPr>
            <w:tcW w:type="dxa" w:w="123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2F2F2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 w:val="0"/>
                <w:color w:val="000000"/>
                <w:sz w:val="15"/>
              </w:rPr>
              <w:t>FS／路徑語意相依</w:t>
            </w:r>
          </w:p>
        </w:tc>
      </w:tr>
      <w:tr>
        <w:tc>
          <w:tcPr>
            <w:tcW w:type="dxa" w:w="89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PMingLiU"/>
                <w:b w:val="0"/>
                <w:i w:val="0"/>
                <w:color w:val="000000"/>
                <w:sz w:val="15"/>
              </w:rPr>
              <w:t xml:space="preserve">rkchk </w:t>
            </w:r>
            <w:r>
              <w:rPr>
                <w:rFonts w:ascii="Times New Roman" w:hAnsi="Times New Roman" w:eastAsia="PMingLiU"/>
                <w:b w:val="0"/>
                <w:i w:val="0"/>
                <w:color w:val="000000"/>
                <w:sz w:val="15"/>
                <w:vertAlign w:val="superscript"/>
              </w:rPr>
              <w:t>[6]</w:t>
            </w:r>
          </w:p>
        </w:tc>
        <w:tc>
          <w:tcPr>
            <w:tcW w:type="dxa" w:w="112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 w:val="0"/>
                <w:i w:val="0"/>
                <w:color w:val="000000"/>
                <w:sz w:val="15"/>
              </w:rPr>
              <w:t>dirent 版面完整性</w:t>
            </w:r>
          </w:p>
        </w:tc>
        <w:tc>
          <w:tcPr>
            <w:tcW w:type="dxa" w:w="126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 w:val="0"/>
                <w:i w:val="0"/>
                <w:color w:val="000000"/>
                <w:sz w:val="15"/>
              </w:rPr>
              <w:t>可找 d_reclen 竄改</w:t>
            </w:r>
          </w:p>
        </w:tc>
        <w:tc>
          <w:tcPr>
            <w:tcW w:type="dxa" w:w="123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 w:val="0"/>
                <w:i w:val="0"/>
                <w:color w:val="000000"/>
                <w:sz w:val="15"/>
              </w:rPr>
              <w:t>依特定竄改痕跡</w:t>
            </w:r>
          </w:p>
        </w:tc>
      </w:tr>
      <w:tr>
        <w:tc>
          <w:tcPr>
            <w:tcW w:type="dxa" w:w="89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2F2F2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PMingLiU"/>
                <w:b w:val="0"/>
                <w:i w:val="0"/>
                <w:color w:val="000000"/>
                <w:sz w:val="15"/>
              </w:rPr>
              <w:t xml:space="preserve">逐項 trace </w:t>
            </w:r>
            <w:r>
              <w:rPr>
                <w:rFonts w:ascii="Times New Roman" w:hAnsi="Times New Roman" w:eastAsia="PMingLiU"/>
                <w:b w:val="0"/>
                <w:i w:val="0"/>
                <w:color w:val="000000"/>
                <w:sz w:val="15"/>
                <w:vertAlign w:val="superscript"/>
              </w:rPr>
              <w:t>[8]</w:t>
            </w:r>
          </w:p>
        </w:tc>
        <w:tc>
          <w:tcPr>
            <w:tcW w:type="dxa" w:w="112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2F2F2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 w:val="0"/>
                <w:i w:val="0"/>
                <w:color w:val="000000"/>
                <w:sz w:val="15"/>
              </w:rPr>
              <w:t>保存 callback 名稱</w:t>
            </w:r>
          </w:p>
        </w:tc>
        <w:tc>
          <w:tcPr>
            <w:tcW w:type="dxa" w:w="126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2F2F2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 w:val="0"/>
                <w:i w:val="0"/>
                <w:color w:val="000000"/>
                <w:sz w:val="15"/>
              </w:rPr>
              <w:t>資訊完整</w:t>
            </w:r>
          </w:p>
        </w:tc>
        <w:tc>
          <w:tcPr>
            <w:tcW w:type="dxa" w:w="123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2F2F2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 w:val="0"/>
                <w:i w:val="0"/>
                <w:color w:val="000000"/>
                <w:sz w:val="15"/>
              </w:rPr>
              <w:t>資料量隨目錄增長</w:t>
            </w:r>
          </w:p>
        </w:tc>
      </w:tr>
      <w:tr>
        <w:tc>
          <w:tcPr>
            <w:tcW w:type="dxa" w:w="89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PMingLiU"/>
                <w:b w:val="0"/>
                <w:i w:val="0"/>
                <w:color w:val="000000"/>
                <w:sz w:val="15"/>
              </w:rPr>
              <w:t>本文 D9</w:t>
            </w:r>
          </w:p>
        </w:tc>
        <w:tc>
          <w:tcPr>
            <w:tcW w:type="dxa" w:w="112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 w:val="0"/>
                <w:i w:val="0"/>
                <w:color w:val="000000"/>
                <w:sz w:val="15"/>
              </w:rPr>
              <w:t>同交易身分摘要</w:t>
            </w:r>
          </w:p>
        </w:tc>
        <w:tc>
          <w:tcPr>
            <w:tcW w:type="dxa" w:w="126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 w:val="0"/>
                <w:i w:val="0"/>
                <w:color w:val="000000"/>
                <w:sz w:val="15"/>
              </w:rPr>
              <w:t>偵測＋少量差異還原</w:t>
            </w:r>
          </w:p>
        </w:tc>
        <w:tc>
          <w:tcPr>
            <w:tcW w:type="dxa" w:w="123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 w:val="0"/>
                <w:i w:val="0"/>
                <w:color w:val="000000"/>
                <w:sz w:val="15"/>
              </w:rPr>
              <w:t>邊界限定、機率式</w:t>
            </w:r>
          </w:p>
        </w:tc>
      </w:tr>
    </w:tbl>
    <w:p>
      <w:pPr>
        <w:spacing w:after="0" w:line="120" w:lineRule="auto"/>
      </w:pPr>
    </w:p>
    <w:p>
      <w:pPr>
        <w:widowControl/>
        <w:spacing w:before="0" w:after="30" w:line="240" w:lineRule="auto"/>
        <w:ind w:firstLine="259"/>
        <w:jc w:val="both"/>
      </w:pPr>
      <w:r>
        <w:rPr>
          <w:rFonts w:ascii="Times New Roman" w:hAnsi="Times New Roman" w:eastAsia="PMingLiU"/>
          <w:color w:val="000000"/>
          <w:sz w:val="19"/>
        </w:rPr>
        <w:t xml:space="preserve">既有綜述將核心層 rootkit 偵測區分為完整性、行為與跨視圖等證據方向 </w:t>
      </w:r>
      <w:r>
        <w:rPr>
          <w:rFonts w:ascii="Times New Roman" w:hAnsi="Times New Roman" w:eastAsia="PMingLiU"/>
          <w:color w:val="000000"/>
          <w:sz w:val="19"/>
          <w:vertAlign w:val="superscript"/>
        </w:rPr>
        <w:t>[10]</w:t>
      </w:r>
      <w:r>
        <w:rPr>
          <w:rFonts w:ascii="Times New Roman" w:hAnsi="Times New Roman" w:eastAsia="PMingLiU"/>
          <w:color w:val="000000"/>
          <w:sz w:val="19"/>
        </w:rPr>
        <w:t xml:space="preserve">。Drootkit 著重核心函式與物件完整性 </w:t>
      </w:r>
      <w:r>
        <w:rPr>
          <w:rFonts w:ascii="Times New Roman" w:hAnsi="Times New Roman" w:eastAsia="PMingLiU"/>
          <w:color w:val="000000"/>
          <w:sz w:val="19"/>
          <w:vertAlign w:val="superscript"/>
        </w:rPr>
        <w:t>[5]</w:t>
      </w:r>
      <w:r>
        <w:rPr>
          <w:rFonts w:ascii="Times New Roman" w:hAnsi="Times New Roman" w:eastAsia="PMingLiU"/>
          <w:color w:val="000000"/>
          <w:sz w:val="19"/>
        </w:rPr>
        <w:t xml:space="preserve">；rkchk 檢查 getdents64 回傳記錄的 d_reclen 合併痕跡，並提供函式完整性等檢查 </w:t>
      </w:r>
      <w:r>
        <w:rPr>
          <w:rFonts w:ascii="Times New Roman" w:hAnsi="Times New Roman" w:eastAsia="PMingLiU"/>
          <w:color w:val="000000"/>
          <w:sz w:val="19"/>
          <w:vertAlign w:val="superscript"/>
        </w:rPr>
        <w:t>[6]</w:t>
      </w:r>
      <w:r>
        <w:rPr>
          <w:rFonts w:ascii="Times New Roman" w:hAnsi="Times New Roman" w:eastAsia="PMingLiU"/>
          <w:color w:val="000000"/>
          <w:sz w:val="19"/>
        </w:rPr>
        <w:t xml:space="preserve">。Decloaker 比較 libc、直接 syscall、mmap 與 raw ext4 視圖；其 disk compare 對 raw-disk 列出的完整路徑逐一查詢，受檔案系統與路徑可存取性影響 </w:t>
      </w:r>
      <w:r>
        <w:rPr>
          <w:rFonts w:ascii="Times New Roman" w:hAnsi="Times New Roman" w:eastAsia="PMingLiU"/>
          <w:color w:val="000000"/>
          <w:sz w:val="19"/>
          <w:vertAlign w:val="superscript"/>
        </w:rPr>
        <w:t>[7]</w:t>
      </w:r>
      <w:r>
        <w:rPr>
          <w:rFonts w:ascii="Times New Roman" w:hAnsi="Times New Roman" w:eastAsia="PMingLiU"/>
          <w:color w:val="000000"/>
          <w:sz w:val="19"/>
        </w:rPr>
        <w:t xml:space="preserve">。逐項 trace 可直接保存 callback 名稱，但事件量隨 N 成長 </w:t>
      </w:r>
      <w:r>
        <w:rPr>
          <w:rFonts w:ascii="Times New Roman" w:hAnsi="Times New Roman" w:eastAsia="PMingLiU"/>
          <w:color w:val="000000"/>
          <w:sz w:val="19"/>
          <w:vertAlign w:val="superscript"/>
        </w:rPr>
        <w:t>[8]</w:t>
      </w:r>
      <w:r>
        <w:rPr>
          <w:rFonts w:ascii="Times New Roman" w:hAnsi="Times New Roman" w:eastAsia="PMingLiU"/>
          <w:color w:val="000000"/>
          <w:sz w:val="19"/>
        </w:rPr>
        <w:t>。上述方法觀測不同證據，不是等價替代。</w:t>
      </w:r>
    </w:p>
    <w:p>
      <w:pPr>
        <w:widowControl/>
        <w:spacing w:before="0" w:after="30" w:line="240" w:lineRule="auto"/>
        <w:ind w:firstLine="259"/>
        <w:jc w:val="both"/>
      </w:pPr>
      <w:r>
        <w:rPr>
          <w:rFonts w:ascii="Times New Roman" w:hAnsi="Times New Roman" w:eastAsia="PMingLiU"/>
          <w:i w:val="0"/>
          <w:color w:val="000000"/>
          <w:sz w:val="19"/>
        </w:rPr>
        <w:t xml:space="preserve">IBLT 是可插入、刪除並在負載低於設計門檻時高機率列出內容的機率式資料結構 </w:t>
      </w:r>
      <w:r>
        <w:rPr>
          <w:rFonts w:ascii="Times New Roman" w:hAnsi="Times New Roman" w:eastAsia="PMingLiU"/>
          <w:i w:val="0"/>
          <w:color w:val="000000"/>
          <w:sz w:val="19"/>
          <w:vertAlign w:val="superscript"/>
        </w:rPr>
        <w:t>[9]</w:t>
      </w:r>
      <w:r>
        <w:rPr>
          <w:rFonts w:ascii="Times New Roman" w:hAnsi="Times New Roman" w:eastAsia="PMingLiU"/>
          <w:i w:val="0"/>
          <w:color w:val="000000"/>
          <w:sz w:val="19"/>
        </w:rPr>
        <w:t>。本文不是提出新的集合演算法，而是把 fingerprint 與 IBLT 轉化為 Linux 目錄列舉的逐交易安全量測。在本次檢索到的論文與公開工具中，尚未發現同時處理 accepted callback、完整分頁、量測 invalid與上下游差異還原的相同設計；此敘述限於已檢索來源，不宣稱無條件全球首創。</w:t>
      </w:r>
    </w:p>
    <w:p>
      <w:pPr>
        <w:pStyle w:val="SectionHeading"/>
        <w:keepNext/>
        <w:spacing w:before="100" w:after="40"/>
      </w:pPr>
      <w:r>
        <w:rPr>
          <w:rFonts w:ascii="Times New Roman" w:hAnsi="Times New Roman" w:eastAsia="PMingLiU"/>
          <w:b/>
          <w:color w:val="000000"/>
          <w:sz w:val="21"/>
        </w:rPr>
        <w:t>3. 研究問題與威脅模型</w:t>
      </w:r>
    </w:p>
    <w:p>
      <w:pPr>
        <w:pStyle w:val="SubsectionHeading"/>
        <w:keepNext/>
        <w:spacing w:before="60" w:after="20"/>
      </w:pPr>
      <w:r>
        <w:rPr>
          <w:rFonts w:ascii="Times New Roman" w:hAnsi="Times New Roman" w:eastAsia="PMingLiU"/>
          <w:b/>
          <w:i w:val="0"/>
          <w:color w:val="000000"/>
          <w:sz w:val="19"/>
        </w:rPr>
        <w:t>3.1 研究問題</w:t>
      </w:r>
    </w:p>
    <w:p>
      <w:pPr>
        <w:widowControl/>
        <w:spacing w:before="0" w:after="30" w:line="240" w:lineRule="auto"/>
        <w:ind w:firstLine="259"/>
        <w:jc w:val="both"/>
      </w:pPr>
      <w:r>
        <w:rPr>
          <w:rFonts w:ascii="Times New Roman" w:hAnsi="Times New Roman" w:eastAsia="PMingLiU"/>
          <w:color w:val="000000"/>
          <w:sz w:val="19"/>
        </w:rPr>
        <w:t>RQ1：固定大小摘要能否偵測此邊界的不一致？RQ2：相較 count-only，能否辨識等量替換？RQ3：容量足夠時能否還原差異，容量不足或量測失敗時又不錯誤成功？RQ4：在共用受控隱藏語意下，D9 與 Trace of the Times 完整 offline shift 流程的偵測率有何差異；Decloaker 對此列舉隱藏語意是否具有相符的觀測邊界？</w:t>
      </w:r>
    </w:p>
    <w:p>
      <w:pPr>
        <w:pStyle w:val="SubsectionHeading"/>
        <w:keepNext/>
        <w:spacing w:before="60" w:after="20"/>
      </w:pPr>
      <w:r>
        <w:rPr>
          <w:rFonts w:ascii="Times New Roman" w:hAnsi="Times New Roman" w:eastAsia="PMingLiU"/>
          <w:b/>
          <w:i w:val="0"/>
          <w:color w:val="000000"/>
          <w:sz w:val="19"/>
        </w:rPr>
        <w:t>3.2 能力與信任假設</w:t>
      </w:r>
    </w:p>
    <w:p>
      <w:pPr>
        <w:widowControl/>
        <w:spacing w:before="0" w:after="30" w:line="240" w:lineRule="auto"/>
        <w:ind w:firstLine="259"/>
        <w:jc w:val="both"/>
      </w:pPr>
      <w:r>
        <w:rPr>
          <w:rFonts w:ascii="Times New Roman" w:hAnsi="Times New Roman" w:eastAsia="PMingLiU"/>
          <w:color w:val="000000"/>
          <w:sz w:val="19"/>
        </w:rPr>
        <w:t>攻擊／過濾模組可在 filldir64 返回後至 getdents64 交付前移除或改寫 dirent。本文信任 eBPF 量測、使用者 probe、PID 配對、seed 與分析程序；不處理 filldir64 前的隱藏，也不抵抗能同時偽造兩個觀測面、停用量測、讀取 seed 後構造碰撞，或依 probe 的 PID、comm、UID／呼叫特徵選擇性放行隱藏項目的核心攻擊者。警報定義為此邊界的身分不一致，而不是惡意分類。</w:t>
      </w:r>
    </w:p>
    <w:p>
      <w:pPr>
        <w:pStyle w:val="SectionHeading"/>
        <w:keepNext/>
        <w:spacing w:before="100" w:after="40"/>
      </w:pPr>
      <w:r>
        <w:rPr>
          <w:rFonts w:ascii="Times New Roman" w:hAnsi="Times New Roman" w:eastAsia="PMingLiU"/>
          <w:b/>
          <w:color w:val="000000"/>
          <w:sz w:val="21"/>
        </w:rPr>
        <w:t>4. D9 方法</w:t>
      </w:r>
    </w:p>
    <w:p>
      <w:pPr>
        <w:keepNext/>
        <w:spacing w:before="40" w:after="0"/>
        <w:jc w:val="center"/>
      </w:pPr>
      <w:r>
        <w:rPr>
          <w:rFonts w:ascii="Times New Roman" w:hAnsi="Times New Roman" w:eastAsia="PMingLiU"/>
          <w:color w:val="000000"/>
          <w:sz w:val="19"/>
        </w:rPr>
        <w:drawing>
          <wp:inline xmlns:a="http://schemas.openxmlformats.org/drawingml/2006/main" xmlns:pic="http://schemas.openxmlformats.org/drawingml/2006/picture">
            <wp:extent cx="2816352" cy="2440838"/>
            <wp:docPr id="1" name="Picture 1" descr="D9 逐交易流程：accepted filldir64 與完整 getdents64 分頁各自建立 fingerprint 和 IBLT，先檢核量測完整性，再比較並還原差異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1_metho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16352" cy="2440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7"/>
        <w:keepLines/>
        <w:spacing w:before="20" w:after="60"/>
        <w:jc w:val="center"/>
      </w:pPr>
      <w:r>
        <w:rPr>
          <w:rFonts w:ascii="Times New Roman" w:hAnsi="Times New Roman" w:eastAsia="PMingLiU"/>
          <w:color w:val="000000"/>
          <w:sz w:val="17"/>
        </w:rPr>
        <w:t>圖 1　`filldir64` 至 `getdents64` 的跨層調和流程</w:t>
      </w:r>
    </w:p>
    <w:p>
      <w:pPr>
        <w:pStyle w:val="SubsectionHeading"/>
        <w:keepNext/>
        <w:spacing w:before="60" w:after="20"/>
      </w:pPr>
      <w:r>
        <w:rPr>
          <w:rFonts w:ascii="Times New Roman" w:hAnsi="Times New Roman" w:eastAsia="PMingLiU"/>
          <w:b/>
          <w:i w:val="0"/>
          <w:color w:val="000000"/>
          <w:sz w:val="19"/>
        </w:rPr>
        <w:t>4.1 項目身分與多重集合指紋</w:t>
      </w:r>
    </w:p>
    <w:p>
      <w:pPr>
        <w:widowControl/>
        <w:spacing w:before="0" w:after="30" w:line="240" w:lineRule="auto"/>
        <w:ind w:firstLine="259"/>
        <w:jc w:val="both"/>
      </w:pPr>
      <w:r>
        <w:rPr>
          <w:rFonts w:ascii="Times New Roman" w:hAnsi="Times New Roman" w:eastAsia="PMingLiU"/>
          <w:i w:val="0"/>
          <w:color w:val="000000"/>
          <w:sz w:val="19"/>
        </w:rPr>
        <w:t xml:space="preserve">對目錄項 e，以每 campaign 隨機 seed 將名稱 bytes、inode 與 </w:t>
      </w:r>
      <w:r>
        <w:rPr>
          <w:rFonts w:ascii="Times New Roman" w:hAnsi="Times New Roman" w:eastAsia="PMingLiU"/>
          <w:i/>
          <w:color w:val="000000"/>
          <w:sz w:val="19"/>
        </w:rPr>
        <w:t>d_type</w:t>
      </w:r>
      <w:r>
        <w:rPr>
          <w:rFonts w:ascii="Times New Roman" w:hAnsi="Times New Roman" w:eastAsia="PMingLiU"/>
          <w:i w:val="0"/>
          <w:color w:val="000000"/>
          <w:sz w:val="19"/>
        </w:rPr>
        <w:t xml:space="preserve"> 轉成 token。上、下游各保存 count 與兩個 64-bit 模數加總，形成順序無關且保留重複次數的 fingerprint：</w:t>
      </w:r>
    </w:p>
    <w:p>
      <w:pPr>
        <w:pStyle w:val="Equation"/>
        <w:spacing w:after="40"/>
        <w:jc w:val="center"/>
      </w:pPr>
      <w:r>
        <w:rPr>
          <w:rFonts w:ascii="Times New Roman" w:hAnsi="Times New Roman" w:eastAsia="PMingLiU"/>
          <w:i/>
          <w:color w:val="000000"/>
          <w:sz w:val="19"/>
        </w:rPr>
        <w:t>F(S) = (|S|, Σ h₁(e) mod 2⁶⁴, Σ h₂(e) mod 2⁶⁴).</w:t>
      </w:r>
    </w:p>
    <w:p>
      <w:pPr>
        <w:widowControl/>
        <w:spacing w:before="0" w:after="30" w:line="240" w:lineRule="auto"/>
        <w:ind w:firstLine="259"/>
        <w:jc w:val="both"/>
      </w:pPr>
      <w:r>
        <w:rPr>
          <w:rFonts w:ascii="Times New Roman" w:hAnsi="Times New Roman" w:eastAsia="PMingLiU"/>
          <w:color w:val="000000"/>
          <w:sz w:val="19"/>
        </w:rPr>
        <w:t>h₁ 先以 seed 混入 FNV-1a 處理名稱 bytes，再以 SplitMix64 finalizer 混合 inode、d_type 與名稱長度；h₂ 對 h₁、inode、d_type 與另一常數鹽再作 64-bit SplitMix64 組合。兩者是非密碼學構造，未證明為pairwise-independent／universal hash family。若僅作理想均勻 64-bit 假設，n 個 token 至少一對 h₁ 碰撞的union bound 為 n(n−1)/2⁶⁵；n=65,536 時約 1.16×10⁻¹⁰。這不是 fingerprint 雙加總的形式保證，也不適用於掌握 seed 的適應性攻擊者；因此相同摘要只代表本次未觀察到差異。</w:t>
      </w:r>
    </w:p>
    <w:p>
      <w:pPr>
        <w:pStyle w:val="SubsectionHeading"/>
        <w:keepNext/>
        <w:spacing w:before="60" w:after="20"/>
      </w:pPr>
      <w:r>
        <w:rPr>
          <w:rFonts w:ascii="Times New Roman" w:hAnsi="Times New Roman" w:eastAsia="PMingLiU"/>
          <w:b/>
          <w:i w:val="0"/>
          <w:color w:val="000000"/>
          <w:sz w:val="19"/>
        </w:rPr>
        <w:t>4.2 IBLT 差異還原</w:t>
      </w:r>
    </w:p>
    <w:p>
      <w:pPr>
        <w:widowControl/>
        <w:spacing w:before="0" w:after="30" w:line="240" w:lineRule="auto"/>
        <w:ind w:firstLine="259"/>
        <w:jc w:val="both"/>
      </w:pPr>
      <w:r>
        <w:rPr>
          <w:rFonts w:ascii="Times New Roman" w:hAnsi="Times New Roman" w:eastAsia="PMingLiU"/>
          <w:color w:val="000000"/>
          <w:sz w:val="19"/>
        </w:rPr>
        <w:t xml:space="preserve">每個 token 以三個位置寫入 IBLT cell；cell 保存 signed count 與 key、inode、型態及 check 的 XOR。對 IBLT(U)−IBLT(V) peeling；成功才輸出兩側獨有 token，失敗只回報差異存在、不得猜測 </w:t>
      </w:r>
      <w:r>
        <w:rPr>
          <w:rFonts w:ascii="Times New Roman" w:hAnsi="Times New Roman" w:eastAsia="PMingLiU"/>
          <w:color w:val="000000"/>
          <w:sz w:val="19"/>
          <w:vertAlign w:val="superscript"/>
        </w:rPr>
        <w:t>[9]</w:t>
      </w:r>
      <w:r>
        <w:rPr>
          <w:rFonts w:ascii="Times New Roman" w:hAnsi="Times New Roman" w:eastAsia="PMingLiU"/>
          <w:color w:val="000000"/>
          <w:sz w:val="19"/>
        </w:rPr>
        <w:t>。正式設定 256 cells 對最大 32 個 symmetric-difference token，8× 是事前凍結的工程安全邊際，不是理論成功保證。</w:t>
      </w:r>
    </w:p>
    <w:p>
      <w:pPr>
        <w:pStyle w:val="SubsectionHeading"/>
        <w:keepNext/>
        <w:spacing w:before="60" w:after="20"/>
      </w:pPr>
      <w:r>
        <w:rPr>
          <w:rFonts w:ascii="Times New Roman" w:hAnsi="Times New Roman" w:eastAsia="PMingLiU"/>
          <w:b/>
          <w:i w:val="0"/>
          <w:color w:val="000000"/>
          <w:sz w:val="19"/>
        </w:rPr>
        <w:t>4.3 交易完整性與判定</w:t>
      </w:r>
    </w:p>
    <w:p>
      <w:pPr>
        <w:widowControl/>
        <w:spacing w:before="0" w:after="30" w:line="240" w:lineRule="auto"/>
        <w:ind w:firstLine="259"/>
        <w:jc w:val="both"/>
      </w:pPr>
      <w:r>
        <w:rPr>
          <w:rFonts w:ascii="Times New Roman" w:hAnsi="Times New Roman" w:eastAsia="PMingLiU"/>
          <w:i w:val="0"/>
          <w:color w:val="000000"/>
          <w:sz w:val="19"/>
        </w:rPr>
        <w:t>Controller 以 PID 配對同一次完整列舉。callback 深度／配對、名稱讀取、map 更新、seed、cell數、probe 結束或分頁完成性任一失敗即標為 invalid；invalid 不併入陰性或陽性。有效交易依序判定：(1) fingerprint 相同：未觀察到差異；(2) 不同且 IBLT 成功：差異且已定位；(3) 不同但IBLT 失敗：差異存在、未能定位。</w:t>
      </w:r>
    </w:p>
    <w:p>
      <w:pPr>
        <w:pStyle w:val="SectionHeading"/>
        <w:keepNext/>
        <w:spacing w:before="100" w:after="40"/>
      </w:pPr>
      <w:r>
        <w:rPr>
          <w:rFonts w:ascii="Times New Roman" w:hAnsi="Times New Roman" w:eastAsia="PMingLiU"/>
          <w:b/>
          <w:color w:val="000000"/>
          <w:sz w:val="21"/>
        </w:rPr>
        <w:t>5. 實作與實驗設計</w:t>
      </w:r>
    </w:p>
    <w:p>
      <w:pPr>
        <w:pStyle w:val="SubsectionHeading"/>
        <w:keepNext/>
        <w:spacing w:before="60" w:after="20"/>
      </w:pPr>
      <w:r>
        <w:rPr>
          <w:rFonts w:ascii="Times New Roman" w:hAnsi="Times New Roman" w:eastAsia="PMingLiU"/>
          <w:b/>
          <w:i w:val="0"/>
          <w:color w:val="000000"/>
          <w:sz w:val="19"/>
        </w:rPr>
        <w:t>5.1 系統實作</w:t>
      </w:r>
    </w:p>
    <w:p>
      <w:pPr>
        <w:widowControl/>
        <w:spacing w:before="0" w:after="30" w:line="240" w:lineRule="auto"/>
        <w:ind w:firstLine="259"/>
        <w:jc w:val="left"/>
      </w:pPr>
      <w:r>
        <w:rPr>
          <w:rFonts w:ascii="Times New Roman" w:hAnsi="Times New Roman" w:eastAsia="PMingLiU"/>
          <w:color w:val="000000"/>
          <w:sz w:val="19"/>
        </w:rPr>
        <w:t>核心 collector 以 BCC eBPF kprobe/kretprobe 監看 Ubuntu 22.04.5、Linux 6.8.0-138-generic x86-64 的 filldir64；使用者 C probe 直接呼叫 getdents64。外部比較使用 Trace of the Times commit 269d9b0b、Decloaker v0.0.9（source commit 5a2ca88e）與 ext4 /dev/sda2。rkchk commit a9f4e496 需要作者 Rust-for-Linux 自訂核心，本階段未執行。正式開始前凍結 detector、資料切分、門檻、排除規則與 source hash。</w:t>
      </w:r>
    </w:p>
    <w:p>
      <w:pPr>
        <w:pStyle w:val="SubsectionHeading"/>
        <w:keepNext/>
        <w:spacing w:before="60" w:after="20"/>
      </w:pPr>
      <w:r>
        <w:rPr>
          <w:rFonts w:ascii="Times New Roman" w:hAnsi="Times New Roman" w:eastAsia="PMingLiU"/>
          <w:b/>
          <w:i w:val="0"/>
          <w:color w:val="000000"/>
          <w:sz w:val="19"/>
        </w:rPr>
        <w:t>5.2 狀態、因子與控制</w:t>
      </w:r>
    </w:p>
    <w:p>
      <w:pPr>
        <w:pStyle w:val="af7"/>
        <w:keepLines/>
        <w:spacing w:before="20" w:after="60"/>
        <w:jc w:val="center"/>
      </w:pPr>
      <w:r>
        <w:rPr>
          <w:rFonts w:ascii="Times New Roman" w:hAnsi="Times New Roman" w:eastAsia="PMingLiU"/>
          <w:color w:val="000000"/>
          <w:sz w:val="17"/>
        </w:rPr>
        <w:t>表 2　正式九種狀態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485"/>
        <w:gridCol w:w="3485"/>
        <w:gridCol w:w="3485"/>
      </w:tblGrid>
      <w:tr>
        <w:trPr>
          <w:tblHeader/>
        </w:trPr>
        <w:tc>
          <w:tcPr>
            <w:tcW w:type="dxa" w:w="148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1F1F1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/>
                <w:color w:val="FFFFFF"/>
                <w:sz w:val="15"/>
              </w:rPr>
              <w:t>狀態</w:t>
            </w:r>
          </w:p>
        </w:tc>
        <w:tc>
          <w:tcPr>
            <w:tcW w:type="dxa" w:w="194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1F1F1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/>
                <w:color w:val="FFFFFF"/>
                <w:sz w:val="15"/>
              </w:rPr>
              <w:t>處理</w:t>
            </w:r>
          </w:p>
        </w:tc>
        <w:tc>
          <w:tcPr>
            <w:tcW w:type="dxa" w:w="109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1F1F1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/>
                <w:color w:val="FFFFFF"/>
                <w:sz w:val="15"/>
              </w:rPr>
              <w:t>真值</w:t>
            </w:r>
          </w:p>
        </w:tc>
      </w:tr>
      <w:tr>
        <w:tc>
          <w:tcPr>
            <w:tcW w:type="dxa" w:w="148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PMingLiU"/>
                <w:b w:val="0"/>
                <w:i w:val="0"/>
                <w:color w:val="000000"/>
                <w:sz w:val="15"/>
              </w:rPr>
              <w:t>unloaded</w:t>
            </w:r>
          </w:p>
        </w:tc>
        <w:tc>
          <w:tcPr>
            <w:tcW w:type="dxa" w:w="194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 w:val="0"/>
                <w:i w:val="0"/>
                <w:color w:val="000000"/>
                <w:sz w:val="15"/>
              </w:rPr>
              <w:t>無模組</w:t>
            </w:r>
          </w:p>
        </w:tc>
        <w:tc>
          <w:tcPr>
            <w:tcW w:type="dxa" w:w="109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 w:val="0"/>
                <w:i w:val="0"/>
                <w:color w:val="000000"/>
                <w:sz w:val="15"/>
              </w:rPr>
              <w:t>無差異</w:t>
            </w:r>
          </w:p>
        </w:tc>
      </w:tr>
      <w:tr>
        <w:tc>
          <w:tcPr>
            <w:tcW w:type="dxa" w:w="148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2F2F2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PMingLiU"/>
                <w:b w:val="0"/>
                <w:i w:val="0"/>
                <w:color w:val="000000"/>
                <w:sz w:val="15"/>
              </w:rPr>
              <w:t>filldir/getdents pass</w:t>
            </w:r>
          </w:p>
        </w:tc>
        <w:tc>
          <w:tcPr>
            <w:tcW w:type="dxa" w:w="194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2F2F2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 w:val="0"/>
                <w:i w:val="0"/>
                <w:color w:val="000000"/>
                <w:sz w:val="15"/>
              </w:rPr>
              <w:t>掛接、原樣轉送</w:t>
            </w:r>
          </w:p>
        </w:tc>
        <w:tc>
          <w:tcPr>
            <w:tcW w:type="dxa" w:w="109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2F2F2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 w:val="0"/>
                <w:i w:val="0"/>
                <w:color w:val="000000"/>
                <w:sz w:val="15"/>
              </w:rPr>
              <w:t>2 個無差異狀態</w:t>
            </w:r>
          </w:p>
        </w:tc>
      </w:tr>
      <w:tr>
        <w:tc>
          <w:tcPr>
            <w:tcW w:type="dxa" w:w="148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PMingLiU"/>
                <w:b w:val="0"/>
                <w:i w:val="0"/>
                <w:color w:val="000000"/>
                <w:sz w:val="15"/>
              </w:rPr>
              <w:t>filldir/getdents active</w:t>
            </w:r>
          </w:p>
        </w:tc>
        <w:tc>
          <w:tcPr>
            <w:tcW w:type="dxa" w:w="194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 w:val="0"/>
                <w:i w:val="0"/>
                <w:color w:val="000000"/>
                <w:sz w:val="15"/>
              </w:rPr>
              <w:t>解析／比對、不略過</w:t>
            </w:r>
          </w:p>
        </w:tc>
        <w:tc>
          <w:tcPr>
            <w:tcW w:type="dxa" w:w="109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 w:val="0"/>
                <w:i w:val="0"/>
                <w:color w:val="000000"/>
                <w:sz w:val="15"/>
              </w:rPr>
              <w:t>2 個無差異狀態</w:t>
            </w:r>
          </w:p>
        </w:tc>
      </w:tr>
      <w:tr>
        <w:tc>
          <w:tcPr>
            <w:tcW w:type="dxa" w:w="148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2F2F2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PMingLiU"/>
                <w:b w:val="0"/>
                <w:i w:val="0"/>
                <w:color w:val="000000"/>
                <w:sz w:val="15"/>
              </w:rPr>
              <w:t>filldir/getdents hiding</w:t>
            </w:r>
          </w:p>
        </w:tc>
        <w:tc>
          <w:tcPr>
            <w:tcW w:type="dxa" w:w="194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2F2F2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 w:val="0"/>
                <w:i w:val="0"/>
                <w:color w:val="000000"/>
                <w:sz w:val="15"/>
              </w:rPr>
              <w:t>callback／dirent 抑制</w:t>
            </w:r>
          </w:p>
        </w:tc>
        <w:tc>
          <w:tcPr>
            <w:tcW w:type="dxa" w:w="109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2F2F2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 w:val="0"/>
                <w:i w:val="0"/>
                <w:color w:val="000000"/>
                <w:sz w:val="15"/>
              </w:rPr>
              <w:t>2 個移除狀態</w:t>
            </w:r>
          </w:p>
        </w:tc>
      </w:tr>
      <w:tr>
        <w:tc>
          <w:tcPr>
            <w:tcW w:type="dxa" w:w="148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PMingLiU"/>
                <w:b w:val="0"/>
                <w:i w:val="0"/>
                <w:color w:val="000000"/>
                <w:sz w:val="15"/>
              </w:rPr>
              <w:t>substitution / policy</w:t>
            </w:r>
          </w:p>
        </w:tc>
        <w:tc>
          <w:tcPr>
            <w:tcW w:type="dxa" w:w="194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 w:val="0"/>
                <w:i w:val="0"/>
                <w:color w:val="000000"/>
                <w:sz w:val="15"/>
              </w:rPr>
              <w:t>等量改寫／授權過濾</w:t>
            </w:r>
          </w:p>
        </w:tc>
        <w:tc>
          <w:tcPr>
            <w:tcW w:type="dxa" w:w="1094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 w:val="0"/>
                <w:i w:val="0"/>
                <w:color w:val="000000"/>
                <w:sz w:val="15"/>
              </w:rPr>
              <w:t>一進一出／良性差異</w:t>
            </w:r>
          </w:p>
        </w:tc>
      </w:tr>
    </w:tbl>
    <w:p>
      <w:pPr>
        <w:spacing w:after="0" w:line="120" w:lineRule="auto"/>
      </w:pPr>
    </w:p>
    <w:p>
      <w:pPr>
        <w:widowControl/>
        <w:spacing w:before="0" w:after="30" w:line="240" w:lineRule="auto"/>
        <w:ind w:firstLine="259"/>
        <w:jc w:val="both"/>
      </w:pPr>
      <w:r>
        <w:rPr>
          <w:rFonts w:ascii="Times New Roman" w:hAnsi="Times New Roman" w:eastAsia="PMingLiU"/>
          <w:i w:val="0"/>
          <w:color w:val="000000"/>
          <w:sz w:val="19"/>
        </w:rPr>
        <w:t>正式矩陣為 9 狀態 × 4 負載（baseline、CPU、memory、mixed）× 4 buffer（128、256、4,096、65,536 bytes）× 9 獨立開機；每格 1 批、每批 20 次列舉，共 1,296 批與 25,920 次交易。九次開機以 cyclic rotation 使每個狀態各在九個 episode 位置出現一次，每 boot 使用不同的兩個64-bit seed。所有批次及失敗均保留。</w:t>
      </w:r>
    </w:p>
    <w:p>
      <w:pPr>
        <w:pStyle w:val="SubsectionHeading"/>
        <w:keepNext/>
        <w:spacing w:before="60" w:after="20"/>
      </w:pPr>
      <w:r>
        <w:rPr>
          <w:rFonts w:ascii="Times New Roman" w:hAnsi="Times New Roman" w:eastAsia="PMingLiU"/>
          <w:b/>
          <w:i w:val="0"/>
          <w:color w:val="000000"/>
          <w:sz w:val="19"/>
        </w:rPr>
        <w:t>5.3 比較器與評估</w:t>
      </w:r>
    </w:p>
    <w:p>
      <w:pPr>
        <w:widowControl/>
        <w:spacing w:before="0" w:after="30" w:line="240" w:lineRule="auto"/>
        <w:ind w:firstLine="259"/>
        <w:jc w:val="both"/>
      </w:pPr>
      <w:r>
        <w:rPr>
          <w:rFonts w:ascii="Times New Roman" w:hAnsi="Times New Roman" w:eastAsia="PMingLiU"/>
          <w:color w:val="000000"/>
          <w:sz w:val="19"/>
        </w:rPr>
        <w:t>內部消融 D8 count 只比較項目數；D9 比較身分 fingerprint 並用 IBLT 定位。MAD 與 upper-envelope 是由正式資料外 240 個控制批次凍結的簡單 timing 基線，不是 Trace of the Times。內部主要指標為 batch-level recall、FPR、precision、F1 與 Wilson 95% CI；另驗證 exact recovery、invalid、時間與輸出量。</w:t>
      </w:r>
    </w:p>
    <w:p>
      <w:pPr>
        <w:pStyle w:val="SubsectionHeading"/>
      </w:pPr>
      <w:r>
        <w:rPr>
          <w:rFonts w:ascii="Times New Roman" w:hAnsi="Times New Roman" w:eastAsia="PMingLiU"/>
          <w:b/>
          <w:color w:val="000000"/>
          <w:sz w:val="19"/>
        </w:rPr>
        <w:t>5.4 外部方法正式比較</w:t>
      </w:r>
    </w:p>
    <w:p>
      <w:pPr/>
      <w:r>
        <w:rPr>
          <w:rFonts w:ascii="Times New Roman" w:hAnsi="Times New Roman" w:eastAsia="PMingLiU"/>
          <w:color w:val="000000"/>
          <w:sz w:val="19"/>
        </w:rPr>
        <w:t xml:space="preserve">Trace of the Times 使用作者公開 probe 與 evaluate.py，在本研究 VM 重新收集，而非使用作者已發布資料集 </w:t>
      </w:r>
      <w:r>
        <w:rPr>
          <w:rFonts w:ascii="Times New Roman" w:hAnsi="Times New Roman" w:eastAsia="PMingLiU"/>
          <w:color w:val="000000"/>
          <w:sz w:val="19"/>
          <w:vertAlign w:val="superscript"/>
        </w:rPr>
        <w:t>[3,12]</w:t>
      </w:r>
      <w:r>
        <w:rPr>
          <w:rFonts w:ascii="Times New Roman" w:hAnsi="Times New Roman" w:eastAsia="PMingLiU"/>
          <w:color w:val="000000"/>
          <w:sz w:val="19"/>
        </w:rPr>
        <w:t xml:space="preserve">。Trace 與 D9 共用同一個 CARAXES-derived 五鉤子 ftrace 模組 </w:t>
      </w:r>
      <w:r>
        <w:rPr>
          <w:rFonts w:ascii="Times New Roman" w:hAnsi="Times New Roman" w:eastAsia="PMingLiU"/>
          <w:color w:val="000000"/>
          <w:sz w:val="19"/>
          <w:vertAlign w:val="superscript"/>
        </w:rPr>
        <w:t>[11]</w:t>
      </w:r>
      <w:r>
        <w:rPr>
          <w:rFonts w:ascii="Times New Roman" w:hAnsi="Times New Roman" w:eastAsia="PMingLiU"/>
          <w:color w:val="000000"/>
          <w:sz w:val="19"/>
        </w:rPr>
        <w:t>：名稱含 caraxes 時直接返回 true、不呼叫原 actor。因此這是同一受控攻擊下的偵測法比較，且攻擊點與 D9 邊界對齊；不是獨立攻擊實作的外部泛化證據。兩者沿用相同 fixture 生成規則與負載，但分別建立、分別執行，並非逐 inode、順序或列舉實例完全相同。</w:t>
      </w:r>
    </w:p>
    <w:p>
      <w:pPr/>
      <w:r>
        <w:rPr>
          <w:rFonts w:ascii="Times New Roman" w:hAnsi="Times New Roman" w:eastAsia="PMingLiU"/>
          <w:color w:val="000000"/>
          <w:sz w:val="19"/>
        </w:rPr>
        <w:t>四情境每個情境有 150 個正常與 100 個隱藏批次。每次 repeat 以 train_ratio=0.333 從正常資料取 50 批建立參考分布；其餘 100 個正常批次與全部 100 個隱藏批次進入測試。原 evaluator 再在這些測試標籤上掃描 100 個門檻並取最大 F1，故 train_ratio 與 oracle 門檻並不矛盾。初始擴充 lock 尚含舊式 getdents/filldir 的 ls_basic；排除決定是在 Trace收集途中由原始碼稽核發現範圍不符後、D9 外部矩陣與 Trace 評估之前作成。這是有偏差紀錄的 protocol amendment，不是最初即預註冊，也不是看分類結果後挑選。五情境結果仍完整報告。</w:t>
      </w:r>
    </w:p>
    <w:p>
      <w:pPr/>
      <w:r>
        <w:rPr>
          <w:rFonts w:ascii="Times New Roman" w:hAnsi="Times New Roman" w:eastAsia="PMingLiU"/>
          <w:color w:val="000000"/>
          <w:sz w:val="19"/>
        </w:rPr>
        <w:t xml:space="preserve">Decloaker 使用官方 disk ls --compare 路徑 </w:t>
      </w:r>
      <w:r>
        <w:rPr>
          <w:rFonts w:ascii="Times New Roman" w:hAnsi="Times New Roman" w:eastAsia="PMingLiU"/>
          <w:color w:val="000000"/>
          <w:sz w:val="19"/>
          <w:vertAlign w:val="superscript"/>
        </w:rPr>
        <w:t>[7]</w:t>
      </w:r>
      <w:r>
        <w:rPr>
          <w:rFonts w:ascii="Times New Roman" w:hAnsi="Times New Roman" w:eastAsia="PMingLiU"/>
          <w:color w:val="000000"/>
          <w:sz w:val="19"/>
        </w:rPr>
        <w:t>。九開機四狀態矩陣（unloaded、filldir_pass、filldir_active、filldir_hiding）只檢查 CARAXES-like filldir 隱藏及其負控制對該工具是否可見，不是完整 D9 狀態比較；getdents_hiding、substitution 與 policy_filter 未測，不能由現有 0% 推定其結果。D9 的 720 次事後子集僅與其生成規則、規模、狀態和負載匹配；兩方法使用不同九次開機與不同 fixture 實例，不比較逐次延遲。</w:t>
      </w:r>
    </w:p>
    <w:p>
      <w:pPr>
        <w:pStyle w:val="SectionHeading"/>
        <w:keepNext/>
        <w:spacing w:before="100" w:after="40"/>
      </w:pPr>
      <w:r>
        <w:rPr>
          <w:rFonts w:ascii="Times New Roman" w:hAnsi="Times New Roman" w:eastAsia="PMingLiU"/>
          <w:b/>
          <w:color w:val="000000"/>
          <w:sz w:val="21"/>
        </w:rPr>
        <w:t>6. 結果</w:t>
      </w:r>
    </w:p>
    <w:p>
      <w:pPr>
        <w:pStyle w:val="SubsectionHeading"/>
        <w:keepNext/>
        <w:spacing w:before="60" w:after="20"/>
      </w:pPr>
      <w:r>
        <w:rPr>
          <w:rFonts w:ascii="Times New Roman" w:hAnsi="Times New Roman" w:eastAsia="PMingLiU"/>
          <w:b/>
          <w:i w:val="0"/>
          <w:color w:val="000000"/>
          <w:sz w:val="19"/>
        </w:rPr>
        <w:t>6.1 正式資料完整性與主要成效</w:t>
      </w:r>
    </w:p>
    <w:p>
      <w:pPr>
        <w:widowControl/>
        <w:spacing w:before="0" w:after="30" w:line="240" w:lineRule="auto"/>
        <w:ind w:firstLine="259"/>
        <w:jc w:val="both"/>
      </w:pPr>
      <w:r>
        <w:rPr>
          <w:rFonts w:ascii="Times New Roman" w:hAnsi="Times New Roman" w:eastAsia="PMingLiU"/>
          <w:i w:val="0"/>
          <w:color w:val="000000"/>
          <w:sz w:val="19"/>
        </w:rPr>
        <w:t>九個 boot ID 均不同；1,296/1,296 批通過 treatment 與 transaction audit，25,920/25,920 次量測有效；runner、eBPF、hash header、probe 與八個受控模組的 SHA-256 均與 lock 一致。正類是四個確實造成此邊界差異的狀態，共 576 批；五個無差異控制共 720 批。</w:t>
      </w:r>
    </w:p>
    <w:p>
      <w:pPr>
        <w:pStyle w:val="af7"/>
        <w:keepLines/>
        <w:spacing w:before="20" w:after="60"/>
        <w:jc w:val="center"/>
      </w:pPr>
      <w:r>
        <w:rPr>
          <w:rFonts w:ascii="Times New Roman" w:hAnsi="Times New Roman" w:eastAsia="PMingLiU"/>
          <w:color w:val="000000"/>
          <w:sz w:val="17"/>
        </w:rPr>
        <w:t>表 3　正式批次層級結果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091"/>
        <w:gridCol w:w="2091"/>
        <w:gridCol w:w="2091"/>
        <w:gridCol w:w="2091"/>
        <w:gridCol w:w="2091"/>
      </w:tblGrid>
      <w:tr>
        <w:trPr>
          <w:tblHeader/>
        </w:trPr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1F1F1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/>
                <w:color w:val="FFFFFF"/>
                <w:sz w:val="15"/>
              </w:rPr>
              <w:t>方法</w:t>
            </w:r>
          </w:p>
        </w:tc>
        <w:tc>
          <w:tcPr>
            <w:tcW w:type="dxa" w:w="691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1F1F1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/>
                <w:color w:val="FFFFFF"/>
                <w:sz w:val="15"/>
              </w:rPr>
              <w:t>Recall</w:t>
            </w:r>
          </w:p>
        </w:tc>
        <w:tc>
          <w:tcPr>
            <w:tcW w:type="dxa" w:w="66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1F1F1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/>
                <w:color w:val="FFFFFF"/>
                <w:sz w:val="15"/>
              </w:rPr>
              <w:t>FPR</w:t>
            </w:r>
          </w:p>
        </w:tc>
        <w:tc>
          <w:tcPr>
            <w:tcW w:type="dxa" w:w="70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1F1F1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/>
                <w:color w:val="FFFFFF"/>
                <w:sz w:val="15"/>
              </w:rPr>
              <w:t>Prec.</w:t>
            </w:r>
          </w:p>
        </w:tc>
        <w:tc>
          <w:tcPr>
            <w:tcW w:type="dxa" w:w="70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1F1F1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/>
                <w:color w:val="FFFFFF"/>
                <w:sz w:val="15"/>
              </w:rPr>
              <w:t>F1</w:t>
            </w:r>
          </w:p>
        </w:tc>
      </w:tr>
      <w:tr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PMingLiU"/>
                <w:b w:val="0"/>
                <w:i w:val="0"/>
                <w:color w:val="000000"/>
                <w:sz w:val="15"/>
              </w:rPr>
              <w:t>D9 fingerprint+IBLT</w:t>
            </w:r>
          </w:p>
        </w:tc>
        <w:tc>
          <w:tcPr>
            <w:tcW w:type="dxa" w:w="691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 w:val="0"/>
                <w:i w:val="0"/>
                <w:color w:val="000000"/>
                <w:sz w:val="15"/>
              </w:rPr>
              <w:t>100%</w:t>
            </w:r>
          </w:p>
        </w:tc>
        <w:tc>
          <w:tcPr>
            <w:tcW w:type="dxa" w:w="66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 w:val="0"/>
                <w:i w:val="0"/>
                <w:color w:val="000000"/>
                <w:sz w:val="15"/>
              </w:rPr>
              <w:t>0%</w:t>
            </w:r>
          </w:p>
        </w:tc>
        <w:tc>
          <w:tcPr>
            <w:tcW w:type="dxa" w:w="70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 w:val="0"/>
                <w:i w:val="0"/>
                <w:color w:val="000000"/>
                <w:sz w:val="15"/>
              </w:rPr>
              <w:t>100%</w:t>
            </w:r>
          </w:p>
        </w:tc>
        <w:tc>
          <w:tcPr>
            <w:tcW w:type="dxa" w:w="70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 w:val="0"/>
                <w:i w:val="0"/>
                <w:color w:val="000000"/>
                <w:sz w:val="15"/>
              </w:rPr>
              <w:t>100%</w:t>
            </w:r>
          </w:p>
        </w:tc>
      </w:tr>
      <w:tr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2F2F2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PMingLiU"/>
                <w:b w:val="0"/>
                <w:i w:val="0"/>
                <w:color w:val="000000"/>
                <w:sz w:val="15"/>
              </w:rPr>
              <w:t>D8 count</w:t>
            </w:r>
          </w:p>
        </w:tc>
        <w:tc>
          <w:tcPr>
            <w:tcW w:type="dxa" w:w="691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2F2F2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 w:val="0"/>
                <w:i w:val="0"/>
                <w:color w:val="000000"/>
                <w:sz w:val="15"/>
              </w:rPr>
              <w:t>75.00%</w:t>
            </w:r>
          </w:p>
        </w:tc>
        <w:tc>
          <w:tcPr>
            <w:tcW w:type="dxa" w:w="66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2F2F2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 w:val="0"/>
                <w:i w:val="0"/>
                <w:color w:val="000000"/>
                <w:sz w:val="15"/>
              </w:rPr>
              <w:t>0%</w:t>
            </w:r>
          </w:p>
        </w:tc>
        <w:tc>
          <w:tcPr>
            <w:tcW w:type="dxa" w:w="70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2F2F2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 w:val="0"/>
                <w:i w:val="0"/>
                <w:color w:val="000000"/>
                <w:sz w:val="15"/>
              </w:rPr>
              <w:t>100%</w:t>
            </w:r>
          </w:p>
        </w:tc>
        <w:tc>
          <w:tcPr>
            <w:tcW w:type="dxa" w:w="70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2F2F2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 w:val="0"/>
                <w:i w:val="0"/>
                <w:color w:val="000000"/>
                <w:sz w:val="15"/>
              </w:rPr>
              <w:t>85.71%</w:t>
            </w:r>
          </w:p>
        </w:tc>
      </w:tr>
      <w:tr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PMingLiU"/>
                <w:b w:val="0"/>
                <w:i w:val="0"/>
                <w:color w:val="000000"/>
                <w:sz w:val="15"/>
              </w:rPr>
              <w:t>Timing MAD</w:t>
            </w:r>
          </w:p>
        </w:tc>
        <w:tc>
          <w:tcPr>
            <w:tcW w:type="dxa" w:w="691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 w:val="0"/>
                <w:i w:val="0"/>
                <w:color w:val="000000"/>
                <w:sz w:val="15"/>
              </w:rPr>
              <w:t>4.86%</w:t>
            </w:r>
          </w:p>
        </w:tc>
        <w:tc>
          <w:tcPr>
            <w:tcW w:type="dxa" w:w="66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 w:val="0"/>
                <w:i w:val="0"/>
                <w:color w:val="000000"/>
                <w:sz w:val="15"/>
              </w:rPr>
              <w:t>7.08%</w:t>
            </w:r>
          </w:p>
        </w:tc>
        <w:tc>
          <w:tcPr>
            <w:tcW w:type="dxa" w:w="70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 w:val="0"/>
                <w:i w:val="0"/>
                <w:color w:val="000000"/>
                <w:sz w:val="15"/>
              </w:rPr>
              <w:t>35.44%</w:t>
            </w:r>
          </w:p>
        </w:tc>
        <w:tc>
          <w:tcPr>
            <w:tcW w:type="dxa" w:w="70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 w:val="0"/>
                <w:i w:val="0"/>
                <w:color w:val="000000"/>
                <w:sz w:val="15"/>
              </w:rPr>
              <w:t>8.55%</w:t>
            </w:r>
          </w:p>
        </w:tc>
      </w:tr>
      <w:tr>
        <w:tc>
          <w:tcPr>
            <w:tcW w:type="dxa" w:w="1757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2F2F2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PMingLiU"/>
                <w:b w:val="0"/>
                <w:i w:val="0"/>
                <w:color w:val="000000"/>
                <w:sz w:val="15"/>
              </w:rPr>
              <w:t>Timing envelope</w:t>
            </w:r>
          </w:p>
        </w:tc>
        <w:tc>
          <w:tcPr>
            <w:tcW w:type="dxa" w:w="691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2F2F2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 w:val="0"/>
                <w:i w:val="0"/>
                <w:color w:val="000000"/>
                <w:sz w:val="15"/>
              </w:rPr>
              <w:t>1.56%</w:t>
            </w:r>
          </w:p>
        </w:tc>
        <w:tc>
          <w:tcPr>
            <w:tcW w:type="dxa" w:w="66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2F2F2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 w:val="0"/>
                <w:i w:val="0"/>
                <w:color w:val="000000"/>
                <w:sz w:val="15"/>
              </w:rPr>
              <w:t>2.36%</w:t>
            </w:r>
          </w:p>
        </w:tc>
        <w:tc>
          <w:tcPr>
            <w:tcW w:type="dxa" w:w="70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2F2F2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 w:val="0"/>
                <w:i w:val="0"/>
                <w:color w:val="000000"/>
                <w:sz w:val="15"/>
              </w:rPr>
              <w:t>34.62%</w:t>
            </w:r>
          </w:p>
        </w:tc>
        <w:tc>
          <w:tcPr>
            <w:tcW w:type="dxa" w:w="70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2F2F2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 w:val="0"/>
                <w:i w:val="0"/>
                <w:color w:val="000000"/>
                <w:sz w:val="15"/>
              </w:rPr>
              <w:t>2.99%</w:t>
            </w:r>
          </w:p>
        </w:tc>
      </w:tr>
    </w:tbl>
    <w:p>
      <w:pPr>
        <w:spacing w:after="0" w:line="120" w:lineRule="auto"/>
      </w:pPr>
    </w:p>
    <w:p>
      <w:pPr>
        <w:keepNext/>
        <w:spacing w:before="40" w:after="0"/>
        <w:jc w:val="center"/>
      </w:pPr>
      <w:r>
        <w:rPr>
          <w:rFonts w:ascii="Times New Roman" w:hAnsi="Times New Roman" w:eastAsia="PMingLiU"/>
          <w:color w:val="000000"/>
          <w:sz w:val="19"/>
        </w:rPr>
        <w:drawing>
          <wp:inline xmlns:a="http://schemas.openxmlformats.org/drawingml/2006/main" xmlns:pic="http://schemas.openxmlformats.org/drawingml/2006/picture">
            <wp:extent cx="2816352" cy="2182673"/>
            <wp:docPr id="2" name="Picture 2" descr="D9、count 與兩個固定 timing 比較器在正式批次的 recall 和 false-positive rate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2_resul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16352" cy="21826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7"/>
        <w:keepLines/>
        <w:spacing w:before="20" w:after="60"/>
        <w:jc w:val="center"/>
      </w:pPr>
      <w:r>
        <w:rPr>
          <w:rFonts w:ascii="Times New Roman" w:hAnsi="Times New Roman" w:eastAsia="PMingLiU"/>
          <w:color w:val="000000"/>
          <w:sz w:val="17"/>
        </w:rPr>
        <w:t>圖 2　正式批次 recall 與 FPR（百分比）</w:t>
      </w:r>
    </w:p>
    <w:p>
      <w:pPr>
        <w:widowControl/>
        <w:spacing w:before="0" w:after="30" w:line="240" w:lineRule="auto"/>
        <w:ind w:firstLine="259"/>
        <w:jc w:val="both"/>
      </w:pPr>
      <w:r>
        <w:rPr>
          <w:rFonts w:ascii="Times New Roman" w:hAnsi="Times New Roman" w:eastAsia="PMingLiU"/>
          <w:color w:val="000000"/>
          <w:sz w:val="19"/>
        </w:rPr>
        <w:t>D9 為 TP=576、FN=0、FP=0、TN=720；recall、precision 與 F1 皆 100%，FPR 為 0%。以批次當Bernoulli 單位計算的 Wilson 95% 區間為 recall 99.34%–100%、FPR 0%–0.53%，但同一 boot 內批次可能相關，故此區間只作描述，不能當成 576／720 個完全獨立環境。以 boot 作較保守單位，9/9 boot 均同時達成全部差異批次命中與控制零警報；其成功比例 Wilson 區間為 70.09%–100%。</w:t>
      </w:r>
    </w:p>
    <w:p>
      <w:pPr>
        <w:pStyle w:val="SubsectionHeading"/>
        <w:keepNext/>
        <w:spacing w:before="60" w:after="20"/>
      </w:pPr>
      <w:r>
        <w:rPr>
          <w:rFonts w:ascii="Times New Roman" w:hAnsi="Times New Roman" w:eastAsia="PMingLiU"/>
          <w:b/>
          <w:i w:val="0"/>
          <w:color w:val="000000"/>
          <w:sz w:val="19"/>
        </w:rPr>
        <w:t>6.2 等量替換與 timing 混淆</w:t>
      </w:r>
    </w:p>
    <w:p>
      <w:pPr>
        <w:widowControl/>
        <w:spacing w:before="0" w:after="30" w:line="240" w:lineRule="auto"/>
        <w:ind w:firstLine="259"/>
        <w:jc w:val="both"/>
      </w:pPr>
      <w:r>
        <w:rPr>
          <w:rFonts w:ascii="Times New Roman" w:hAnsi="Times New Roman" w:eastAsia="PMingLiU"/>
          <w:i w:val="0"/>
          <w:color w:val="000000"/>
          <w:sz w:val="19"/>
        </w:rPr>
        <w:t>D8 count 對純移除有效，但 substitution 保持項目數與回傳 bytes 不變，故 144/144 批全數漏報；D9 因比較身分，144/144 批均觸發並還原一進一出。Timing 警報則主要集中於 filldir ftrace 路徑：正常 pass、正常字串比對與 hiding 的警報率相近，而三個 getdents 差異狀態皆未被辨識。這支持時間較易反映掛接與額外處理、未必直接反映項目差異的限定結論；不能外推為所有統計或機器學習 timing 方法均失效。</w:t>
      </w:r>
    </w:p>
    <w:p>
      <w:pPr>
        <w:pStyle w:val="SubsectionHeading"/>
        <w:keepNext/>
        <w:spacing w:before="60" w:after="20"/>
      </w:pPr>
      <w:r>
        <w:rPr>
          <w:rFonts w:ascii="Times New Roman" w:hAnsi="Times New Roman" w:eastAsia="PMingLiU"/>
          <w:b/>
          <w:i w:val="0"/>
          <w:color w:val="000000"/>
          <w:sz w:val="19"/>
        </w:rPr>
        <w:t>6.3 IBLT、邊界與失效</w:t>
      </w:r>
    </w:p>
    <w:p>
      <w:pPr>
        <w:widowControl/>
        <w:spacing w:before="0" w:after="30" w:line="240" w:lineRule="auto"/>
        <w:ind w:firstLine="259"/>
        <w:jc w:val="both"/>
      </w:pPr>
      <w:r>
        <w:rPr>
          <w:rFonts w:ascii="Times New Roman" w:hAnsi="Times New Roman" w:eastAsia="PMingLiU"/>
          <w:color w:val="000000"/>
          <w:sz w:val="19"/>
        </w:rPr>
        <w:t>正式差異交易 11,520/11,520 次精確還原；錯誤成功與 invalid 均為 0/25,920。原列 Wilson 區間99.967%–100% 與上界 0.0148% 是交易層描述值；同條件重複具有群聚／近決定性，不能取代 boot-level 或跨環境推論。開發 boundary suite 中 128/128 真差異皆由 fingerprint 偵測、0/91 控制警報；210 個可解碼案例全對，9 個刻意不足容量案例均 fail closed，沒有錯誤名單。</w:t>
      </w:r>
    </w:p>
    <w:p>
      <w:pPr>
        <w:widowControl/>
        <w:spacing w:before="0" w:after="30" w:line="240" w:lineRule="auto"/>
        <w:ind w:firstLine="259"/>
        <w:jc w:val="both"/>
      </w:pPr>
      <w:r>
        <w:rPr>
          <w:rFonts w:ascii="Times New Roman" w:hAnsi="Times New Roman" w:eastAsia="PMingLiU"/>
          <w:color w:val="000000"/>
          <w:sz w:val="19"/>
        </w:rPr>
        <w:t>開發期 IBLT 壓力模擬涵蓋 missing／substitution、symmetric difference 1–512、1×／2×／4×／8×，每格 128 次，共 10,240 trials。解碼成功為 441/2,560、2,406/2,560、2,550/2,560、2,560/2,560；所有組合均無 fingerprint false-equal 或錯誤成功。這支持 8× 候選容量，但仍是單次開發模擬，正式九開機矩陣沒有貼近臨界容量，不能寫成形式證明。另有 30 個 churn／多 PID／fault-injection 與24 個檔案系統／namespace 案例，皆只作邊界證據。</w:t>
      </w:r>
    </w:p>
    <w:p>
      <w:pPr>
        <w:pStyle w:val="SubsectionHeading"/>
        <w:keepNext/>
        <w:spacing w:before="60" w:after="20"/>
      </w:pPr>
      <w:r>
        <w:rPr>
          <w:rFonts w:ascii="Times New Roman" w:hAnsi="Times New Roman" w:eastAsia="PMingLiU"/>
          <w:b/>
          <w:i w:val="0"/>
          <w:color w:val="000000"/>
          <w:sz w:val="19"/>
        </w:rPr>
        <w:t>6.4 成本</w:t>
      </w:r>
    </w:p>
    <w:p>
      <w:pPr>
        <w:pStyle w:val="af7"/>
        <w:keepLines/>
        <w:spacing w:before="20" w:after="60"/>
        <w:jc w:val="center"/>
      </w:pPr>
      <w:r>
        <w:rPr>
          <w:rFonts w:ascii="Times New Roman" w:hAnsi="Times New Roman" w:eastAsia="PMingLiU"/>
          <w:color w:val="000000"/>
          <w:sz w:val="17"/>
        </w:rPr>
        <w:t>表 4　Exact-trace protocol：D9 與逐項 accepted-entry 基線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091"/>
        <w:gridCol w:w="2091"/>
        <w:gridCol w:w="2091"/>
        <w:gridCol w:w="2091"/>
        <w:gridCol w:w="2091"/>
      </w:tblGrid>
      <w:tr>
        <w:trPr>
          <w:tblHeader/>
        </w:trPr>
        <w:tc>
          <w:tcPr>
            <w:tcW w:type="dxa" w:w="80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1F1F1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/>
                <w:color w:val="FFFFFF"/>
                <w:sz w:val="15"/>
              </w:rPr>
              <w:t>項目</w:t>
            </w:r>
          </w:p>
        </w:tc>
        <w:tc>
          <w:tcPr>
            <w:tcW w:type="dxa" w:w="80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1F1F1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/>
                <w:color w:val="FFFFFF"/>
                <w:sz w:val="15"/>
              </w:rPr>
              <w:t>D9 ms</w:t>
            </w:r>
          </w:p>
        </w:tc>
        <w:tc>
          <w:tcPr>
            <w:tcW w:type="dxa" w:w="9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1F1F1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/>
                <w:color w:val="FFFFFF"/>
                <w:sz w:val="15"/>
              </w:rPr>
              <w:t>Exact ms</w:t>
            </w:r>
          </w:p>
        </w:tc>
        <w:tc>
          <w:tcPr>
            <w:tcW w:type="dxa" w:w="9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1F1F1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/>
                <w:color w:val="FFFFFF"/>
                <w:sz w:val="15"/>
              </w:rPr>
              <w:t>D9 KiB</w:t>
            </w:r>
          </w:p>
        </w:tc>
        <w:tc>
          <w:tcPr>
            <w:tcW w:type="dxa" w:w="100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1F1F1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/>
                <w:color w:val="FFFFFF"/>
                <w:sz w:val="15"/>
              </w:rPr>
              <w:t>Exact KiB</w:t>
            </w:r>
          </w:p>
        </w:tc>
      </w:tr>
      <w:tr>
        <w:tc>
          <w:tcPr>
            <w:tcW w:type="dxa" w:w="80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PMingLiU"/>
                <w:b w:val="0"/>
                <w:i w:val="0"/>
                <w:color w:val="000000"/>
                <w:sz w:val="15"/>
              </w:rPr>
              <w:t>8,192</w:t>
            </w:r>
          </w:p>
        </w:tc>
        <w:tc>
          <w:tcPr>
            <w:tcW w:type="dxa" w:w="80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 w:val="0"/>
                <w:i w:val="0"/>
                <w:color w:val="000000"/>
                <w:sz w:val="15"/>
              </w:rPr>
              <w:t>40.72</w:t>
            </w:r>
          </w:p>
        </w:tc>
        <w:tc>
          <w:tcPr>
            <w:tcW w:type="dxa" w:w="9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 w:val="0"/>
                <w:i w:val="0"/>
                <w:color w:val="000000"/>
                <w:sz w:val="15"/>
              </w:rPr>
              <w:t>243.07</w:t>
            </w:r>
          </w:p>
        </w:tc>
        <w:tc>
          <w:tcPr>
            <w:tcW w:type="dxa" w:w="9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 w:val="0"/>
                <w:i w:val="0"/>
                <w:color w:val="000000"/>
                <w:sz w:val="15"/>
              </w:rPr>
              <w:t>12.02</w:t>
            </w:r>
          </w:p>
        </w:tc>
        <w:tc>
          <w:tcPr>
            <w:tcW w:type="dxa" w:w="100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 w:val="0"/>
                <w:i w:val="0"/>
                <w:color w:val="000000"/>
                <w:sz w:val="15"/>
              </w:rPr>
              <w:t>2,240.55</w:t>
            </w:r>
          </w:p>
        </w:tc>
      </w:tr>
      <w:tr>
        <w:tc>
          <w:tcPr>
            <w:tcW w:type="dxa" w:w="80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2F2F2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PMingLiU"/>
                <w:b w:val="0"/>
                <w:i w:val="0"/>
                <w:color w:val="000000"/>
                <w:sz w:val="15"/>
              </w:rPr>
              <w:t>65,536</w:t>
            </w:r>
          </w:p>
        </w:tc>
        <w:tc>
          <w:tcPr>
            <w:tcW w:type="dxa" w:w="806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2F2F2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 w:val="0"/>
                <w:i w:val="0"/>
                <w:color w:val="000000"/>
                <w:sz w:val="15"/>
              </w:rPr>
              <w:t>221.62</w:t>
            </w:r>
          </w:p>
        </w:tc>
        <w:tc>
          <w:tcPr>
            <w:tcW w:type="dxa" w:w="9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2F2F2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 w:val="0"/>
                <w:i w:val="0"/>
                <w:color w:val="000000"/>
                <w:sz w:val="15"/>
              </w:rPr>
              <w:t>2,480.72</w:t>
            </w:r>
          </w:p>
        </w:tc>
        <w:tc>
          <w:tcPr>
            <w:tcW w:type="dxa" w:w="95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2F2F2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 w:val="0"/>
                <w:i w:val="0"/>
                <w:color w:val="000000"/>
                <w:sz w:val="15"/>
              </w:rPr>
              <w:t>12.02</w:t>
            </w:r>
          </w:p>
        </w:tc>
        <w:tc>
          <w:tcPr>
            <w:tcW w:type="dxa" w:w="100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2F2F2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 w:val="0"/>
                <w:i w:val="0"/>
                <w:color w:val="000000"/>
                <w:sz w:val="15"/>
              </w:rPr>
              <w:t>17,920.55</w:t>
            </w:r>
          </w:p>
        </w:tc>
      </w:tr>
    </w:tbl>
    <w:p>
      <w:pPr>
        <w:spacing w:after="0" w:line="120" w:lineRule="auto"/>
      </w:pPr>
    </w:p>
    <w:p>
      <w:pPr>
        <w:widowControl/>
        <w:spacing w:before="0" w:after="30" w:line="240" w:lineRule="auto"/>
        <w:ind w:firstLine="259"/>
        <w:jc w:val="both"/>
      </w:pPr>
      <w:r>
        <w:rPr>
          <w:rFonts w:ascii="Times New Roman" w:hAnsi="Times New Roman" w:eastAsia="PMingLiU"/>
          <w:color w:val="000000"/>
          <w:sz w:val="19"/>
        </w:rPr>
        <w:t>兩個成本 protocol 不混算。Paired-overhead protocol 每個 repeat 10 次列舉，65,536 項的 raw probe、userspace fingerprint-only 與完整 D9 分別為 38.18、48.68、183.18 ms，D9/raw=4.80×。表 4 是另一個每個 repeat 2 次列舉的 exact-trace protocol；其中完整 D9 為 221.62 ms，逐項 map trace 為 2,480.72 ms，輸出量為 12.02 與 17,920.55 KiB。舊稿中無法對應任一 protocol 的錯值已刪除。完整 D9 的額外成本同時包含 probes、名稱讀取、hash、maps、三個 IBLT cell 更新及控制器讀取；無消融不能歸因為 IBLT 單一成本。</w:t>
      </w:r>
    </w:p>
    <w:p>
      <w:pPr>
        <w:pStyle w:val="SubsectionHeading"/>
      </w:pPr>
      <w:r>
        <w:rPr>
          <w:rFonts w:ascii="Times New Roman" w:hAnsi="Times New Roman" w:eastAsia="PMingLiU"/>
          <w:b/>
          <w:color w:val="000000"/>
          <w:sz w:val="19"/>
        </w:rPr>
        <w:t>6.5 外部方法完整比較</w:t>
      </w:r>
    </w:p>
    <w:p>
      <w:pPr>
        <w:pStyle w:val="af7"/>
      </w:pPr>
      <w:r>
        <w:rPr>
          <w:rFonts w:ascii="Times New Roman" w:hAnsi="Times New Roman" w:eastAsia="PMingLiU"/>
          <w:color w:val="000000"/>
          <w:sz w:val="17"/>
        </w:rPr>
        <w:t>表 5　共同四情境：D9 與 Trace of the Times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091"/>
        <w:gridCol w:w="2091"/>
        <w:gridCol w:w="2091"/>
        <w:gridCol w:w="2091"/>
        <w:gridCol w:w="2091"/>
      </w:tblGrid>
      <w:tr>
        <w:tc>
          <w:tcPr>
            <w:tcW w:type="dxa" w:w="208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1F1F1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/>
                <w:color w:val="FFFFFF"/>
                <w:sz w:val="14"/>
              </w:rPr>
              <w:t>方法與矩陣</w:t>
            </w:r>
          </w:p>
        </w:tc>
        <w:tc>
          <w:tcPr>
            <w:tcW w:type="dxa" w:w="691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1F1F1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/>
                <w:color w:val="FFFFFF"/>
                <w:sz w:val="14"/>
              </w:rPr>
              <w:t>Recall</w:t>
            </w:r>
          </w:p>
        </w:tc>
        <w:tc>
          <w:tcPr>
            <w:tcW w:type="dxa" w:w="64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1F1F1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/>
                <w:color w:val="FFFFFF"/>
                <w:sz w:val="14"/>
              </w:rPr>
              <w:t>FPR</w:t>
            </w:r>
          </w:p>
        </w:tc>
        <w:tc>
          <w:tcPr>
            <w:tcW w:type="dxa" w:w="72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1F1F1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/>
                <w:color w:val="FFFFFF"/>
                <w:sz w:val="14"/>
              </w:rPr>
              <w:t>Prec.</w:t>
            </w:r>
          </w:p>
        </w:tc>
        <w:tc>
          <w:tcPr>
            <w:tcW w:type="dxa" w:w="64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1F1F1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/>
                <w:color w:val="FFFFFF"/>
                <w:sz w:val="14"/>
              </w:rPr>
              <w:t>F1</w:t>
            </w:r>
          </w:p>
        </w:tc>
      </w:tr>
      <w:tr>
        <w:tc>
          <w:tcPr>
            <w:tcW w:type="dxa" w:w="208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PMingLiU"/>
                <w:b w:val="0"/>
                <w:color w:val="000000"/>
                <w:sz w:val="14"/>
              </w:rPr>
              <w:t>D9（凍結規則）</w:t>
              <w:br/>
              <w:t>四情境 1 boot</w:t>
            </w:r>
          </w:p>
        </w:tc>
        <w:tc>
          <w:tcPr>
            <w:tcW w:type="dxa" w:w="691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 w:val="0"/>
                <w:color w:val="000000"/>
                <w:sz w:val="14"/>
              </w:rPr>
              <w:t>100%</w:t>
            </w:r>
          </w:p>
        </w:tc>
        <w:tc>
          <w:tcPr>
            <w:tcW w:type="dxa" w:w="64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 w:val="0"/>
                <w:color w:val="000000"/>
                <w:sz w:val="14"/>
              </w:rPr>
              <w:t>0%</w:t>
            </w:r>
          </w:p>
        </w:tc>
        <w:tc>
          <w:tcPr>
            <w:tcW w:type="dxa" w:w="72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 w:val="0"/>
                <w:color w:val="000000"/>
                <w:sz w:val="14"/>
              </w:rPr>
              <w:t>100%</w:t>
            </w:r>
          </w:p>
        </w:tc>
        <w:tc>
          <w:tcPr>
            <w:tcW w:type="dxa" w:w="64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 w:val="0"/>
                <w:color w:val="000000"/>
                <w:sz w:val="14"/>
              </w:rPr>
              <w:t>100%</w:t>
            </w:r>
          </w:p>
        </w:tc>
      </w:tr>
      <w:tr>
        <w:tc>
          <w:tcPr>
            <w:tcW w:type="dxa" w:w="208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2F2F2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PMingLiU"/>
                <w:b w:val="0"/>
                <w:color w:val="000000"/>
                <w:sz w:val="14"/>
              </w:rPr>
              <w:t>Trace fun（oracle）</w:t>
              <w:br/>
              <w:t>四情境 100 runs</w:t>
            </w:r>
          </w:p>
        </w:tc>
        <w:tc>
          <w:tcPr>
            <w:tcW w:type="dxa" w:w="691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2F2F2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 w:val="0"/>
                <w:color w:val="000000"/>
                <w:sz w:val="14"/>
              </w:rPr>
              <w:t>93.89%</w:t>
            </w:r>
          </w:p>
        </w:tc>
        <w:tc>
          <w:tcPr>
            <w:tcW w:type="dxa" w:w="64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2F2F2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 w:val="0"/>
                <w:color w:val="000000"/>
                <w:sz w:val="14"/>
              </w:rPr>
              <w:t>15.20%</w:t>
            </w:r>
          </w:p>
        </w:tc>
        <w:tc>
          <w:tcPr>
            <w:tcW w:type="dxa" w:w="72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2F2F2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 w:val="0"/>
                <w:color w:val="000000"/>
                <w:sz w:val="14"/>
              </w:rPr>
              <w:t>86.20%</w:t>
            </w:r>
          </w:p>
        </w:tc>
        <w:tc>
          <w:tcPr>
            <w:tcW w:type="dxa" w:w="64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2F2F2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 w:val="0"/>
                <w:color w:val="000000"/>
                <w:sz w:val="14"/>
              </w:rPr>
              <w:t>89.83%</w:t>
            </w:r>
          </w:p>
        </w:tc>
      </w:tr>
      <w:tr>
        <w:tc>
          <w:tcPr>
            <w:tcW w:type="dxa" w:w="208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PMingLiU"/>
                <w:b w:val="0"/>
                <w:color w:val="000000"/>
                <w:sz w:val="14"/>
              </w:rPr>
              <w:t>Trace seq（oracle）</w:t>
              <w:br/>
              <w:t>四情境 100 runs</w:t>
            </w:r>
          </w:p>
        </w:tc>
        <w:tc>
          <w:tcPr>
            <w:tcW w:type="dxa" w:w="691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 w:val="0"/>
                <w:color w:val="000000"/>
                <w:sz w:val="14"/>
              </w:rPr>
              <w:t>98.00%</w:t>
            </w:r>
          </w:p>
        </w:tc>
        <w:tc>
          <w:tcPr>
            <w:tcW w:type="dxa" w:w="64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 w:val="0"/>
                <w:color w:val="000000"/>
                <w:sz w:val="14"/>
              </w:rPr>
              <w:t>27.18%</w:t>
            </w:r>
          </w:p>
        </w:tc>
        <w:tc>
          <w:tcPr>
            <w:tcW w:type="dxa" w:w="72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 w:val="0"/>
                <w:color w:val="000000"/>
                <w:sz w:val="14"/>
              </w:rPr>
              <w:t>78.43%</w:t>
            </w:r>
          </w:p>
        </w:tc>
        <w:tc>
          <w:tcPr>
            <w:tcW w:type="dxa" w:w="64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 w:val="0"/>
                <w:color w:val="000000"/>
                <w:sz w:val="14"/>
              </w:rPr>
              <w:t>87.08%</w:t>
            </w:r>
          </w:p>
        </w:tc>
      </w:tr>
      <w:tr>
        <w:tc>
          <w:tcPr>
            <w:tcW w:type="dxa" w:w="208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2F2F2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PMingLiU"/>
                <w:b w:val="0"/>
                <w:color w:val="000000"/>
                <w:sz w:val="14"/>
              </w:rPr>
              <w:t>Trace fun（fixed α≤0.05）</w:t>
              <w:br/>
              <w:t>四情境 100 runs</w:t>
            </w:r>
          </w:p>
        </w:tc>
        <w:tc>
          <w:tcPr>
            <w:tcW w:type="dxa" w:w="691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2F2F2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 w:val="0"/>
                <w:color w:val="000000"/>
                <w:sz w:val="14"/>
              </w:rPr>
              <w:t>98.95%</w:t>
            </w:r>
          </w:p>
        </w:tc>
        <w:tc>
          <w:tcPr>
            <w:tcW w:type="dxa" w:w="64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2F2F2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 w:val="0"/>
                <w:color w:val="000000"/>
                <w:sz w:val="14"/>
              </w:rPr>
              <w:t>38.99%</w:t>
            </w:r>
          </w:p>
        </w:tc>
        <w:tc>
          <w:tcPr>
            <w:tcW w:type="dxa" w:w="72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2F2F2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 w:val="0"/>
                <w:color w:val="000000"/>
                <w:sz w:val="14"/>
              </w:rPr>
              <w:t>71.78%</w:t>
            </w:r>
          </w:p>
        </w:tc>
        <w:tc>
          <w:tcPr>
            <w:tcW w:type="dxa" w:w="64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2F2F2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 w:val="0"/>
                <w:color w:val="000000"/>
                <w:sz w:val="14"/>
              </w:rPr>
              <w:t>83.19%</w:t>
            </w:r>
          </w:p>
        </w:tc>
      </w:tr>
      <w:tr>
        <w:tc>
          <w:tcPr>
            <w:tcW w:type="dxa" w:w="208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 w:eastAsia="PMingLiU"/>
                <w:b w:val="0"/>
                <w:color w:val="000000"/>
                <w:sz w:val="14"/>
              </w:rPr>
              <w:t>Trace seq（fixed α≤0.05）</w:t>
              <w:br/>
              <w:t>四情境 100 runs</w:t>
            </w:r>
          </w:p>
        </w:tc>
        <w:tc>
          <w:tcPr>
            <w:tcW w:type="dxa" w:w="691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 w:val="0"/>
                <w:color w:val="000000"/>
                <w:sz w:val="14"/>
              </w:rPr>
              <w:t>99.96%</w:t>
            </w:r>
          </w:p>
        </w:tc>
        <w:tc>
          <w:tcPr>
            <w:tcW w:type="dxa" w:w="64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 w:val="0"/>
                <w:color w:val="000000"/>
                <w:sz w:val="14"/>
              </w:rPr>
              <w:t>77.31%</w:t>
            </w:r>
          </w:p>
        </w:tc>
        <w:tc>
          <w:tcPr>
            <w:tcW w:type="dxa" w:w="720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 w:val="0"/>
                <w:color w:val="000000"/>
                <w:sz w:val="14"/>
              </w:rPr>
              <w:t>56.41%</w:t>
            </w:r>
          </w:p>
        </w:tc>
        <w:tc>
          <w:tcPr>
            <w:tcW w:type="dxa" w:w="648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FFFFFF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 w:eastAsia="PMingLiU"/>
                <w:b w:val="0"/>
                <w:color w:val="000000"/>
                <w:sz w:val="14"/>
              </w:rPr>
              <w:t>72.11%</w:t>
            </w:r>
          </w:p>
        </w:tc>
      </w:tr>
    </w:tbl>
    <w:p>
      <w:pPr/>
      <w:r>
        <w:rPr>
          <w:rFonts w:ascii="Times New Roman" w:hAnsi="Times New Roman" w:eastAsia="PMingLiU"/>
          <w:color w:val="000000"/>
          <w:sz w:val="19"/>
        </w:rPr>
        <w:t>Trace 五情境 oracle 復現的平均 recall/FPR/F1，fun 為 90.81%/18.89%/86.60%，seq 為96.22%/30.20%/85.01%。四情境 protocol amendment 的 oracle 結果為 fun 93.89%/15.20%/89.83%，seq 98.00%/27.18%/87.08%；D9 同四情境 1,000 批為 TP=400、FN=0、FP=0、TN=600。</w:t>
      </w:r>
    </w:p>
    <w:p>
      <w:pPr/>
      <w:r>
        <w:rPr>
          <w:rFonts w:ascii="Times New Roman" w:hAnsi="Times New Roman" w:eastAsia="PMingLiU"/>
          <w:color w:val="000000"/>
          <w:sz w:val="19"/>
        </w:rPr>
        <w:t>Trace 訓練分割只有正常標籤，無法從該分割選『訓練集最佳 F1』。因此除原作者 oracle 外，本文從既有門檻曲線補做不看測試標籤的事後敏感度分析：取搜尋格點中最大且不超過 α=0.05 的門檻 0.03053856。fun 的 recall/FPR/precision/F1 為 98.95%/38.99%/71.78%/83.19%；seq 為 99.96%/77.31%/56.41%/72.11%。這不是預註冊主分析，但門檻選取未使用測試標籤。Oracle 對 Trace 較有利，因此 D9 與 oracle 的差距不能歸因於刻意壓低 Trace；仍不可因共用攻擊、不同證據與單一 boot 而宣稱全面優越。</w:t>
      </w:r>
    </w:p>
    <w:p>
      <w:pPr/>
      <w:r>
        <w:rPr>
          <w:rFonts w:ascii="Times New Roman" w:hAnsi="Times New Roman" w:eastAsia="PMingLiU"/>
          <w:color w:val="000000"/>
          <w:sz w:val="19"/>
        </w:rPr>
        <w:t>Decloaker 的四狀態矩陣為 TP=0、FN=180、FP=0、TN=540；但它先由 raw ext4 取得完整路徑，再查詢該路徑是否可見。本次模組只隱藏父目錄列舉，已知路徑仍可存取，故 0% recall 只確認觀測契約不匹配。因此 Decloaker 已移出效能比較表；若要評估其能力，需另建符合其宣稱範圍、會造成 raw-disk 與路徑可見性不一致的攻擊矩陣。</w:t>
      </w:r>
    </w:p>
    <w:p>
      <w:pPr>
        <w:pStyle w:val="SectionHeading"/>
        <w:keepNext/>
        <w:spacing w:before="100" w:after="40"/>
      </w:pPr>
      <w:r>
        <w:rPr>
          <w:rFonts w:ascii="Times New Roman" w:hAnsi="Times New Roman" w:eastAsia="PMingLiU"/>
          <w:b/>
          <w:color w:val="000000"/>
          <w:sz w:val="21"/>
        </w:rPr>
        <w:t>7. 比對分析與討論</w:t>
      </w:r>
    </w:p>
    <w:p>
      <w:pPr>
        <w:widowControl/>
        <w:spacing w:before="0" w:after="30" w:line="240" w:lineRule="auto"/>
        <w:ind w:firstLine="259"/>
        <w:jc w:val="both"/>
      </w:pPr>
      <w:r>
        <w:rPr>
          <w:rFonts w:ascii="Times New Roman" w:hAnsi="Times New Roman" w:eastAsia="PMingLiU"/>
          <w:i w:val="0"/>
          <w:color w:val="000000"/>
          <w:sz w:val="19"/>
        </w:rPr>
        <w:t>D9 的完美點估計來自研究問題與量測的直接對齊：在靜態有效交易中，某項目已被最外層</w:t>
      </w:r>
      <w:r>
        <w:rPr>
          <w:rFonts w:ascii="Times New Roman" w:hAnsi="Times New Roman" w:eastAsia="PMingLiU"/>
          <w:i/>
          <w:color w:val="000000"/>
          <w:sz w:val="19"/>
        </w:rPr>
        <w:t>filldir64</w:t>
      </w:r>
      <w:r>
        <w:rPr>
          <w:rFonts w:ascii="Times New Roman" w:hAnsi="Times New Roman" w:eastAsia="PMingLiU"/>
          <w:i w:val="0"/>
          <w:color w:val="000000"/>
          <w:sz w:val="19"/>
        </w:rPr>
        <w:t xml:space="preserve"> 接受卻未出現在完整下游多重集合，兩側 fingerprint 依定義就應不同；無差異控制則應相同。這不是以正式資料反覆調參所得：容量、seed、timing 門檻、成功條件與分析程式均先凍結，九次開機採完整 rotation，且等量替換、合法過濾與不利 timing 控制均保留。</w:t>
      </w:r>
    </w:p>
    <w:p>
      <w:pPr>
        <w:widowControl/>
        <w:spacing w:before="0" w:after="30" w:line="240" w:lineRule="auto"/>
        <w:ind w:firstLine="259"/>
        <w:jc w:val="both"/>
      </w:pPr>
      <w:r>
        <w:rPr>
          <w:rFonts w:ascii="Times New Roman" w:hAnsi="Times New Roman" w:eastAsia="PMingLiU"/>
          <w:color w:val="000000"/>
          <w:sz w:val="19"/>
        </w:rPr>
        <w:t xml:space="preserve">共同邊界比較支持兩個限定結論。第一，D9 的凍結規則直接量測上下游身分，在共用攻擊的四情境為 100% recall、0% FPR；Trace 即使以測試標籤選 oracle 門檻仍有漏報與誤報，fixed-α 分析則呈現更高 FPR </w:t>
      </w:r>
      <w:r>
        <w:rPr>
          <w:rFonts w:ascii="Times New Roman" w:hAnsi="Times New Roman" w:eastAsia="PMingLiU"/>
          <w:color w:val="000000"/>
          <w:sz w:val="19"/>
          <w:vertAlign w:val="superscript"/>
        </w:rPr>
        <w:t>[3,12]</w:t>
      </w:r>
      <w:r>
        <w:rPr>
          <w:rFonts w:ascii="Times New Roman" w:hAnsi="Times New Roman" w:eastAsia="PMingLiU"/>
          <w:color w:val="000000"/>
          <w:sz w:val="19"/>
        </w:rPr>
        <w:t xml:space="preserve">。第二，這不等於 D9 全面優於 timing 或 cross-view：兩者共用 CARAXES-derived 攻擊、僅一個外部比較 boot，而 Decloaker 本次威脅不符合其路徑可見性契約 </w:t>
      </w:r>
      <w:r>
        <w:rPr>
          <w:rFonts w:ascii="Times New Roman" w:hAnsi="Times New Roman" w:eastAsia="PMingLiU"/>
          <w:color w:val="000000"/>
          <w:sz w:val="19"/>
          <w:vertAlign w:val="superscript"/>
        </w:rPr>
        <w:t>[7,11]</w:t>
      </w:r>
      <w:r>
        <w:rPr>
          <w:rFonts w:ascii="Times New Roman" w:hAnsi="Times New Roman" w:eastAsia="PMingLiU"/>
          <w:color w:val="000000"/>
          <w:sz w:val="19"/>
        </w:rPr>
        <w:t>。各方法應依觀測邊界解讀，不以單一數字跨範圍排名。</w:t>
      </w:r>
    </w:p>
    <w:p>
      <w:pPr>
        <w:widowControl/>
        <w:spacing w:before="0" w:after="30" w:line="240" w:lineRule="auto"/>
        <w:ind w:firstLine="259"/>
        <w:jc w:val="both"/>
      </w:pPr>
      <w:r>
        <w:rPr>
          <w:rFonts w:ascii="Times New Roman" w:hAnsi="Times New Roman" w:eastAsia="PMingLiU"/>
          <w:color w:val="000000"/>
          <w:sz w:val="19"/>
        </w:rPr>
        <w:t>policy_filter 144/144 批亦觸發，證實 D9 量到差異事實而非模組意圖。主分析以『結構差異』為正類；若改以『三個惡意隱藏／替換狀態』為正類、把授權 policy_filter 視為良性，則 TP=432、FN=0、FP=144、TN=720，recall=100%、precision=75.00%、FPR=16.67%、F1=85.71%。因此 D9 不能單獨作惡意分類，實務上仍需簽章、部署政策、完整性或 provenance 證據。</w:t>
      </w:r>
    </w:p>
    <w:p>
      <w:pPr>
        <w:pStyle w:val="SectionHeading"/>
        <w:keepNext/>
        <w:spacing w:before="100" w:after="40"/>
      </w:pPr>
      <w:r>
        <w:rPr>
          <w:rFonts w:ascii="Times New Roman" w:hAnsi="Times New Roman" w:eastAsia="PMingLiU"/>
          <w:b/>
          <w:color w:val="000000"/>
          <w:sz w:val="21"/>
        </w:rPr>
        <w:t>8. 限制</w:t>
      </w:r>
    </w:p>
    <w:p>
      <w:pPr>
        <w:widowControl/>
        <w:spacing w:before="0" w:after="30" w:line="240" w:lineRule="auto"/>
        <w:ind w:firstLine="259"/>
        <w:jc w:val="both"/>
      </w:pPr>
      <w:r>
        <w:rPr>
          <w:rFonts w:ascii="Times New Roman" w:hAnsi="Times New Roman" w:eastAsia="PMingLiU"/>
          <w:color w:val="000000"/>
          <w:sz w:val="19"/>
        </w:rPr>
        <w:t>D9 九開機主矩陣來自單一 Ubuntu VM、單一核心與靜態 fixture；其他檔案系統、namespace、churn 與大型目錄主要是開發期證據。Trace 與 D9 四情境各只有一個共同 boot，且共用同一攻擊模組；Decloaker 只測四個 filldir狀態。方法不涵蓋 filldir64 前、probe 後或 probe-aware 放行；非密碼學 fingerprint／IBLT 無對適應性攻擊者的碰撞保證。批次與交易層 Wilson 區間未校正 boot 內相依，僅能描述本矩陣。</w:t>
      </w:r>
    </w:p>
    <w:p>
      <w:pPr/>
      <w:r>
        <w:rPr>
          <w:rFonts w:ascii="Times New Roman" w:hAnsi="Times New Roman" w:eastAsia="PMingLiU"/>
          <w:color w:val="000000"/>
          <w:sz w:val="19"/>
        </w:rPr>
        <w:t>外部擴充規約最初列入 rkchk，且在 Trace 收集期間曾嘗試準備其作者指定核心；本會議稿是在確認Rust-for-Linux 自訂核心前提並停止該階段後，才把 rkchk 從已回答的研究問題移至未來工作。這是可行性與時程造成的後驗報告範圍調整，不是預註冊的 RQ 縮限；沒有已完成的 rkchk 成效被捨棄，D9、Trace 與 Decloaker既有資料及參數亦未因此更改。</w:t>
      </w:r>
    </w:p>
    <w:p>
      <w:pPr>
        <w:pStyle w:val="SectionHeading"/>
        <w:keepNext/>
        <w:spacing w:before="100" w:after="40"/>
      </w:pPr>
      <w:r>
        <w:rPr>
          <w:rFonts w:ascii="Times New Roman" w:hAnsi="Times New Roman" w:eastAsia="PMingLiU"/>
          <w:b/>
          <w:color w:val="000000"/>
          <w:sz w:val="21"/>
        </w:rPr>
        <w:t>9. 結論</w:t>
      </w:r>
    </w:p>
    <w:p>
      <w:pPr>
        <w:widowControl/>
        <w:spacing w:before="0" w:after="30" w:line="240" w:lineRule="auto"/>
        <w:ind w:firstLine="259"/>
        <w:jc w:val="both"/>
      </w:pPr>
      <w:r>
        <w:rPr>
          <w:rFonts w:ascii="Times New Roman" w:hAnsi="Times New Roman" w:eastAsia="PMingLiU"/>
          <w:color w:val="000000"/>
          <w:sz w:val="19"/>
        </w:rPr>
        <w:t>本文把 Linux 檔案隱藏偵測收斂為 filldir64 accepted entry 與完整 getdents64 輸出間的身分調和。D9 以 fingerprint 偵測不一致，再以 IBLT 還原少量差異；九開機主矩陣為 100% recall、0% FPR。在共用 CARAXES-derived 攻擊的單 boot 四情境中，D9 亦維持 100%/0%，Trace oracle fun／seq 的 recall為 93.89%／98.00%、FPR 為 15.20%／27.18%。結論只支持受測邊界的可定位身分差異；不證明惡意、不構成跨 rootkit／核心的全面優越性。</w:t>
      </w:r>
    </w:p>
    <w:p>
      <w:pPr>
        <w:pStyle w:val="SectionHeading"/>
      </w:pPr>
      <w:r>
        <w:rPr>
          <w:rFonts w:ascii="Times New Roman" w:hAnsi="Times New Roman" w:eastAsia="PMingLiU"/>
          <w:b/>
          <w:color w:val="000000"/>
          <w:sz w:val="21"/>
        </w:rPr>
        <w:t>10. 未來工作</w:t>
      </w:r>
    </w:p>
    <w:p>
      <w:pPr/>
      <w:r>
        <w:rPr>
          <w:rFonts w:ascii="Times New Roman" w:hAnsi="Times New Roman" w:eastAsia="PMingLiU"/>
          <w:color w:val="000000"/>
          <w:sz w:val="19"/>
        </w:rPr>
        <w:t>後續工作首先在 rkchk 指定的 Rust-for-Linux 核心重跑原始工具與 D9；在此之前不填推測數字。Decloaker 應新增符合其觀測契約的 raw-disk／路徑不可見攻擊及 D9 全狀態矩陣；Trace 應另設具正負標籤的validation split，事前選門檻後只在 untouched test 評估。並應增加核心、實機、檔案系統、namespace、churn、大型目錄與容量臨界點的多開機正式矩陣，以及 probe 隱匿、seed 保護、抗碰撞與 kernel hashing 成本消融。</w:t>
      </w:r>
    </w:p>
    <w:p>
      <w:pPr>
        <w:pStyle w:val="SectionHeading"/>
        <w:keepNext/>
        <w:spacing w:before="100" w:after="40"/>
      </w:pPr>
      <w:r>
        <w:rPr>
          <w:rFonts w:ascii="Times New Roman" w:hAnsi="Times New Roman" w:eastAsia="PMingLiU"/>
          <w:b/>
          <w:color w:val="000000"/>
          <w:sz w:val="21"/>
        </w:rPr>
        <w:t>資料與重現性</w:t>
      </w:r>
    </w:p>
    <w:p>
      <w:pPr>
        <w:widowControl/>
        <w:spacing w:before="0" w:after="30" w:line="240" w:lineRule="auto"/>
        <w:jc w:val="both"/>
      </w:pPr>
      <w:r>
        <w:rPr>
          <w:rFonts w:ascii="Times New Roman" w:hAnsi="Times New Roman" w:eastAsia="PMingLiU"/>
          <w:color w:val="000000"/>
          <w:sz w:val="19"/>
        </w:rPr>
        <w:t>主矩陣與外部比較的 lock、原始資料、manifest、分析輸出與 source hash 均保存在本專案。重現索引位於results/d9_formal/ 與 results/d9_external_comparison/；Trace fixed-α 次要分析為results/d9_external_comparison/trace_of_times/formal_20260924/fixed_alpha_005_four_scenario.json，規約與偏差紀錄位於 docs/。</w:t>
      </w:r>
    </w:p>
    <w:p>
      <w:pPr>
        <w:pStyle w:val="SectionHeading"/>
        <w:keepNext/>
        <w:spacing w:before="100" w:after="40"/>
      </w:pPr>
      <w:r>
        <w:rPr>
          <w:rFonts w:ascii="Times New Roman" w:hAnsi="Times New Roman" w:eastAsia="PMingLiU"/>
          <w:b/>
          <w:color w:val="000000"/>
          <w:sz w:val="21"/>
        </w:rPr>
        <w:t>參考文獻</w:t>
      </w:r>
    </w:p>
    <w:p>
      <w:pPr>
        <w:pStyle w:val="Reference"/>
        <w:spacing w:after="12" w:line="221" w:lineRule="auto"/>
      </w:pPr>
      <w:r>
        <w:rPr>
          <w:rFonts w:ascii="Times New Roman" w:hAnsi="Times New Roman" w:eastAsia="PMingLiU"/>
          <w:color w:val="000000"/>
          <w:sz w:val="15"/>
        </w:rPr>
        <w:t>[1] M. Kerrisk, “getdents(2)—Linux manual page,” Linux man-pages 6.18, 2026.</w:t>
      </w:r>
      <w:r>
        <w:rPr>
          <w:rFonts w:ascii="Times New Roman" w:hAnsi="Times New Roman" w:eastAsia="PMingLiU"/>
          <w:color w:val="000000"/>
          <w:sz w:val="15"/>
        </w:rPr>
        <w:t xml:space="preserve"> </w:t>
      </w:r>
      <w:hyperlink r:id="rId16">
        <w:r>
          <w:rPr>
            <w:rFonts w:ascii="Times New Roman" w:hAnsi="Times New Roman"/>
            <w:color w:val="000000"/>
            <w:u w:val="single"/>
            <w:sz w:val="14"/>
          </w:rPr>
          <w:t>https://www.man7.org/linux/man-pages/man2/getdents64.2.html</w:t>
        </w:r>
      </w:hyperlink>
    </w:p>
    <w:p>
      <w:pPr>
        <w:pStyle w:val="Reference"/>
        <w:spacing w:after="12" w:line="221" w:lineRule="auto"/>
      </w:pPr>
      <w:r>
        <w:rPr>
          <w:rFonts w:ascii="Times New Roman" w:hAnsi="Times New Roman" w:eastAsia="PMingLiU"/>
          <w:color w:val="000000"/>
          <w:sz w:val="15"/>
        </w:rPr>
        <w:t>[2] Linux kernel source, “fs/readdir.c,” accessed Sep. 2026.</w:t>
      </w:r>
      <w:r>
        <w:rPr>
          <w:rFonts w:ascii="Times New Roman" w:hAnsi="Times New Roman" w:eastAsia="PMingLiU"/>
          <w:color w:val="000000"/>
          <w:sz w:val="15"/>
        </w:rPr>
        <w:t xml:space="preserve"> </w:t>
      </w:r>
      <w:hyperlink r:id="rId17">
        <w:r>
          <w:rPr>
            <w:rFonts w:ascii="Times New Roman" w:hAnsi="Times New Roman"/>
            <w:color w:val="000000"/>
            <w:u w:val="single"/>
            <w:sz w:val="14"/>
          </w:rPr>
          <w:t>https://github.com/torvalds/linux/blob/master/fs/readdir.c</w:t>
        </w:r>
      </w:hyperlink>
    </w:p>
    <w:p>
      <w:pPr>
        <w:pStyle w:val="Reference"/>
        <w:spacing w:after="12" w:line="221" w:lineRule="auto"/>
      </w:pPr>
      <w:r>
        <w:rPr>
          <w:rFonts w:ascii="Times New Roman" w:hAnsi="Times New Roman" w:eastAsia="PMingLiU"/>
          <w:color w:val="000000"/>
          <w:sz w:val="15"/>
        </w:rPr>
        <w:t>[3] M. Landauer, L. Alton, M. Lindorfer, F. Skopik, M. Wurzenberger, and W. Hotwagner, “Trace of the Times: Rootkit Detection through Temporal Anomalies in Kernel Activity,” Digital Threats: Research and Practice, vol. 6, no. 4, Art. 33, 2025, doi: 10.1145/3770085.</w:t>
      </w:r>
      <w:r>
        <w:rPr>
          <w:rFonts w:ascii="Times New Roman" w:hAnsi="Times New Roman" w:eastAsia="PMingLiU"/>
          <w:color w:val="000000"/>
          <w:sz w:val="15"/>
        </w:rPr>
        <w:t xml:space="preserve"> </w:t>
      </w:r>
      <w:hyperlink r:id="rId18">
        <w:r>
          <w:rPr>
            <w:rFonts w:ascii="Times New Roman" w:hAnsi="Times New Roman"/>
            <w:color w:val="000000"/>
            <w:u w:val="single"/>
            <w:sz w:val="14"/>
          </w:rPr>
          <w:t>https://doi.org/10.1145/3770085</w:t>
        </w:r>
      </w:hyperlink>
    </w:p>
    <w:p>
      <w:pPr>
        <w:pStyle w:val="Reference"/>
        <w:spacing w:after="12" w:line="221" w:lineRule="auto"/>
      </w:pPr>
      <w:r>
        <w:rPr>
          <w:rFonts w:ascii="Times New Roman" w:hAnsi="Times New Roman" w:eastAsia="PMingLiU"/>
          <w:color w:val="000000"/>
          <w:sz w:val="15"/>
        </w:rPr>
        <w:t>[4] Y.-M. Wang and D. Beck, “Fast User-Mode Rootkit Scanner for the Enterprise,” Proc. 19th USENIX LISA, 2005.</w:t>
      </w:r>
      <w:r>
        <w:rPr>
          <w:rFonts w:ascii="Times New Roman" w:hAnsi="Times New Roman" w:eastAsia="PMingLiU"/>
          <w:color w:val="000000"/>
          <w:sz w:val="15"/>
        </w:rPr>
        <w:t xml:space="preserve"> </w:t>
      </w:r>
      <w:hyperlink r:id="rId19">
        <w:r>
          <w:rPr>
            <w:rFonts w:ascii="Times New Roman" w:hAnsi="Times New Roman"/>
            <w:color w:val="000000"/>
            <w:u w:val="single"/>
            <w:sz w:val="14"/>
          </w:rPr>
          <w:t>https://www.usenix.org/conference/lisa-05/fast-user-mode-rootkit-scanner-enterprise</w:t>
        </w:r>
      </w:hyperlink>
    </w:p>
    <w:p>
      <w:pPr>
        <w:pStyle w:val="Reference"/>
        <w:spacing w:after="12" w:line="221" w:lineRule="auto"/>
      </w:pPr>
      <w:r>
        <w:rPr>
          <w:rFonts w:ascii="Times New Roman" w:hAnsi="Times New Roman" w:eastAsia="PMingLiU"/>
          <w:color w:val="000000"/>
          <w:sz w:val="15"/>
        </w:rPr>
        <w:t>[5] X. Hu, M. Huang, Y. Xue, L. Jiang, Y. Liu, and G. Xie, “Drootkit: Kernel-Level Rootkit Detection and Recovery Based on eBPF,” Journal of Circuits, Systems and Computers, vol. 33, no. 4, Art. 2450073, 2024, doi: 10.1142/S0218126624500737.</w:t>
      </w:r>
      <w:r>
        <w:rPr>
          <w:rFonts w:ascii="Times New Roman" w:hAnsi="Times New Roman" w:eastAsia="PMingLiU"/>
          <w:color w:val="000000"/>
          <w:sz w:val="15"/>
        </w:rPr>
        <w:t xml:space="preserve"> </w:t>
      </w:r>
      <w:hyperlink r:id="rId20">
        <w:r>
          <w:rPr>
            <w:rFonts w:ascii="Times New Roman" w:hAnsi="Times New Roman"/>
            <w:color w:val="000000"/>
            <w:u w:val="single"/>
            <w:sz w:val="14"/>
          </w:rPr>
          <w:t>https://doi.org/10.1142/S0218126624500737</w:t>
        </w:r>
      </w:hyperlink>
    </w:p>
    <w:p>
      <w:pPr>
        <w:pStyle w:val="Reference"/>
        <w:spacing w:after="12" w:line="221" w:lineRule="auto"/>
      </w:pPr>
      <w:r>
        <w:rPr>
          <w:rFonts w:ascii="Times New Roman" w:hAnsi="Times New Roman" w:eastAsia="PMingLiU"/>
          <w:color w:val="000000"/>
          <w:sz w:val="15"/>
        </w:rPr>
        <w:t>[6] Thalium, “rkchk: Rust Linux Kernel Module designed for LKM rootkit detection,” accessed Sep. 2026.</w:t>
      </w:r>
      <w:r>
        <w:rPr>
          <w:rFonts w:ascii="Times New Roman" w:hAnsi="Times New Roman" w:eastAsia="PMingLiU"/>
          <w:color w:val="000000"/>
          <w:sz w:val="15"/>
        </w:rPr>
        <w:t xml:space="preserve"> </w:t>
      </w:r>
      <w:hyperlink r:id="rId21">
        <w:r>
          <w:rPr>
            <w:rFonts w:ascii="Times New Roman" w:hAnsi="Times New Roman"/>
            <w:color w:val="000000"/>
            <w:u w:val="single"/>
            <w:sz w:val="14"/>
          </w:rPr>
          <w:t>https://github.com/thalium/rkchk</w:t>
        </w:r>
      </w:hyperlink>
    </w:p>
    <w:p>
      <w:pPr>
        <w:pStyle w:val="Reference"/>
        <w:spacing w:after="12" w:line="221" w:lineRule="auto"/>
      </w:pPr>
      <w:r>
        <w:rPr>
          <w:rFonts w:ascii="Times New Roman" w:hAnsi="Times New Roman" w:eastAsia="PMingLiU"/>
          <w:color w:val="000000"/>
          <w:sz w:val="15"/>
        </w:rPr>
        <w:t>[7] G. Iniguez Goya, “Decloaker,” accessed Sep. 2026.</w:t>
      </w:r>
      <w:r>
        <w:rPr>
          <w:rFonts w:ascii="Times New Roman" w:hAnsi="Times New Roman" w:eastAsia="PMingLiU"/>
          <w:color w:val="000000"/>
          <w:sz w:val="15"/>
        </w:rPr>
        <w:t xml:space="preserve"> </w:t>
      </w:r>
      <w:hyperlink r:id="rId22">
        <w:r>
          <w:rPr>
            <w:rFonts w:ascii="Times New Roman" w:hAnsi="Times New Roman"/>
            <w:color w:val="000000"/>
            <w:u w:val="single"/>
            <w:sz w:val="14"/>
          </w:rPr>
          <w:t>https://github.com/gustavo-iniguez-goya/decloaker</w:t>
        </w:r>
      </w:hyperlink>
    </w:p>
    <w:p>
      <w:pPr>
        <w:pStyle w:val="Reference"/>
        <w:spacing w:after="12" w:line="221" w:lineRule="auto"/>
      </w:pPr>
      <w:r>
        <w:rPr>
          <w:rFonts w:ascii="Times New Roman" w:hAnsi="Times New Roman" w:eastAsia="PMingLiU"/>
          <w:color w:val="000000"/>
          <w:sz w:val="15"/>
        </w:rPr>
        <w:t>[8] Synacktiv, “Analyse du rootkit eBPF LinkPro,” 2026.</w:t>
      </w:r>
      <w:r>
        <w:rPr>
          <w:rFonts w:ascii="Times New Roman" w:hAnsi="Times New Roman" w:eastAsia="PMingLiU"/>
          <w:color w:val="000000"/>
          <w:sz w:val="15"/>
        </w:rPr>
        <w:t xml:space="preserve"> </w:t>
      </w:r>
      <w:hyperlink r:id="rId23">
        <w:r>
          <w:rPr>
            <w:rFonts w:ascii="Times New Roman" w:hAnsi="Times New Roman"/>
            <w:color w:val="000000"/>
            <w:u w:val="single"/>
            <w:sz w:val="14"/>
          </w:rPr>
          <w:t>https://www.synacktiv.com/sites/default/files/2026-04/synacktiv-coriin_2026-analyse_linkpro_ebpf_aws.pdf</w:t>
        </w:r>
      </w:hyperlink>
    </w:p>
    <w:p>
      <w:pPr>
        <w:pStyle w:val="Reference"/>
        <w:spacing w:after="12" w:line="221" w:lineRule="auto"/>
      </w:pPr>
      <w:r>
        <w:rPr>
          <w:rFonts w:ascii="Times New Roman" w:hAnsi="Times New Roman" w:eastAsia="PMingLiU"/>
          <w:color w:val="000000"/>
          <w:sz w:val="15"/>
        </w:rPr>
        <w:t>[9] M. T. Goodrich and M. Mitzenmacher, “Invertible Bloom Lookup Tables,” Proc. 49th Annual Allerton Conference on Communication, Control, and Computing, 2011, pp. 792–799, doi: 10.1109/Allerton.2011.6120248.</w:t>
      </w:r>
      <w:r>
        <w:rPr>
          <w:rFonts w:ascii="Times New Roman" w:hAnsi="Times New Roman" w:eastAsia="PMingLiU"/>
          <w:color w:val="000000"/>
          <w:sz w:val="15"/>
        </w:rPr>
        <w:t xml:space="preserve"> </w:t>
      </w:r>
      <w:hyperlink r:id="rId24">
        <w:r>
          <w:rPr>
            <w:rFonts w:ascii="Times New Roman" w:hAnsi="Times New Roman"/>
            <w:color w:val="000000"/>
            <w:u w:val="single"/>
            <w:sz w:val="14"/>
          </w:rPr>
          <w:t>https://arxiv.org/abs/1101.2245</w:t>
        </w:r>
      </w:hyperlink>
    </w:p>
    <w:p>
      <w:pPr>
        <w:pStyle w:val="Reference"/>
        <w:spacing w:after="12" w:line="221" w:lineRule="auto"/>
      </w:pPr>
      <w:r>
        <w:rPr>
          <w:rFonts w:ascii="Times New Roman" w:hAnsi="Times New Roman" w:eastAsia="PMingLiU"/>
          <w:color w:val="000000"/>
          <w:sz w:val="15"/>
        </w:rPr>
        <w:t>[10] M. Nadim, W. Lee, and D. Akopian, “Kernel-level Rootkit Detection, Prevention and Behavior Profiling: A Taxonomy and Survey,” arXiv:2304.00473, 2023.</w:t>
      </w:r>
      <w:r>
        <w:rPr>
          <w:rFonts w:ascii="Times New Roman" w:hAnsi="Times New Roman" w:eastAsia="PMingLiU"/>
          <w:color w:val="000000"/>
          <w:sz w:val="15"/>
        </w:rPr>
        <w:t xml:space="preserve"> </w:t>
      </w:r>
      <w:hyperlink r:id="rId25">
        <w:r>
          <w:rPr>
            <w:rFonts w:ascii="Times New Roman" w:hAnsi="Times New Roman"/>
            <w:color w:val="000000"/>
            <w:u w:val="single"/>
            <w:sz w:val="14"/>
          </w:rPr>
          <w:t>https://arxiv.org/abs/2304.00473</w:t>
        </w:r>
      </w:hyperlink>
    </w:p>
    <w:p>
      <w:pPr>
        <w:pStyle w:val="Reference"/>
        <w:spacing w:after="12" w:line="221" w:lineRule="auto"/>
      </w:pPr>
      <w:r>
        <w:rPr>
          <w:rFonts w:ascii="Times New Roman" w:hAnsi="Times New Roman" w:eastAsia="PMingLiU"/>
          <w:color w:val="000000"/>
          <w:sz w:val="15"/>
        </w:rPr>
        <w:t>[11] AIT Austrian Institute of Technology, “CARAXES—Linux Kernel Module Rootkit,” accessed Sep. 2026.</w:t>
      </w:r>
      <w:r>
        <w:rPr>
          <w:rFonts w:ascii="Times New Roman" w:hAnsi="Times New Roman" w:eastAsia="PMingLiU"/>
          <w:color w:val="000000"/>
          <w:sz w:val="15"/>
        </w:rPr>
        <w:t xml:space="preserve"> </w:t>
      </w:r>
      <w:hyperlink r:id="rId26">
        <w:r>
          <w:rPr>
            <w:rFonts w:ascii="Times New Roman" w:hAnsi="Times New Roman"/>
            <w:color w:val="000000"/>
            <w:u w:val="single"/>
            <w:sz w:val="14"/>
          </w:rPr>
          <w:t>https://github.com/ait-aecid/caraxes</w:t>
        </w:r>
      </w:hyperlink>
    </w:p>
    <w:p>
      <w:pPr>
        <w:pStyle w:val="Reference"/>
        <w:spacing w:after="12" w:line="221" w:lineRule="auto"/>
      </w:pPr>
      <w:r>
        <w:rPr>
          <w:rFonts w:ascii="Times New Roman" w:hAnsi="Times New Roman" w:eastAsia="PMingLiU"/>
          <w:color w:val="000000"/>
          <w:sz w:val="15"/>
        </w:rPr>
        <w:t>[12] AIT Austrian Institute of Technology, “Rootkit Detection with eBPF Time Tracing,” accessed Sep. 2026.</w:t>
      </w:r>
      <w:r>
        <w:rPr>
          <w:rFonts w:ascii="Times New Roman" w:hAnsi="Times New Roman" w:eastAsia="PMingLiU"/>
          <w:color w:val="000000"/>
          <w:sz w:val="15"/>
        </w:rPr>
        <w:t xml:space="preserve"> </w:t>
      </w:r>
      <w:hyperlink r:id="rId27">
        <w:r>
          <w:rPr>
            <w:rFonts w:ascii="Times New Roman" w:hAnsi="Times New Roman"/>
            <w:color w:val="000000"/>
            <w:u w:val="single"/>
            <w:sz w:val="14"/>
          </w:rPr>
          <w:t>https://github.com/ait-aecid/rootkit-detection-ebpf-time-trace</w:t>
        </w:r>
      </w:hyperlink>
    </w:p>
    <w:sectPr w:rsidR="00956E29" w:rsidRPr="00F9790A" w:rsidSect="00034616">
      <w:type w:val="continuous"/>
      <w:pgSz w:w="12240" w:h="15840"/>
      <w:pgMar w:top="835" w:right="893" w:bottom="835" w:left="893" w:header="360" w:footer="403" w:gutter="0"/>
      <w:cols w:num="2" w:space="330" w:equalWidth="1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F6DAA3" w14:textId="77777777" w:rsidR="009707F0" w:rsidRDefault="009707F0">
      <w:pPr>
        <w:spacing w:after="0" w:line="240" w:lineRule="auto"/>
      </w:pPr>
      <w:r>
        <w:separator/>
      </w:r>
    </w:p>
  </w:endnote>
  <w:endnote w:type="continuationSeparator" w:id="0">
    <w:p w14:paraId="2DF15A42" w14:textId="77777777" w:rsidR="009707F0" w:rsidRDefault="009707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iberation Serif">
    <w:altName w:val="Times New Roman"/>
    <w:panose1 w:val="00000000000000000000"/>
    <w:charset w:val="00"/>
    <w:family w:val="roman"/>
    <w:notTrueType/>
    <w:pitch w:val="default"/>
  </w:font>
  <w:font w:name="Noto Serif CJK TC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Liberation Sans">
    <w:altName w:val="Arial"/>
    <w:panose1 w:val="00000000000000000000"/>
    <w:charset w:val="00"/>
    <w:family w:val="roman"/>
    <w:notTrueType/>
    <w:pitch w:val="default"/>
  </w:font>
  <w:font w:name="Noto Sans CJK TC">
    <w:altName w:val="Cambria"/>
    <w:panose1 w:val="00000000000000000000"/>
    <w:charset w:val="00"/>
    <w:family w:val="roman"/>
    <w:notTrueType/>
    <w:pitch w:val="default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C4893C" w14:textId="77777777" w:rsidR="00956E29" w:rsidRDefault="00000000">
    <w:pPr>
      <w:pStyle w:val="a7"/>
      <w:jc w:val="center"/>
    </w:pPr>
    <w:r>
      <w:rPr>
        <w:sz w:val="16"/>
      </w:rPr>
      <w:fldChar w:fldCharType="begin"/>
    </w:r>
    <w:r>
      <w:rPr>
        <w:sz w:val="16"/>
      </w:rPr>
      <w:instrText xml:space="preserve"> PAGE </w:instrText>
    </w:r>
    <w:r>
      <w:rPr>
        <w:sz w:val="16"/>
      </w:rPr>
      <w:fldChar w:fldCharType="separate"/>
    </w:r>
    <w:r w:rsidR="00F9790A">
      <w:rPr>
        <w:noProof/>
        <w:sz w:val="16"/>
      </w:rPr>
      <w:t>1</w:t>
    </w:r>
    <w:r>
      <w:rPr>
        <w:sz w:val="16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000000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B3458C" w14:textId="77777777" w:rsidR="009707F0" w:rsidRDefault="009707F0">
      <w:pPr>
        <w:spacing w:after="0" w:line="240" w:lineRule="auto"/>
      </w:pPr>
      <w:r>
        <w:separator/>
      </w:r>
    </w:p>
  </w:footnote>
  <w:footnote w:type="continuationSeparator" w:id="0">
    <w:p w14:paraId="78A4F7D7" w14:textId="77777777" w:rsidR="009707F0" w:rsidRDefault="009707F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96579828">
    <w:abstractNumId w:val="8"/>
  </w:num>
  <w:num w:numId="2" w16cid:durableId="804856558">
    <w:abstractNumId w:val="6"/>
  </w:num>
  <w:num w:numId="3" w16cid:durableId="1194803219">
    <w:abstractNumId w:val="5"/>
  </w:num>
  <w:num w:numId="4" w16cid:durableId="661734302">
    <w:abstractNumId w:val="4"/>
  </w:num>
  <w:num w:numId="5" w16cid:durableId="1209687617">
    <w:abstractNumId w:val="7"/>
  </w:num>
  <w:num w:numId="6" w16cid:durableId="1360424205">
    <w:abstractNumId w:val="3"/>
  </w:num>
  <w:num w:numId="7" w16cid:durableId="1308123257">
    <w:abstractNumId w:val="2"/>
  </w:num>
  <w:num w:numId="8" w16cid:durableId="2131312073">
    <w:abstractNumId w:val="1"/>
  </w:num>
  <w:num w:numId="9" w16cid:durableId="2006770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3B67"/>
    <w:rsid w:val="0029639D"/>
    <w:rsid w:val="002C3750"/>
    <w:rsid w:val="002E1597"/>
    <w:rsid w:val="00326F90"/>
    <w:rsid w:val="005E3131"/>
    <w:rsid w:val="005F74A1"/>
    <w:rsid w:val="007629E7"/>
    <w:rsid w:val="00785E63"/>
    <w:rsid w:val="00817044"/>
    <w:rsid w:val="008B64BE"/>
    <w:rsid w:val="009233FF"/>
    <w:rsid w:val="00956E29"/>
    <w:rsid w:val="009707F0"/>
    <w:rsid w:val="00AA1D8D"/>
    <w:rsid w:val="00AF60FD"/>
    <w:rsid w:val="00B47730"/>
    <w:rsid w:val="00CB0664"/>
    <w:rsid w:val="00D43B62"/>
    <w:rsid w:val="00DC7630"/>
    <w:rsid w:val="00E64B57"/>
    <w:rsid w:val="00F9790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6A16AEB"/>
  <w14:defaultImageDpi w14:val="330"/>
  <w15:docId w15:val="{FC0A70C6-8DE4-4A29-8A1B-7A325A507C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40" w:line="254" w:lineRule="auto"/>
    </w:pPr>
    <w:rPr>
      <w:rFonts w:ascii="Times New Roman" w:eastAsia="PMingLiU" w:hAnsi="Times New Roman"/>
      <w:b w:val="0"/>
      <w:color w:val="000000"/>
      <w:sz w:val="19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  <w:jc w:val="center"/>
    </w:pPr>
    <w:rPr>
      <w:rFonts w:asciiTheme="majorHAnsi" w:eastAsiaTheme="majorEastAsia" w:hAnsiTheme="majorHAnsi" w:cstheme="majorBidi" w:ascii="Arial" w:hAnsi="Arial" w:eastAsia="Microsoft JhengHei"/>
      <w:b/>
      <w:color w:val="000000"/>
      <w:spacing w:val="5"/>
      <w:kern w:val="28"/>
      <w:sz w:val="3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before="40" w:after="100" w:line="240" w:lineRule="auto"/>
    </w:pPr>
    <w:rPr>
      <w:rFonts w:ascii="Times New Roman" w:hAnsi="Times New Roman" w:eastAsia="PMingLiU"/>
      <w:b w:val="0"/>
      <w:bCs/>
      <w:color w:val="000000"/>
      <w:sz w:val="17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aperTitle">
    <w:name w:val="Paper Title"/>
    <w:pPr>
      <w:keepNext/>
      <w:spacing w:after="100"/>
    </w:pPr>
    <w:rPr>
      <w:rFonts w:ascii="Arial" w:eastAsia="Microsoft JhengHei" w:hAnsi="Arial"/>
      <w:b/>
      <w:color w:val="000000"/>
      <w:sz w:val="32"/>
    </w:rPr>
  </w:style>
  <w:style w:type="paragraph" w:customStyle="1" w:styleId="EnglishTitle">
    <w:name w:val="English Title"/>
    <w:pPr>
      <w:keepNext/>
      <w:spacing w:after="160"/>
    </w:pPr>
    <w:rPr>
      <w:rFonts w:ascii="Times New Roman" w:eastAsia="Microsoft JhengHei" w:hAnsi="Times New Roman"/>
      <w:b w:val="0"/>
      <w:color w:val="000000"/>
      <w:sz w:val="21"/>
    </w:rPr>
  </w:style>
  <w:style w:type="paragraph" w:customStyle="1" w:styleId="PaperAuthor">
    <w:name w:val="Paper Author"/>
    <w:pPr>
      <w:spacing w:after="160"/>
    </w:pPr>
    <w:rPr>
      <w:rFonts w:ascii="Times New Roman" w:eastAsia="PMingLiU" w:hAnsi="Times New Roman"/>
      <w:b w:val="0"/>
      <w:color w:val="000000"/>
      <w:sz w:val="19"/>
    </w:rPr>
  </w:style>
  <w:style w:type="paragraph" w:customStyle="1" w:styleId="SectionHeading">
    <w:name w:val="Section Heading"/>
    <w:pPr>
      <w:keepNext/>
      <w:spacing w:before="140" w:after="60"/>
    </w:pPr>
    <w:rPr>
      <w:rFonts w:ascii="Arial" w:eastAsia="Microsoft JhengHei" w:hAnsi="Arial"/>
      <w:b/>
      <w:color w:val="000000"/>
      <w:sz w:val="21"/>
    </w:rPr>
  </w:style>
  <w:style w:type="paragraph" w:customStyle="1" w:styleId="SubsectionHeading">
    <w:name w:val="Subsection Heading"/>
    <w:pPr>
      <w:keepNext/>
      <w:spacing w:before="100" w:after="40"/>
    </w:pPr>
    <w:rPr>
      <w:rFonts w:ascii="Arial" w:eastAsia="Microsoft JhengHei" w:hAnsi="Arial"/>
      <w:b/>
      <w:color w:val="000000"/>
      <w:sz w:val="19"/>
    </w:rPr>
  </w:style>
  <w:style w:type="paragraph" w:customStyle="1" w:styleId="AbstractLabel">
    <w:name w:val="Abstract Label"/>
    <w:rPr>
      <w:rFonts w:ascii="Liberation Sans" w:eastAsia="Noto Sans CJK TC" w:hAnsi="Liberation Sans"/>
      <w:b/>
      <w:sz w:val="19"/>
    </w:rPr>
  </w:style>
  <w:style w:type="paragraph" w:customStyle="1" w:styleId="Reference">
    <w:name w:val="Reference"/>
    <w:pPr>
      <w:spacing w:after="0" w:line="240" w:lineRule="auto"/>
      <w:ind w:left="238" w:hanging="238"/>
    </w:pPr>
    <w:rPr>
      <w:rFonts w:ascii="Times New Roman" w:eastAsia="PMingLiU" w:hAnsi="Times New Roman"/>
      <w:b w:val="0"/>
      <w:color w:val="000000"/>
      <w:sz w:val="16"/>
    </w:rPr>
  </w:style>
  <w:style w:type="paragraph" w:customStyle="1" w:styleId="Equation">
    <w:name w:val="Equation"/>
    <w:rPr>
      <w:rFonts w:ascii="Times New Roman" w:eastAsia="PMingLiU" w:hAnsi="Times New Roman"/>
      <w:b w:val="0"/>
      <w:color w:val="000000"/>
      <w:sz w:val="19"/>
    </w:rPr>
  </w:style>
  <w:style w:type="paragraph" w:styleId="Web">
    <w:name w:val="Normal (Web)"/>
    <w:basedOn w:val="a1"/>
    <w:uiPriority w:val="99"/>
    <w:semiHidden/>
    <w:unhideWhenUsed/>
    <w:rsid w:val="002E1597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3" Type="http://schemas.openxmlformats.org/officeDocument/2006/relationships/footer" Target="footer2.xml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hyperlink" Target="https://www.man7.org/linux/man-pages/man2/getdents64.2.html" TargetMode="External"/><Relationship Id="rId17" Type="http://schemas.openxmlformats.org/officeDocument/2006/relationships/hyperlink" Target="https://github.com/torvalds/linux/blob/master/fs/readdir.c" TargetMode="External"/><Relationship Id="rId18" Type="http://schemas.openxmlformats.org/officeDocument/2006/relationships/hyperlink" Target="https://doi.org/10.1145/3770085" TargetMode="External"/><Relationship Id="rId19" Type="http://schemas.openxmlformats.org/officeDocument/2006/relationships/hyperlink" Target="https://www.usenix.org/conference/lisa-05/fast-user-mode-rootkit-scanner-enterprise" TargetMode="External"/><Relationship Id="rId20" Type="http://schemas.openxmlformats.org/officeDocument/2006/relationships/hyperlink" Target="https://doi.org/10.1142/S0218126624500737" TargetMode="External"/><Relationship Id="rId21" Type="http://schemas.openxmlformats.org/officeDocument/2006/relationships/hyperlink" Target="https://github.com/thalium/rkchk" TargetMode="External"/><Relationship Id="rId22" Type="http://schemas.openxmlformats.org/officeDocument/2006/relationships/hyperlink" Target="https://github.com/gustavo-iniguez-goya/decloaker" TargetMode="External"/><Relationship Id="rId23" Type="http://schemas.openxmlformats.org/officeDocument/2006/relationships/hyperlink" Target="https://www.synacktiv.com/sites/default/files/2026-04/synacktiv-coriin_2026-analyse_linkpro_ebpf_aws.pdf" TargetMode="External"/><Relationship Id="rId24" Type="http://schemas.openxmlformats.org/officeDocument/2006/relationships/hyperlink" Target="https://arxiv.org/abs/1101.2245" TargetMode="External"/><Relationship Id="rId25" Type="http://schemas.openxmlformats.org/officeDocument/2006/relationships/hyperlink" Target="https://arxiv.org/abs/2304.00473" TargetMode="External"/><Relationship Id="rId26" Type="http://schemas.openxmlformats.org/officeDocument/2006/relationships/hyperlink" Target="https://github.com/ait-aecid/caraxes" TargetMode="External"/><Relationship Id="rId27" Type="http://schemas.openxmlformats.org/officeDocument/2006/relationships/hyperlink" Target="https://github.com/ait-aecid/rootkit-detection-ebpf-time-tra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1234</TotalTime>
  <Pages>5</Pages>
  <Words>2063</Words>
  <Characters>11764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13800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以 eBPF 與 IBLT 偵測 filldir64 至 getdents64 間的目錄項身分差異</dc:title>
  <dc:subject>Linux 目錄列舉跨層一致性與集合調和</dc:subject>
  <dc:creator>江威廷</dc:creator>
  <cp:keywords>eBPF, Linux, getdents64, filldir64, IBLT, rootkit</cp:keywords>
  <dc:description>generated by python-docx</dc:description>
  <cp:lastModifiedBy>威廷 江</cp:lastModifiedBy>
  <cp:revision>8</cp:revision>
  <dcterms:created xsi:type="dcterms:W3CDTF">2013-12-23T23:15:00Z</dcterms:created>
  <dcterms:modified xsi:type="dcterms:W3CDTF">2026-09-23T05:51:00Z</dcterms:modified>
  <cp:category/>
</cp:coreProperties>
</file>