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AMERICAN INTERNATIONAL UNIVERSITY-BANGLADESH</w:t>
      </w:r>
    </w:p>
    <w:p>
      <w:pPr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Object Oriented Programming 2 (C#) | Section D</w:t>
      </w:r>
    </w:p>
    <w:p>
      <w:pPr>
        <w:pStyle w:val="Title"/>
        <w:spacing w:before="58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50"/>
        </w:rPr>
        <w:t>SKILLHUB</w:t>
      </w:r>
    </w:p>
    <w:p>
      <w:pPr>
        <w:pStyle w:val="Subtitle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Database Foundation and Team Integration Handoff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Prepared by: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 MD. Nazmus Sakib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Student ID: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 24-58148-2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Assigned module: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 Database foundation, authentication, session management, and account/profile CRUD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Project branch: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 feature/database-foundation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Project domain: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 Software-development freelance marketplace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Prepared: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 21 August 2026</w:t>
      </w:r>
    </w:p>
    <w:p>
      <w:pPr>
        <w:pStyle w:val="Heading1"/>
        <w:keepNext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Completed Foundation at a Glance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250"/>
        <w:gridCol w:w="7110"/>
      </w:tblGrid>
      <w:tr>
        <w:trPr>
          <w:tblHeader w:val="true"/>
        </w:trPr>
        <w:tc>
          <w:tcPr>
            <w:tcW w:type="dxa" w:w="225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Deliverable</w:t>
            </w:r>
          </w:p>
        </w:tc>
        <w:tc>
          <w:tcPr>
            <w:tcW w:type="dxa" w:w="711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Completed Result</w:t>
            </w:r>
          </w:p>
        </w:tc>
      </w:tr>
      <w:tr>
        <w:trPr/>
        <w:tc>
          <w:tcPr>
            <w:tcW w:type="dxa" w:w="225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Desktop application</w:t>
            </w:r>
          </w:p>
        </w:tc>
        <w:tc>
          <w:tcPr>
            <w:tcW w:type="dxa" w:w="711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Visual Studio 2022 solution; C# Windows Forms; .NET Framework 4.8</w:t>
            </w:r>
          </w:p>
        </w:tc>
      </w:tr>
      <w:tr>
        <w:trPr/>
        <w:tc>
          <w:tcPr>
            <w:tcW w:type="dxa" w:w="225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Shared database</w:t>
            </w:r>
          </w:p>
        </w:tc>
        <w:tc>
          <w:tcPr>
            <w:tcW w:type="dxa" w:w="711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SQL Server SkillHubDB; 16 tables; keys, constraints, indexes, views, and triggers</w:t>
            </w:r>
          </w:p>
        </w:tc>
      </w:tr>
      <w:tr>
        <w:trPr/>
        <w:tc>
          <w:tcPr>
            <w:tcW w:type="dxa" w:w="225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Authentication</w:t>
            </w:r>
          </w:p>
        </w:tc>
        <w:tc>
          <w:tcPr>
            <w:tcW w:type="dxa" w:w="711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Secure registration, login, password change, logout, and account-status checks</w:t>
            </w:r>
          </w:p>
        </w:tc>
      </w:tr>
      <w:tr>
        <w:trPr/>
        <w:tc>
          <w:tcPr>
            <w:tcW w:type="dxa" w:w="225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Authorization</w:t>
            </w:r>
          </w:p>
        </w:tc>
        <w:tc>
          <w:tcPr>
            <w:tcW w:type="dxa" w:w="711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Separate Admin, Freelancer, and Client dashboards; signed-in user/role session</w:t>
            </w:r>
          </w:p>
        </w:tc>
      </w:tr>
      <w:tr>
        <w:trPr/>
        <w:tc>
          <w:tcPr>
            <w:tcW w:type="dxa" w:w="225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Individual CRUD</w:t>
            </w:r>
          </w:p>
        </w:tc>
        <w:tc>
          <w:tcPr>
            <w:tcW w:type="dxa" w:w="711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Account/profile create, read/search, update, and safe soft-deactivation</w:t>
            </w:r>
          </w:p>
        </w:tc>
      </w:tr>
      <w:tr>
        <w:trPr/>
        <w:tc>
          <w:tcPr>
            <w:tcW w:type="dxa" w:w="225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Group handoff</w:t>
            </w:r>
          </w:p>
        </w:tc>
        <w:tc>
          <w:tcPr>
            <w:tcW w:type="dxa" w:w="711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Shared SQL, connection class, App.config, user session, setup guide, and test cases</w:t>
            </w:r>
          </w:p>
        </w:tc>
      </w:tr>
    </w:tbl>
    <w:p>
      <w:pPr>
        <w:spacing w:after="40" w:before="0" w:line="192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6"/>
        </w:rPr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Scope note: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 This handoff completes Sakib's assigned foundation. Sadman, Anika, and Omi/Aumi retain ownership of their own feature screens and business workflows.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1. Setup and First Successful Run</w:t>
      </w:r>
    </w:p>
    <w:p>
      <w:pPr>
        <w:pStyle w:val="ListNumber"/>
        <w:spacing w:line="278" w:lineRule="auto"/>
        <w:ind w:left="540" w:hanging="271"/>
        <w:numPr>
          <w:ilvl w:val="0"/>
          <w:numId w:val="12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Install Visual Studio 2022 with the .NET desktop development workload and the .NET Framework 4.8 targeting pack.</w:t>
      </w:r>
    </w:p>
    <w:p>
      <w:pPr>
        <w:pStyle w:val="ListNumber"/>
        <w:spacing w:line="278" w:lineRule="auto"/>
        <w:ind w:left="540" w:hanging="271"/>
        <w:numPr>
          <w:ilvl w:val="0"/>
          <w:numId w:val="12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Open SQL Server Management Studio or Visual Studio SQL Server Object Explorer and connect to (localdb)\MSSQLLocalDB.</w:t>
      </w:r>
    </w:p>
    <w:p>
      <w:pPr>
        <w:pStyle w:val="ListNumber"/>
        <w:spacing w:line="278" w:lineRule="auto"/>
        <w:ind w:left="540" w:hanging="271"/>
        <w:numPr>
          <w:ilvl w:val="0"/>
          <w:numId w:val="12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Execute the entire Database/SkillHubDatabase.sql script. It creates SkillHubDB without dropping existing data.</w:t>
      </w:r>
    </w:p>
    <w:p>
      <w:pPr>
        <w:pStyle w:val="ListNumber"/>
        <w:spacing w:line="278" w:lineRule="auto"/>
        <w:ind w:left="540" w:hanging="271"/>
        <w:numPr>
          <w:ilvl w:val="0"/>
          <w:numId w:val="12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Execute Database/SkillHub_Verification.sql and confirm that every PASS message appears.</w:t>
      </w:r>
    </w:p>
    <w:p>
      <w:pPr>
        <w:pStyle w:val="ListNumber"/>
        <w:spacing w:line="278" w:lineRule="auto"/>
        <w:ind w:left="540" w:hanging="271"/>
        <w:numPr>
          <w:ilvl w:val="0"/>
          <w:numId w:val="12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Open SkillHub.sln. Check that App.config points to your own SQL Server instance and database SkillHubDB.</w:t>
      </w:r>
    </w:p>
    <w:p>
      <w:pPr>
        <w:pStyle w:val="ListNumber"/>
        <w:spacing w:line="278" w:lineRule="auto"/>
        <w:ind w:left="540" w:hanging="271"/>
        <w:numPr>
          <w:ilvl w:val="0"/>
          <w:numId w:val="12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Select Build &gt; Rebuild Solution, press F5, and optionally use Test Database Connection on the sign-in form.</w:t>
      </w:r>
    </w:p>
    <w:p>
      <w:pPr>
        <w:pStyle w:val="ListNumber"/>
        <w:spacing w:line="278" w:lineRule="auto"/>
        <w:ind w:left="540" w:hanging="271"/>
        <w:numPr>
          <w:ilvl w:val="0"/>
          <w:numId w:val="12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Sign in with the correct seeded account below and confirm that its authorized dashboard opens.</w:t>
      </w:r>
    </w:p>
    <w:p>
      <w:pPr>
        <w:pStyle w:val="Heading2"/>
        <w:keepNext/>
      </w:pPr>
      <w:r>
        <w:rPr>
          <w:rFonts w:ascii="Times New Roman" w:hAnsi="Times New Roman" w:eastAsia="Times New Roman" w:cs="Times New Roman"/>
          <w:b/>
          <w:i w:val="0"/>
          <w:color w:val="000000"/>
          <w:sz w:val="25"/>
        </w:rPr>
        <w:t>1.1 Seeded Demonstration Accounts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800"/>
        <w:gridCol w:w="4800"/>
        <w:gridCol w:w="2760"/>
      </w:tblGrid>
      <w:tr>
        <w:trPr>
          <w:tblHeader w:val="true"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Role</w:t>
            </w:r>
          </w:p>
        </w:tc>
        <w:tc>
          <w:tcPr>
            <w:tcW w:type="dxa" w:w="480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Email Address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Password</w:t>
            </w:r>
          </w:p>
        </w:tc>
      </w:tr>
      <w:tr>
        <w:trPr/>
        <w:tc>
          <w:tcPr>
            <w:tcW w:type="dxa" w:w="180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Admin</w:t>
            </w:r>
          </w:p>
        </w:tc>
        <w:tc>
          <w:tcPr>
            <w:tcW w:type="dxa" w:w="480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admin@skillhub.local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Admin@123</w:t>
            </w:r>
          </w:p>
        </w:tc>
      </w:tr>
      <w:tr>
        <w:trPr/>
        <w:tc>
          <w:tcPr>
            <w:tcW w:type="dxa" w:w="180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Freelancer</w:t>
            </w:r>
          </w:p>
        </w:tc>
        <w:tc>
          <w:tcPr>
            <w:tcW w:type="dxa" w:w="480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freelancer@skillhub.local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Freelancer@123</w:t>
            </w:r>
          </w:p>
        </w:tc>
      </w:tr>
      <w:tr>
        <w:trPr/>
        <w:tc>
          <w:tcPr>
            <w:tcW w:type="dxa" w:w="180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Client</w:t>
            </w:r>
          </w:p>
        </w:tc>
        <w:tc>
          <w:tcPr>
            <w:tcW w:type="dxa" w:w="480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client@skillhub.local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Client@123</w:t>
            </w:r>
          </w:p>
        </w:tc>
      </w:tr>
    </w:tbl>
    <w:p>
      <w:pPr>
        <w:spacing w:after="40" w:before="0" w:line="192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6"/>
        </w:rPr>
      </w:r>
    </w:p>
    <w:p>
      <w:pPr>
        <w:pStyle w:val="Heading2"/>
        <w:keepNext/>
      </w:pPr>
      <w:r>
        <w:rPr>
          <w:rFonts w:ascii="Times New Roman" w:hAnsi="Times New Roman" w:eastAsia="Times New Roman" w:cs="Times New Roman"/>
          <w:b/>
          <w:i w:val="0"/>
          <w:color w:val="000000"/>
          <w:sz w:val="25"/>
        </w:rPr>
        <w:t>1.2 Approved Connection Configuration</w:t>
      </w:r>
    </w:p>
    <w:p>
      <w:pPr>
        <w:spacing w:before="60" w:after="120" w:line="264" w:lineRule="auto"/>
        <w:ind w:left="173" w:right="173"/>
        <w:shd w:val="clear" w:fill="F1F1F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8"/>
        </w:rPr>
        <w:t>&lt;add name="SkillHubConnection"</w:t>
      </w:r>
      <w: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8"/>
        </w:rPr>
        <w:t xml:space="preserve">     connectionString="Data Source=(localdb)\MSSQLLocalDB;</w:t>
      </w:r>
      <w: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8"/>
        </w:rPr>
        <w:t xml:space="preserve">     Initial Catalog=SkillHubDB;Integrated Security=True;</w:t>
      </w:r>
      <w: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8"/>
        </w:rPr>
        <w:t xml:space="preserve">     Connect Timeout=15;TrustServerCertificate=True"</w:t>
      </w:r>
      <w: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8"/>
        </w:rPr>
        <w:t xml:space="preserve">     providerName="System.Data.SqlClient" /&gt;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For SQL Server Express, replace only the Data Source value with .\SQLEXPRESS or the actual instance shown on that computer. The database name and connection-string key must remain unchanged.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2. Shared Files and Application Architecture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The team must build against one solution, one database, one SQL provider, one connection-string name, and one authenticated session. The files requested by the group are listed below.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220"/>
        <w:gridCol w:w="3150"/>
        <w:gridCol w:w="3990"/>
      </w:tblGrid>
      <w:tr>
        <w:trPr>
          <w:tblHeader w:val="true"/>
        </w:trPr>
        <w:tc>
          <w:tcPr>
            <w:tcW w:type="dxa" w:w="222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Requested Component</w:t>
            </w:r>
          </w:p>
        </w:tc>
        <w:tc>
          <w:tcPr>
            <w:tcW w:type="dxa" w:w="315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Delivered File</w:t>
            </w:r>
          </w:p>
        </w:tc>
        <w:tc>
          <w:tcPr>
            <w:tcW w:type="dxa" w:w="399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Purpose</w:t>
            </w:r>
          </w:p>
        </w:tc>
      </w:tr>
      <w:tr>
        <w:trPr/>
        <w:tc>
          <w:tcPr>
            <w:tcW w:type="dxa" w:w="222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Database connection</w:t>
            </w:r>
          </w:p>
        </w:tc>
        <w:tc>
          <w:tcPr>
            <w:tcW w:type="dxa" w:w="315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Data/DatabaseConnection.cs</w:t>
            </w:r>
          </w:p>
        </w:tc>
        <w:tc>
          <w:tcPr>
            <w:tcW w:type="dxa" w:w="399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Shared connection creation, typed SQL parameters, and connection testing</w:t>
            </w:r>
          </w:p>
        </w:tc>
      </w:tr>
      <w:tr>
        <w:trPr/>
        <w:tc>
          <w:tcPr>
            <w:tcW w:type="dxa" w:w="222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Connection string</w:t>
            </w:r>
          </w:p>
        </w:tc>
        <w:tc>
          <w:tcPr>
            <w:tcW w:type="dxa" w:w="315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App.config</w:t>
            </w:r>
          </w:p>
        </w:tc>
        <w:tc>
          <w:tcPr>
            <w:tcW w:type="dxa" w:w="399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Named SkillHubConnection configuration for SQL Server SkillHubDB</w:t>
            </w:r>
          </w:p>
        </w:tc>
      </w:tr>
      <w:tr>
        <w:trPr/>
        <w:tc>
          <w:tcPr>
            <w:tcW w:type="dxa" w:w="222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Login user ID/session</w:t>
            </w:r>
          </w:p>
        </w:tc>
        <w:tc>
          <w:tcPr>
            <w:tcW w:type="dxa" w:w="315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Utilities/UserSession.cs</w:t>
            </w:r>
          </w:p>
        </w:tc>
        <w:tc>
          <w:tcPr>
            <w:tcW w:type="dxa" w:w="399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Current UserId, LoginUserId, name, email, role, and legacy UserType</w:t>
            </w:r>
          </w:p>
        </w:tc>
      </w:tr>
      <w:tr>
        <w:trPr/>
        <w:tc>
          <w:tcPr>
            <w:tcW w:type="dxa" w:w="222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Complete SQL schema</w:t>
            </w:r>
          </w:p>
        </w:tc>
        <w:tc>
          <w:tcPr>
            <w:tcW w:type="dxa" w:w="315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Database/SkillHubDatabase.sql</w:t>
            </w:r>
          </w:p>
        </w:tc>
        <w:tc>
          <w:tcPr>
            <w:tcW w:type="dxa" w:w="399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Database, tables, constraints, roles, categories, accounts, views, and guards</w:t>
            </w:r>
          </w:p>
        </w:tc>
      </w:tr>
      <w:tr>
        <w:trPr/>
        <w:tc>
          <w:tcPr>
            <w:tcW w:type="dxa" w:w="222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Verification queries</w:t>
            </w:r>
          </w:p>
        </w:tc>
        <w:tc>
          <w:tcPr>
            <w:tcW w:type="dxa" w:w="315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Database/SkillHub_Verification.sql</w:t>
            </w:r>
          </w:p>
        </w:tc>
        <w:tc>
          <w:tcPr>
            <w:tcW w:type="dxa" w:w="399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Read-only setup validation and demonstrable database inspection</w:t>
            </w:r>
          </w:p>
        </w:tc>
      </w:tr>
      <w:tr>
        <w:trPr/>
        <w:tc>
          <w:tcPr>
            <w:tcW w:type="dxa" w:w="222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Authorization checks</w:t>
            </w:r>
          </w:p>
        </w:tc>
        <w:tc>
          <w:tcPr>
            <w:tcW w:type="dxa" w:w="315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Services/AuthorizationService.cs</w:t>
            </w:r>
          </w:p>
        </w:tc>
        <w:tc>
          <w:tcPr>
            <w:tcW w:type="dxa" w:w="399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Role-based guards before teammate-owned forms are opened</w:t>
            </w:r>
          </w:p>
        </w:tc>
      </w:tr>
      <w:tr>
        <w:trPr/>
        <w:tc>
          <w:tcPr>
            <w:tcW w:type="dxa" w:w="222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Individual account CRUD</w:t>
            </w:r>
          </w:p>
        </w:tc>
        <w:tc>
          <w:tcPr>
            <w:tcW w:type="dxa" w:w="315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Forms/Common/FrmAccountManager.cs</w:t>
            </w:r>
          </w:p>
        </w:tc>
        <w:tc>
          <w:tcPr>
            <w:tcW w:type="dxa" w:w="399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Create, read/search, update, and soft-deactivate user accounts</w:t>
            </w:r>
          </w:p>
        </w:tc>
      </w:tr>
    </w:tbl>
    <w:p>
      <w:pPr>
        <w:spacing w:after="40" w:before="0" w:line="192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6"/>
        </w:rPr>
      </w:r>
    </w:p>
    <w:p>
      <w:pPr>
        <w:pStyle w:val="Heading2"/>
        <w:keepNext/>
      </w:pPr>
      <w:r>
        <w:rPr>
          <w:rFonts w:ascii="Times New Roman" w:hAnsi="Times New Roman" w:eastAsia="Times New Roman" w:cs="Times New Roman"/>
          <w:b/>
          <w:i w:val="0"/>
          <w:color w:val="000000"/>
          <w:sz w:val="25"/>
        </w:rPr>
        <w:t>2.1 Object-Oriented Foundation</w:t>
      </w:r>
    </w:p>
    <w:p>
      <w:pPr>
        <w:pStyle w:val="ListBullet"/>
        <w:spacing w:line="278" w:lineRule="auto"/>
        <w:ind w:left="540" w:hanging="271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Abstraction: the abstract User class defines shared account identity and behavior.</w:t>
      </w:r>
    </w:p>
    <w:p>
      <w:pPr>
        <w:pStyle w:val="ListBullet"/>
        <w:spacing w:line="278" w:lineRule="auto"/>
        <w:ind w:left="540" w:hanging="271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Inheritance: Client, Freelancer, and Admin derive from the shared User model.</w:t>
      </w:r>
    </w:p>
    <w:p>
      <w:pPr>
        <w:pStyle w:val="ListBullet"/>
        <w:spacing w:line="278" w:lineRule="auto"/>
        <w:ind w:left="540" w:hanging="271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Polymorphism: each role exposes its own dashboard title and routes to its authorized dashboard.</w:t>
      </w:r>
    </w:p>
    <w:p>
      <w:pPr>
        <w:pStyle w:val="ListBullet"/>
        <w:spacing w:line="278" w:lineRule="auto"/>
        <w:ind w:left="540" w:hanging="271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Encapsulation: session state, password hashing, validation, and typed SQL parameters are controlled by dedicated classes.</w:t>
      </w:r>
    </w:p>
    <w:p>
      <w:pPr>
        <w:pStyle w:val="Heading2"/>
        <w:keepNext/>
      </w:pPr>
      <w:r>
        <w:rPr>
          <w:rFonts w:ascii="Times New Roman" w:hAnsi="Times New Roman" w:eastAsia="Times New Roman" w:cs="Times New Roman"/>
          <w:b/>
          <w:i w:val="0"/>
          <w:color w:val="000000"/>
          <w:sz w:val="25"/>
        </w:rPr>
        <w:t>2.2 Runtime Flow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Program.Main opens FrmLogin. AuthenticationService validates credentials through UserRepository, starts UserSession, and selects exactly one authorized role dashboard. Logout clears the session and returns to the existing login screen.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3. Complete SQL Server Database Inventory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Database name: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 SkillHubDB. The design contains the exact 16 core entities required by the approved project outline.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750"/>
        <w:gridCol w:w="1700"/>
        <w:gridCol w:w="4910"/>
      </w:tblGrid>
      <w:tr>
        <w:trPr>
          <w:tblHeader w:val="true"/>
        </w:trPr>
        <w:tc>
          <w:tcPr>
            <w:tcW w:type="dxa" w:w="275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Table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Primary Key</w:t>
            </w:r>
          </w:p>
        </w:tc>
        <w:tc>
          <w:tcPr>
            <w:tcW w:type="dxa" w:w="491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Business Responsibility</w:t>
            </w:r>
          </w:p>
        </w:tc>
      </w:tr>
      <w:tr>
        <w:trPr/>
        <w:tc>
          <w:tcPr>
            <w:tcW w:type="dxa" w:w="275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Roles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RoleId</w:t>
            </w:r>
          </w:p>
        </w:tc>
        <w:tc>
          <w:tcPr>
            <w:tcW w:type="dxa" w:w="491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Canonical Admin, Freelancer, and Client lookup</w:t>
            </w:r>
          </w:p>
        </w:tc>
      </w:tr>
      <w:tr>
        <w:trPr/>
        <w:tc>
          <w:tcPr>
            <w:tcW w:type="dxa" w:w="275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Users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UserId</w:t>
            </w:r>
          </w:p>
        </w:tc>
        <w:tc>
          <w:tcPr>
            <w:tcW w:type="dxa" w:w="491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Account identity, role, email, password hash, and status</w:t>
            </w:r>
          </w:p>
        </w:tc>
      </w:tr>
      <w:tr>
        <w:trPr/>
        <w:tc>
          <w:tcPr>
            <w:tcW w:type="dxa" w:w="275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ClientProfiles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UserId</w:t>
            </w:r>
          </w:p>
        </w:tc>
        <w:tc>
          <w:tcPr>
            <w:tcW w:type="dxa" w:w="491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One-to-one client-specific profile extension</w:t>
            </w:r>
          </w:p>
        </w:tc>
      </w:tr>
      <w:tr>
        <w:trPr/>
        <w:tc>
          <w:tcPr>
            <w:tcW w:type="dxa" w:w="275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FreelancerProfiles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UserId</w:t>
            </w:r>
          </w:p>
        </w:tc>
        <w:tc>
          <w:tcPr>
            <w:tcW w:type="dxa" w:w="491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Professional title, skills, verification, and rating</w:t>
            </w:r>
          </w:p>
        </w:tc>
      </w:tr>
      <w:tr>
        <w:trPr/>
        <w:tc>
          <w:tcPr>
            <w:tcW w:type="dxa" w:w="275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Categories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CategoryId</w:t>
            </w:r>
          </w:p>
        </w:tc>
        <w:tc>
          <w:tcPr>
            <w:tcW w:type="dxa" w:w="491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Thirteen software-development service categories</w:t>
            </w:r>
          </w:p>
        </w:tc>
      </w:tr>
      <w:tr>
        <w:trPr/>
        <w:tc>
          <w:tcPr>
            <w:tcW w:type="dxa" w:w="275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Services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ServiceId</w:t>
            </w:r>
          </w:p>
        </w:tc>
        <w:tc>
          <w:tcPr>
            <w:tcW w:type="dxa" w:w="491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Freelancer listings, price, delivery time, and slots</w:t>
            </w:r>
          </w:p>
        </w:tc>
      </w:tr>
      <w:tr>
        <w:trPr/>
        <w:tc>
          <w:tcPr>
            <w:tcW w:type="dxa" w:w="275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Offers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OfferId</w:t>
            </w:r>
          </w:p>
        </w:tc>
        <w:tc>
          <w:tcPr>
            <w:tcW w:type="dxa" w:w="491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Time-limited service or platform discount offers</w:t>
            </w:r>
          </w:p>
        </w:tc>
      </w:tr>
      <w:tr>
        <w:trPr/>
        <w:tc>
          <w:tcPr>
            <w:tcW w:type="dxa" w:w="275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Carts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CartId</w:t>
            </w:r>
          </w:p>
        </w:tc>
        <w:tc>
          <w:tcPr>
            <w:tcW w:type="dxa" w:w="491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One persistent shopping cart for each client</w:t>
            </w:r>
          </w:p>
        </w:tc>
      </w:tr>
      <w:tr>
        <w:trPr/>
        <w:tc>
          <w:tcPr>
            <w:tcW w:type="dxa" w:w="275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CartItems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CartItemId</w:t>
            </w:r>
          </w:p>
        </w:tc>
        <w:tc>
          <w:tcPr>
            <w:tcW w:type="dxa" w:w="491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Service selection, quantity, and cart price</w:t>
            </w:r>
          </w:p>
        </w:tc>
      </w:tr>
      <w:tr>
        <w:trPr/>
        <w:tc>
          <w:tcPr>
            <w:tcW w:type="dxa" w:w="275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Orders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OrderId</w:t>
            </w:r>
          </w:p>
        </w:tc>
        <w:tc>
          <w:tcPr>
            <w:tcW w:type="dxa" w:w="491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Participants, service, status, and financial snapshots</w:t>
            </w:r>
          </w:p>
        </w:tc>
      </w:tr>
      <w:tr>
        <w:trPr/>
        <w:tc>
          <w:tcPr>
            <w:tcW w:type="dxa" w:w="275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Payments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PaymentId</w:t>
            </w:r>
          </w:p>
        </w:tc>
        <w:tc>
          <w:tcPr>
            <w:tcW w:type="dxa" w:w="491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One simulated payment record for each order</w:t>
            </w:r>
          </w:p>
        </w:tc>
      </w:tr>
      <w:tr>
        <w:trPr/>
        <w:tc>
          <w:tcPr>
            <w:tcW w:type="dxa" w:w="275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WalletTransactions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WalletTxnId</w:t>
            </w:r>
          </w:p>
        </w:tc>
        <w:tc>
          <w:tcPr>
            <w:tcW w:type="dxa" w:w="491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Freelancer earnings, withdrawal debits, and adjustments</w:t>
            </w:r>
          </w:p>
        </w:tc>
      </w:tr>
      <w:tr>
        <w:trPr/>
        <w:tc>
          <w:tcPr>
            <w:tcW w:type="dxa" w:w="275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WithdrawalRequests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WithdrawalId</w:t>
            </w:r>
          </w:p>
        </w:tc>
        <w:tc>
          <w:tcPr>
            <w:tcW w:type="dxa" w:w="491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Pending, approved, and rejected payout requests</w:t>
            </w:r>
          </w:p>
        </w:tc>
      </w:tr>
      <w:tr>
        <w:trPr/>
        <w:tc>
          <w:tcPr>
            <w:tcW w:type="dxa" w:w="275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Reviews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ReviewId</w:t>
            </w:r>
          </w:p>
        </w:tc>
        <w:tc>
          <w:tcPr>
            <w:tcW w:type="dxa" w:w="491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One verified 1-to-5-star review per completed order</w:t>
            </w:r>
          </w:p>
        </w:tc>
      </w:tr>
      <w:tr>
        <w:trPr/>
        <w:tc>
          <w:tcPr>
            <w:tcW w:type="dxa" w:w="275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Disputes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DisputeId</w:t>
            </w:r>
          </w:p>
        </w:tc>
        <w:tc>
          <w:tcPr>
            <w:tcW w:type="dxa" w:w="491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Order complaint, resolution, and admin responsibility</w:t>
            </w:r>
          </w:p>
        </w:tc>
      </w:tr>
      <w:tr>
        <w:trPr/>
        <w:tc>
          <w:tcPr>
            <w:tcW w:type="dxa" w:w="275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PlatformSettings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SettingKey</w:t>
            </w:r>
          </w:p>
        </w:tc>
        <w:tc>
          <w:tcPr>
            <w:tcW w:type="dxa" w:w="491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Commission rate and shared marketplace configuration</w:t>
            </w:r>
          </w:p>
        </w:tc>
      </w:tr>
    </w:tbl>
    <w:p>
      <w:pPr>
        <w:spacing w:after="40" w:before="0" w:line="192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6"/>
        </w:rPr>
      </w:r>
    </w:p>
    <w:p>
      <w:pPr>
        <w:pStyle w:val="Heading2"/>
        <w:keepNext/>
      </w:pPr>
      <w:r>
        <w:rPr>
          <w:rFonts w:ascii="Times New Roman" w:hAnsi="Times New Roman" w:eastAsia="Times New Roman" w:cs="Times New Roman"/>
          <w:b/>
          <w:i w:val="0"/>
          <w:color w:val="000000"/>
          <w:sz w:val="25"/>
        </w:rPr>
        <w:t>3.1 Seeded Software-Service Categories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Full-Stack Development; Frontend Development; Backend Development; Android Application Development; iOS Application Development; Rust and Firmware Development; Quality Assurance; Data Analysis; Cybersecurity; Graphic Design; UI/UX Design; Software-Related Animation; and Software-Related Video Editing.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4. Database Integrity and Module Integration Views</w:t>
      </w:r>
    </w:p>
    <w:p>
      <w:pPr>
        <w:pStyle w:val="Heading2"/>
        <w:keepNext/>
      </w:pPr>
      <w:r>
        <w:rPr>
          <w:rFonts w:ascii="Times New Roman" w:hAnsi="Times New Roman" w:eastAsia="Times New Roman" w:cs="Times New Roman"/>
          <w:b/>
          <w:i w:val="0"/>
          <w:color w:val="000000"/>
          <w:sz w:val="25"/>
        </w:rPr>
        <w:t>4.1 Enforced Data and Business Rules</w:t>
      </w:r>
    </w:p>
    <w:p>
      <w:pPr>
        <w:pStyle w:val="ListBullet"/>
        <w:spacing w:line="278" w:lineRule="auto"/>
        <w:ind w:left="540" w:hanging="271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Users.Email is unique; account status is restricted to Active, Suspended, or Deactivated.</w:t>
      </w:r>
    </w:p>
    <w:p>
      <w:pPr>
        <w:pStyle w:val="ListBullet"/>
        <w:spacing w:line="278" w:lineRule="auto"/>
        <w:ind w:left="540" w:hanging="271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Existing account roles cannot be changed, and the final active platform administrator cannot be removed.</w:t>
      </w:r>
    </w:p>
    <w:p>
      <w:pPr>
        <w:pStyle w:val="ListBullet"/>
        <w:spacing w:line="278" w:lineRule="auto"/>
        <w:ind w:left="540" w:hanging="271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ClientProfiles and Carts require a Client account; FreelancerProfiles and Services require a Freelancer account.</w:t>
      </w:r>
    </w:p>
    <w:p>
      <w:pPr>
        <w:pStyle w:val="ListBullet"/>
        <w:spacing w:line="278" w:lineRule="auto"/>
        <w:ind w:left="540" w:hanging="271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Services enforce nonnegative prices and slots, positive delivery days, and a valid service category.</w:t>
      </w:r>
    </w:p>
    <w:p>
      <w:pPr>
        <w:pStyle w:val="ListBullet"/>
        <w:spacing w:line="278" w:lineRule="auto"/>
        <w:ind w:left="540" w:hanging="271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Orders require the correct Client/Freelancer role pair and the actual freelancer that owns the selected service.</w:t>
      </w:r>
    </w:p>
    <w:p>
      <w:pPr>
        <w:pStyle w:val="ListBullet"/>
        <w:spacing w:line="278" w:lineRule="auto"/>
        <w:ind w:left="540" w:hanging="271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Historical order amounts satisfy gross = quantity x unit price - discount, and freelancer earnings plus commission equal gross.</w:t>
      </w:r>
    </w:p>
    <w:p>
      <w:pPr>
        <w:pStyle w:val="ListBullet"/>
        <w:spacing w:line="278" w:lineRule="auto"/>
        <w:ind w:left="540" w:hanging="271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Each completed order can receive only one verified 1-to-5-star review, and freelancer average ratings refresh automatically.</w:t>
      </w:r>
    </w:p>
    <w:p>
      <w:pPr>
        <w:pStyle w:val="ListBullet"/>
        <w:spacing w:line="278" w:lineRule="auto"/>
        <w:ind w:left="540" w:hanging="271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A completed order receives at most one matching wallet credit; an approved withdrawal receives at most one matching debit.</w:t>
      </w:r>
    </w:p>
    <w:p>
      <w:pPr>
        <w:pStyle w:val="ListBullet"/>
        <w:spacing w:line="278" w:lineRule="auto"/>
        <w:ind w:left="540" w:hanging="271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Offer discounts stay between 0 and 100 percent, and the offer end date cannot precede its start date.</w:t>
      </w:r>
    </w:p>
    <w:p>
      <w:pPr>
        <w:pStyle w:val="Heading2"/>
        <w:keepNext/>
      </w:pPr>
      <w:r>
        <w:rPr>
          <w:rFonts w:ascii="Times New Roman" w:hAnsi="Times New Roman" w:eastAsia="Times New Roman" w:cs="Times New Roman"/>
          <w:b/>
          <w:i w:val="0"/>
          <w:color w:val="000000"/>
          <w:sz w:val="25"/>
        </w:rPr>
        <w:t>4.2 Shared Read-Only Views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3620"/>
        <w:gridCol w:w="5740"/>
      </w:tblGrid>
      <w:tr>
        <w:trPr>
          <w:tblHeader w:val="true"/>
        </w:trPr>
        <w:tc>
          <w:tcPr>
            <w:tcW w:type="dxa" w:w="362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Database View</w:t>
            </w:r>
          </w:p>
        </w:tc>
        <w:tc>
          <w:tcPr>
            <w:tcW w:type="dxa" w:w="574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Intended Use</w:t>
            </w:r>
          </w:p>
        </w:tc>
      </w:tr>
      <w:tr>
        <w:trPr/>
        <w:tc>
          <w:tcPr>
            <w:tcW w:type="dxa" w:w="362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dbo.vw_UserAccounts</w:t>
            </w:r>
          </w:p>
        </w:tc>
        <w:tc>
          <w:tcPr>
            <w:tcW w:type="dxa" w:w="574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Safe account listing; includes canonical role and compatibility type without exposing password hashes</w:t>
            </w:r>
          </w:p>
        </w:tc>
      </w:tr>
      <w:tr>
        <w:trPr/>
        <w:tc>
          <w:tcPr>
            <w:tcW w:type="dxa" w:w="362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dbo.vw_ServiceCatalog</w:t>
            </w:r>
          </w:p>
        </w:tc>
        <w:tc>
          <w:tcPr>
            <w:tcW w:type="dxa" w:w="574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Joined category, freelancer, verification, rating, price, delivery, and service-capacity data</w:t>
            </w:r>
          </w:p>
        </w:tc>
      </w:tr>
      <w:tr>
        <w:trPr/>
        <w:tc>
          <w:tcPr>
            <w:tcW w:type="dxa" w:w="362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dbo.vw_OrderFinancialSummary</w:t>
            </w:r>
          </w:p>
        </w:tc>
        <w:tc>
          <w:tcPr>
            <w:tcW w:type="dxa" w:w="574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Order participants, payment status, historical price, commission, and freelancer earnings</w:t>
            </w:r>
          </w:p>
        </w:tc>
      </w:tr>
      <w:tr>
        <w:trPr/>
        <w:tc>
          <w:tcPr>
            <w:tcW w:type="dxa" w:w="362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dbo.vw_FreelancerWalletBalances</w:t>
            </w:r>
          </w:p>
        </w:tc>
        <w:tc>
          <w:tcPr>
            <w:tcW w:type="dxa" w:w="574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Ledger balance, pending withdrawal amount, and genuinely available balance</w:t>
            </w:r>
          </w:p>
        </w:tc>
      </w:tr>
    </w:tbl>
    <w:p>
      <w:pPr>
        <w:spacing w:after="40" w:before="0" w:line="192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6"/>
        </w:rPr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5. Completed Authentication and Account/Profile CRUD</w:t>
      </w:r>
    </w:p>
    <w:p>
      <w:pPr>
        <w:pStyle w:val="Heading2"/>
        <w:keepNext/>
      </w:pPr>
      <w:r>
        <w:rPr>
          <w:rFonts w:ascii="Times New Roman" w:hAnsi="Times New Roman" w:eastAsia="Times New Roman" w:cs="Times New Roman"/>
          <w:b/>
          <w:i w:val="0"/>
          <w:color w:val="000000"/>
          <w:sz w:val="25"/>
        </w:rPr>
        <w:t>5.1 Authentication and Account Security</w:t>
      </w:r>
    </w:p>
    <w:p>
      <w:pPr>
        <w:pStyle w:val="ListBullet"/>
        <w:spacing w:line="278" w:lineRule="auto"/>
        <w:ind w:left="540" w:hanging="271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Public registration permits only Client or Freelancer accounts; the platform Admin is seeded privately.</w:t>
      </w:r>
    </w:p>
    <w:p>
      <w:pPr>
        <w:pStyle w:val="ListBullet"/>
        <w:spacing w:line="278" w:lineRule="auto"/>
        <w:ind w:left="540" w:hanging="271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Client registration creates Users, ClientProfiles, and Carts within one database transaction.</w:t>
      </w:r>
    </w:p>
    <w:p>
      <w:pPr>
        <w:pStyle w:val="ListBullet"/>
        <w:spacing w:line="278" w:lineRule="auto"/>
        <w:ind w:left="540" w:hanging="271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Freelancer registration creates Users and FreelancerProfiles within one database transaction.</w:t>
      </w:r>
    </w:p>
    <w:p>
      <w:pPr>
        <w:pStyle w:val="ListBullet"/>
        <w:spacing w:line="278" w:lineRule="auto"/>
        <w:ind w:left="540" w:hanging="271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Passwords use PBKDF2-SHA256, an individual random salt, 120,000 iterations, and fixed-time hash comparison.</w:t>
      </w:r>
    </w:p>
    <w:p>
      <w:pPr>
        <w:pStyle w:val="ListBullet"/>
        <w:spacing w:line="278" w:lineRule="auto"/>
        <w:ind w:left="540" w:hanging="271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Passwords require at least eight characters with uppercase, lowercase, a digit, and a symbol.</w:t>
      </w:r>
    </w:p>
    <w:p>
      <w:pPr>
        <w:pStyle w:val="ListBullet"/>
        <w:spacing w:line="278" w:lineRule="auto"/>
        <w:ind w:left="540" w:hanging="271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Sign-in denies suspended/deactivated accounts, records successful login time, and routes by the actual database role.</w:t>
      </w:r>
    </w:p>
    <w:p>
      <w:pPr>
        <w:pStyle w:val="ListBullet"/>
        <w:spacing w:line="278" w:lineRule="auto"/>
        <w:ind w:left="540" w:hanging="271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Password changes require the correct current password; profile updates refresh the active user session.</w:t>
      </w:r>
    </w:p>
    <w:p>
      <w:pPr>
        <w:pStyle w:val="Heading2"/>
        <w:keepNext/>
      </w:pPr>
      <w:r>
        <w:rPr>
          <w:rFonts w:ascii="Times New Roman" w:hAnsi="Times New Roman" w:eastAsia="Times New Roman" w:cs="Times New Roman"/>
          <w:b/>
          <w:i w:val="0"/>
          <w:color w:val="000000"/>
          <w:sz w:val="25"/>
        </w:rPr>
        <w:t>5.2 Individual Demonstration Sequence</w:t>
      </w:r>
    </w:p>
    <w:p>
      <w:pPr>
        <w:pStyle w:val="ListNumber"/>
        <w:spacing w:line="278" w:lineRule="auto"/>
        <w:ind w:left="540" w:hanging="271"/>
        <w:numPr>
          <w:ilvl w:val="0"/>
          <w:numId w:val="11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Log in with the seeded Admin account and open Account / Profile CRUD.</w:t>
      </w:r>
    </w:p>
    <w:p>
      <w:pPr>
        <w:pStyle w:val="ListNumber"/>
        <w:spacing w:line="278" w:lineRule="auto"/>
        <w:ind w:left="540" w:hanging="271"/>
        <w:numPr>
          <w:ilvl w:val="0"/>
          <w:numId w:val="11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Create a new Client or Freelancer with a unique email and a strong password.</w:t>
      </w:r>
    </w:p>
    <w:p>
      <w:pPr>
        <w:pStyle w:val="ListNumber"/>
        <w:spacing w:line="278" w:lineRule="auto"/>
        <w:ind w:left="540" w:hanging="271"/>
        <w:numPr>
          <w:ilvl w:val="0"/>
          <w:numId w:val="11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Read the newly created account in the DataGridView and demonstrate search by name/email.</w:t>
      </w:r>
    </w:p>
    <w:p>
      <w:pPr>
        <w:pStyle w:val="ListNumber"/>
        <w:spacing w:line="278" w:lineRule="auto"/>
        <w:ind w:left="540" w:hanging="271"/>
        <w:numPr>
          <w:ilvl w:val="0"/>
          <w:numId w:val="11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Select the account, update its profile fields, and show the changed SQL Server record.</w:t>
      </w:r>
    </w:p>
    <w:p>
      <w:pPr>
        <w:pStyle w:val="ListNumber"/>
        <w:spacing w:line="278" w:lineRule="auto"/>
        <w:ind w:left="540" w:hanging="271"/>
        <w:numPr>
          <w:ilvl w:val="0"/>
          <w:numId w:val="11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Deactivate the same test account; explain that transactional history is preserved through soft deletion.</w:t>
      </w:r>
    </w:p>
    <w:p>
      <w:pPr>
        <w:pStyle w:val="ListNumber"/>
        <w:spacing w:line="278" w:lineRule="auto"/>
        <w:ind w:left="540" w:hanging="271"/>
        <w:numPr>
          <w:ilvl w:val="0"/>
          <w:numId w:val="11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Attempt an invalid email, duplicate email, weak password, or deactivated-account login to demonstrate validation.</w:t>
      </w:r>
    </w:p>
    <w:p>
      <w:pPr>
        <w:pStyle w:val="ListNumber"/>
        <w:spacing w:line="278" w:lineRule="auto"/>
        <w:ind w:left="540" w:hanging="271"/>
        <w:numPr>
          <w:ilvl w:val="0"/>
          <w:numId w:val="11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Show Client, Freelancer, and Admin logins reaching their separate dashboards.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Ownership clarification: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 This account/profile CRUD is Sakib's individual demonstration. Omi/Aumi still owns broader platform moderation and financial administration.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6. Role Mapping and Shared C# Session Contract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The project outline uses Admin, Freelancer, and Client in dbo.Roles. Earlier discussions used SUPER_ADMIN, ADMIN, and CUSTOMER. Both representations are available, but they must not be confused.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680"/>
        <w:gridCol w:w="2290"/>
        <w:gridCol w:w="2400"/>
        <w:gridCol w:w="2990"/>
      </w:tblGrid>
      <w:tr>
        <w:trPr>
          <w:tblHeader w:val="true"/>
        </w:trPr>
        <w:tc>
          <w:tcPr>
            <w:tcW w:type="dxa" w:w="168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Canonical Role</w:t>
            </w:r>
          </w:p>
        </w:tc>
        <w:tc>
          <w:tcPr>
            <w:tcW w:type="dxa" w:w="229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UserSession.RoleName</w:t>
            </w:r>
          </w:p>
        </w:tc>
        <w:tc>
          <w:tcPr>
            <w:tcW w:type="dxa" w:w="240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UserSession.UserType</w:t>
            </w:r>
          </w:p>
        </w:tc>
        <w:tc>
          <w:tcPr>
            <w:tcW w:type="dxa" w:w="299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Meaning</w:t>
            </w:r>
          </w:p>
        </w:tc>
      </w:tr>
      <w:tr>
        <w:trPr/>
        <w:tc>
          <w:tcPr>
            <w:tcW w:type="dxa" w:w="168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Admin</w:t>
            </w:r>
          </w:p>
        </w:tc>
        <w:tc>
          <w:tcPr>
            <w:tcW w:type="dxa" w:w="229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Admin</w:t>
            </w:r>
          </w:p>
        </w:tc>
        <w:tc>
          <w:tcPr>
            <w:tcW w:type="dxa" w:w="240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SUPER_ADMIN</w:t>
            </w:r>
          </w:p>
        </w:tc>
        <w:tc>
          <w:tcPr>
            <w:tcW w:type="dxa" w:w="299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Platform owner / super administrator</w:t>
            </w:r>
          </w:p>
        </w:tc>
      </w:tr>
      <w:tr>
        <w:trPr/>
        <w:tc>
          <w:tcPr>
            <w:tcW w:type="dxa" w:w="168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Freelancer</w:t>
            </w:r>
          </w:p>
        </w:tc>
        <w:tc>
          <w:tcPr>
            <w:tcW w:type="dxa" w:w="229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Freelancer</w:t>
            </w:r>
          </w:p>
        </w:tc>
        <w:tc>
          <w:tcPr>
            <w:tcW w:type="dxa" w:w="240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ADMIN</w:t>
            </w:r>
          </w:p>
        </w:tc>
        <w:tc>
          <w:tcPr>
            <w:tcW w:type="dxa" w:w="299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Service provider / shop-owner equivalent</w:t>
            </w:r>
          </w:p>
        </w:tc>
      </w:tr>
      <w:tr>
        <w:trPr/>
        <w:tc>
          <w:tcPr>
            <w:tcW w:type="dxa" w:w="168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Client</w:t>
            </w:r>
          </w:p>
        </w:tc>
        <w:tc>
          <w:tcPr>
            <w:tcW w:type="dxa" w:w="229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Client</w:t>
            </w:r>
          </w:p>
        </w:tc>
        <w:tc>
          <w:tcPr>
            <w:tcW w:type="dxa" w:w="240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CUSTOMER</w:t>
            </w:r>
          </w:p>
        </w:tc>
        <w:tc>
          <w:tcPr>
            <w:tcW w:type="dxa" w:w="299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Customer purchasing software services</w:t>
            </w:r>
          </w:p>
        </w:tc>
      </w:tr>
    </w:tbl>
    <w:p>
      <w:pPr>
        <w:spacing w:after="40" w:before="0" w:line="192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6"/>
        </w:rPr>
      </w:r>
    </w:p>
    <w:p>
      <w:pPr>
        <w:pStyle w:val="Heading2"/>
        <w:keepNext/>
      </w:pPr>
      <w:r>
        <w:rPr>
          <w:rFonts w:ascii="Times New Roman" w:hAnsi="Times New Roman" w:eastAsia="Times New Roman" w:cs="Times New Roman"/>
          <w:b/>
          <w:i w:val="0"/>
          <w:color w:val="000000"/>
          <w:sz w:val="25"/>
        </w:rPr>
        <w:t>6.1 Current User and Authorization</w:t>
      </w:r>
    </w:p>
    <w:p>
      <w:pPr>
        <w:spacing w:before="60" w:after="120" w:line="264" w:lineRule="auto"/>
        <w:ind w:left="173" w:right="173"/>
        <w:shd w:val="clear" w:fill="F1F1F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8"/>
        </w:rPr>
        <w:t>using SkillHub.Models;</w:t>
      </w:r>
      <w: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8"/>
        </w:rPr>
        <w:t>using SkillHub.Services;</w:t>
      </w:r>
      <w: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8"/>
        </w:rPr>
        <w:t>using SkillHub.Utilities;</w:t>
      </w:r>
      <w: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8"/>
        </w:rPr>
      </w:r>
      <w: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8"/>
        </w:rPr>
        <w:t>AuthorizationService.DemandRole(UserRoles.Freelancer);</w:t>
      </w:r>
      <w: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8"/>
        </w:rPr>
        <w:t>int signedInFreelancerId = UserSession.UserId;</w:t>
      </w:r>
      <w: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8"/>
        </w:rPr>
        <w:t>string canonicalRole = UserSession.RoleName;</w:t>
      </w:r>
      <w: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8"/>
        </w:rPr>
        <w:t>string compatibilityType = UserSession.UserType;</w:t>
      </w:r>
    </w:p>
    <w:p>
      <w:pPr>
        <w:pStyle w:val="Heading2"/>
        <w:keepNext/>
      </w:pPr>
      <w:r>
        <w:rPr>
          <w:rFonts w:ascii="Times New Roman" w:hAnsi="Times New Roman" w:eastAsia="Times New Roman" w:cs="Times New Roman"/>
          <w:b/>
          <w:i w:val="0"/>
          <w:color w:val="000000"/>
          <w:sz w:val="25"/>
        </w:rPr>
        <w:t>6.2 Required Parameterized Database Pattern</w:t>
      </w:r>
    </w:p>
    <w:p>
      <w:pPr>
        <w:spacing w:before="60" w:after="120" w:line="264" w:lineRule="auto"/>
        <w:ind w:left="173" w:right="173"/>
        <w:shd w:val="clear" w:fill="F1F1F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8"/>
        </w:rPr>
        <w:t>DatabaseConnection database = new DatabaseConnection();</w:t>
      </w:r>
      <w: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8"/>
        </w:rPr>
        <w:t>using (SqlConnection connection = database.OpenConnection())</w:t>
      </w:r>
      <w: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8"/>
        </w:rPr>
        <w:t>using (SqlCommand command = new SqlCommand(</w:t>
      </w:r>
      <w: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8"/>
        </w:rPr>
        <w:t xml:space="preserve">    "SELECT ServiceId, Title FROM dbo.Services "</w:t>
      </w:r>
      <w: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8"/>
        </w:rPr>
        <w:t xml:space="preserve">    + "WHERE FreelancerId = @FreelancerId;", connection))</w:t>
      </w:r>
      <w: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8"/>
        </w:rPr>
        <w:t>{</w:t>
      </w:r>
      <w: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8"/>
        </w:rPr>
        <w:t xml:space="preserve">    DatabaseConnection.AddParameter(command, "@FreelancerId",</w:t>
      </w:r>
      <w: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8"/>
        </w:rPr>
        <w:t xml:space="preserve">        SqlDbType.Int, UserSession.UserId);</w:t>
      </w:r>
      <w: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8"/>
        </w:rPr>
        <w:t xml:space="preserve">    // ExecuteReader or SqlDataAdapter uses the current user's rows.</w:t>
      </w:r>
      <w: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8"/>
        </w:rPr>
        <w:t>}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Never hardcode IDs, concatenate textbox values into SQL, create a second database connection class, or expose Admin registration publicly.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7. Teammate Integration: Sadman and Anika</w:t>
      </w:r>
    </w:p>
    <w:p>
      <w:pPr>
        <w:pStyle w:val="Heading2"/>
        <w:keepNext/>
      </w:pPr>
      <w:r>
        <w:rPr>
          <w:rFonts w:ascii="Times New Roman" w:hAnsi="Times New Roman" w:eastAsia="Times New Roman" w:cs="Times New Roman"/>
          <w:b/>
          <w:i w:val="0"/>
          <w:color w:val="000000"/>
          <w:sz w:val="25"/>
        </w:rPr>
        <w:t>7.1 Sadman - Freelancer Services and Wallet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Branch: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 feature/freelancer-services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Landing page: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 Forms/Freelancer/FrmFreelancerDashboard.cs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Authorization: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 AuthorizationService.DemandRole(UserRoles.Freelancer)</w:t>
      </w:r>
    </w:p>
    <w:p>
      <w:pPr>
        <w:pStyle w:val="ListBullet"/>
        <w:spacing w:line="278" w:lineRule="auto"/>
        <w:ind w:left="540" w:hanging="271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FreelancerProfiles: professional title, biography, skills, verification, and average rating.</w:t>
      </w:r>
    </w:p>
    <w:p>
      <w:pPr>
        <w:pStyle w:val="ListBullet"/>
        <w:spacing w:line="278" w:lineRule="auto"/>
        <w:ind w:left="540" w:hanging="271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Services and Categories: service CRUD, category selection, price, delivery days, active status, and available slots.</w:t>
      </w:r>
    </w:p>
    <w:p>
      <w:pPr>
        <w:pStyle w:val="ListBullet"/>
        <w:spacing w:line="278" w:lineRule="auto"/>
        <w:ind w:left="540" w:hanging="271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Orders: signed-in freelancer's order acceptance, in-progress processing, and delivery.</w:t>
      </w:r>
    </w:p>
    <w:p>
      <w:pPr>
        <w:pStyle w:val="ListBullet"/>
        <w:spacing w:line="278" w:lineRule="auto"/>
        <w:ind w:left="540" w:hanging="271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WalletTransactions and WithdrawalRequests: earning history and simulated payout requests.</w:t>
      </w:r>
    </w:p>
    <w:p>
      <w:pPr>
        <w:pStyle w:val="ListBullet"/>
        <w:spacing w:line="278" w:lineRule="auto"/>
        <w:ind w:left="540" w:hanging="271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vw_FreelancerWalletBalances: available balance after subtracting pending withdrawal requests.</w:t>
      </w:r>
    </w:p>
    <w:p>
      <w:pPr>
        <w:pStyle w:val="Heading2"/>
        <w:keepNext/>
      </w:pPr>
      <w:r>
        <w:rPr>
          <w:rFonts w:ascii="Times New Roman" w:hAnsi="Times New Roman" w:eastAsia="Times New Roman" w:cs="Times New Roman"/>
          <w:b/>
          <w:i w:val="0"/>
          <w:color w:val="000000"/>
          <w:sz w:val="25"/>
        </w:rPr>
        <w:t>7.2 Anika - Client Discovery, Cart, and Ordering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Branch: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 feature/client-orders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Landing page: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 Forms/Client/FrmClientDashboard.cs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Authorization: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 AuthorizationService.DemandRole(UserRoles.Client)</w:t>
      </w:r>
    </w:p>
    <w:p>
      <w:pPr>
        <w:pStyle w:val="ListBullet"/>
        <w:spacing w:line="278" w:lineRule="auto"/>
        <w:ind w:left="540" w:hanging="271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vw_ServiceCatalog: browse/filter by freelancer, category, price, rating, delivery days, and available slots.</w:t>
      </w:r>
    </w:p>
    <w:p>
      <w:pPr>
        <w:pStyle w:val="ListBullet"/>
        <w:spacing w:line="278" w:lineRule="auto"/>
        <w:ind w:left="540" w:hanging="271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Carts and CartItems: automatically provisioned client cart and required cart-item CRUD demonstration.</w:t>
      </w:r>
    </w:p>
    <w:p>
      <w:pPr>
        <w:pStyle w:val="ListBullet"/>
        <w:spacing w:line="278" w:lineRule="auto"/>
        <w:ind w:left="540" w:hanging="271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Offers: platform-wide or service-specific discounts valid within their configured date range.</w:t>
      </w:r>
    </w:p>
    <w:p>
      <w:pPr>
        <w:pStyle w:val="ListBullet"/>
        <w:spacing w:line="278" w:lineRule="auto"/>
        <w:ind w:left="540" w:hanging="271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Orders and Payments: one order per cart line, simulated payment, slot reduction, and historical financial snapshots.</w:t>
      </w:r>
    </w:p>
    <w:p>
      <w:pPr>
        <w:pStyle w:val="ListBullet"/>
        <w:spacing w:line="278" w:lineRule="auto"/>
        <w:ind w:left="540" w:hanging="271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Reviews and Disputes: one verified completed-order review and signed-in client dispute creation.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Critical checkout rule: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 Cart validation, capacity reduction, order creation, payment insertion, and cart cleanup must share a single SQL transaction.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8. Teammate Integration: Omi / Aumi - Admin and Finance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Branch: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 feature/admin-finance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Landing page: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 Forms/Admin/FrmAdminDashboard.cs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Authorization: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 AuthorizationService.DemandRole(UserRoles.Admin)</w:t>
      </w:r>
    </w:p>
    <w:p>
      <w:pPr>
        <w:pStyle w:val="ListBullet"/>
        <w:spacing w:line="278" w:lineRule="auto"/>
        <w:ind w:left="540" w:hanging="271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vw_UserAccounts and Users: platform moderation, freelancer suspension, account status, and safe user search.</w:t>
      </w:r>
    </w:p>
    <w:p>
      <w:pPr>
        <w:pStyle w:val="ListBullet"/>
        <w:spacing w:line="278" w:lineRule="auto"/>
        <w:ind w:left="540" w:hanging="271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Categories and Offers: required Category/Offer CRUD, activation, discount percentage, and valid dates.</w:t>
      </w:r>
    </w:p>
    <w:p>
      <w:pPr>
        <w:pStyle w:val="ListBullet"/>
        <w:spacing w:line="278" w:lineRule="auto"/>
        <w:ind w:left="540" w:hanging="271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Services: service moderation and soft deactivation without deleting transactional history.</w:t>
      </w:r>
    </w:p>
    <w:p>
      <w:pPr>
        <w:pStyle w:val="ListBullet"/>
        <w:spacing w:line="278" w:lineRule="auto"/>
        <w:ind w:left="540" w:hanging="271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Disputes: administrator-reviewed refund or payment-release decisions.</w:t>
      </w:r>
    </w:p>
    <w:p>
      <w:pPr>
        <w:pStyle w:val="ListBullet"/>
        <w:spacing w:line="278" w:lineRule="auto"/>
        <w:ind w:left="540" w:hanging="271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WithdrawalRequests and WalletTransactions: approve/reject payouts and record exactly one valid debit.</w:t>
      </w:r>
    </w:p>
    <w:p>
      <w:pPr>
        <w:pStyle w:val="ListBullet"/>
        <w:spacing w:line="278" w:lineRule="auto"/>
        <w:ind w:left="540" w:hanging="271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PlatformSettings and vw_OrderFinancialSummary: future commission changes and historical revenue reports.</w:t>
      </w:r>
    </w:p>
    <w:p>
      <w:pPr>
        <w:pStyle w:val="Heading2"/>
        <w:keepNext/>
      </w:pPr>
      <w:r>
        <w:rPr>
          <w:rFonts w:ascii="Times New Roman" w:hAnsi="Times New Roman" w:eastAsia="Times New Roman" w:cs="Times New Roman"/>
          <w:b/>
          <w:i w:val="0"/>
          <w:color w:val="000000"/>
          <w:sz w:val="25"/>
        </w:rPr>
        <w:t>8.1 Locked Status Values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Area</w:t>
            </w:r>
          </w:p>
        </w:tc>
        <w:tc>
          <w:tcPr>
            <w:tcW w:type="dxa" w:w="746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Approved Values</w:t>
            </w:r>
          </w:p>
        </w:tc>
      </w:tr>
      <w:tr>
        <w:trPr/>
        <w:tc>
          <w:tcPr>
            <w:tcW w:type="dxa" w:w="190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Account</w:t>
            </w:r>
          </w:p>
        </w:tc>
        <w:tc>
          <w:tcPr>
            <w:tcW w:type="dxa" w:w="746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Active; Suspended; Deactivated</w:t>
            </w:r>
          </w:p>
        </w:tc>
      </w:tr>
      <w:tr>
        <w:trPr/>
        <w:tc>
          <w:tcPr>
            <w:tcW w:type="dxa" w:w="190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Order</w:t>
            </w:r>
          </w:p>
        </w:tc>
        <w:tc>
          <w:tcPr>
            <w:tcW w:type="dxa" w:w="746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Pending Payment; Placed; In Progress; Delivered; Completed; Disputed; Cancelled; Refunded</w:t>
            </w:r>
          </w:p>
        </w:tc>
      </w:tr>
      <w:tr>
        <w:trPr/>
        <w:tc>
          <w:tcPr>
            <w:tcW w:type="dxa" w:w="190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Payment</w:t>
            </w:r>
          </w:p>
        </w:tc>
        <w:tc>
          <w:tcPr>
            <w:tcW w:type="dxa" w:w="746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Pending; Paid; Failed; Refunded</w:t>
            </w:r>
          </w:p>
        </w:tc>
      </w:tr>
      <w:tr>
        <w:trPr/>
        <w:tc>
          <w:tcPr>
            <w:tcW w:type="dxa" w:w="190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Withdrawal</w:t>
            </w:r>
          </w:p>
        </w:tc>
        <w:tc>
          <w:tcPr>
            <w:tcW w:type="dxa" w:w="746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Pending; Approved; Rejected</w:t>
            </w:r>
          </w:p>
        </w:tc>
      </w:tr>
      <w:tr>
        <w:trPr/>
        <w:tc>
          <w:tcPr>
            <w:tcW w:type="dxa" w:w="190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Dispute</w:t>
            </w:r>
          </w:p>
        </w:tc>
        <w:tc>
          <w:tcPr>
            <w:tcW w:type="dxa" w:w="746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Open; Under Review; Resolved; Rejected</w:t>
            </w:r>
          </w:p>
        </w:tc>
      </w:tr>
    </w:tbl>
    <w:p>
      <w:pPr>
        <w:spacing w:after="40" w:before="0" w:line="192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6"/>
        </w:rPr>
      </w:r>
    </w:p>
    <w:p>
      <w:pPr>
        <w:pStyle w:val="Heading2"/>
        <w:keepNext/>
      </w:pPr>
      <w:r>
        <w:rPr>
          <w:rFonts w:ascii="Times New Roman" w:hAnsi="Times New Roman" w:eastAsia="Times New Roman" w:cs="Times New Roman"/>
          <w:b/>
          <w:i w:val="0"/>
          <w:color w:val="000000"/>
          <w:sz w:val="25"/>
        </w:rPr>
        <w:t>8.2 Financial Snapshot Example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440"/>
        <w:gridCol w:w="2010"/>
        <w:gridCol w:w="2430"/>
        <w:gridCol w:w="2480"/>
      </w:tblGrid>
      <w:tr>
        <w:trPr>
          <w:tblHeader w:val="true"/>
        </w:trPr>
        <w:tc>
          <w:tcPr>
            <w:tcW w:type="dxa" w:w="244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Client Gross Payment</w:t>
            </w:r>
          </w:p>
        </w:tc>
        <w:tc>
          <w:tcPr>
            <w:tcW w:type="dxa" w:w="201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Commission Rate</w:t>
            </w:r>
          </w:p>
        </w:tc>
        <w:tc>
          <w:tcPr>
            <w:tcW w:type="dxa" w:w="243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Platform Revenue</w:t>
            </w:r>
          </w:p>
        </w:tc>
        <w:tc>
          <w:tcPr>
            <w:tcW w:type="dxa" w:w="248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Freelancer Earning</w:t>
            </w:r>
          </w:p>
        </w:tc>
      </w:tr>
      <w:tr>
        <w:trPr/>
        <w:tc>
          <w:tcPr>
            <w:tcW w:type="dxa" w:w="244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BDT 5,000.00</w:t>
            </w:r>
          </w:p>
        </w:tc>
        <w:tc>
          <w:tcPr>
            <w:tcW w:type="dxa" w:w="201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10%</w:t>
            </w:r>
          </w:p>
        </w:tc>
        <w:tc>
          <w:tcPr>
            <w:tcW w:type="dxa" w:w="243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BDT 500.00</w:t>
            </w:r>
          </w:p>
        </w:tc>
        <w:tc>
          <w:tcPr>
            <w:tcW w:type="dxa" w:w="248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BDT 4,500.00</w:t>
            </w:r>
          </w:p>
        </w:tc>
      </w:tr>
    </w:tbl>
    <w:p>
      <w:pPr>
        <w:spacing w:after="40" w:before="0" w:line="192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6"/>
        </w:rPr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Use SQL DECIMAL and C# decimal, not float/double. Store the current unit price, discount, commission rate, commission amount, and freelancer earning directly on the order.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9. Verification and Group Handoff Checklist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420"/>
        <w:gridCol w:w="6940"/>
      </w:tblGrid>
      <w:tr>
        <w:trPr>
          <w:tblHeader w:val="true"/>
        </w:trPr>
        <w:tc>
          <w:tcPr>
            <w:tcW w:type="dxa" w:w="242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Check</w:t>
            </w:r>
          </w:p>
        </w:tc>
        <w:tc>
          <w:tcPr>
            <w:tcW w:type="dxa" w:w="694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Required Outcome</w:t>
            </w:r>
          </w:p>
        </w:tc>
      </w:tr>
      <w:tr>
        <w:trPr/>
        <w:tc>
          <w:tcPr>
            <w:tcW w:type="dxa" w:w="242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Database creation</w:t>
            </w:r>
          </w:p>
        </w:tc>
        <w:tc>
          <w:tcPr>
            <w:tcW w:type="dxa" w:w="694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Full SQL script creates SkillHubDB and all 16 required tables.</w:t>
            </w:r>
          </w:p>
        </w:tc>
      </w:tr>
      <w:tr>
        <w:trPr/>
        <w:tc>
          <w:tcPr>
            <w:tcW w:type="dxa" w:w="242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Rerun safety</w:t>
            </w:r>
          </w:p>
        </w:tc>
        <w:tc>
          <w:tcPr>
            <w:tcW w:type="dxa" w:w="694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Running the script again preserves data and does not duplicate role/category/account seeds.</w:t>
            </w:r>
          </w:p>
        </w:tc>
      </w:tr>
      <w:tr>
        <w:trPr/>
        <w:tc>
          <w:tcPr>
            <w:tcW w:type="dxa" w:w="242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Roles and categories</w:t>
            </w:r>
          </w:p>
        </w:tc>
        <w:tc>
          <w:tcPr>
            <w:tcW w:type="dxa" w:w="694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Exactly 3 role types and all 13 approved software-service categories are available.</w:t>
            </w:r>
          </w:p>
        </w:tc>
      </w:tr>
      <w:tr>
        <w:trPr/>
        <w:tc>
          <w:tcPr>
            <w:tcW w:type="dxa" w:w="242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Seed authentication</w:t>
            </w:r>
          </w:p>
        </w:tc>
        <w:tc>
          <w:tcPr>
            <w:tcW w:type="dxa" w:w="694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Each demo password matches its salted PBKDF2-SHA256 database hash.</w:t>
            </w:r>
          </w:p>
        </w:tc>
      </w:tr>
      <w:tr>
        <w:trPr/>
        <w:tc>
          <w:tcPr>
            <w:tcW w:type="dxa" w:w="242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Role routing</w:t>
            </w:r>
          </w:p>
        </w:tc>
        <w:tc>
          <w:tcPr>
            <w:tcW w:type="dxa" w:w="694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Admin, Freelancer, and Client reach only their own dashboards.</w:t>
            </w:r>
          </w:p>
        </w:tc>
      </w:tr>
      <w:tr>
        <w:trPr/>
        <w:tc>
          <w:tcPr>
            <w:tcW w:type="dxa" w:w="242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Registration</w:t>
            </w:r>
          </w:p>
        </w:tc>
        <w:tc>
          <w:tcPr>
            <w:tcW w:type="dxa" w:w="694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Client/Freelancer accounts create the correct child records in a single transaction.</w:t>
            </w:r>
          </w:p>
        </w:tc>
      </w:tr>
      <w:tr>
        <w:trPr/>
        <w:tc>
          <w:tcPr>
            <w:tcW w:type="dxa" w:w="242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Account CRUD</w:t>
            </w:r>
          </w:p>
        </w:tc>
        <w:tc>
          <w:tcPr>
            <w:tcW w:type="dxa" w:w="694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Admin can create, search/read, update, and soft-deactivate a test account.</w:t>
            </w:r>
          </w:p>
        </w:tc>
      </w:tr>
      <w:tr>
        <w:trPr/>
        <w:tc>
          <w:tcPr>
            <w:tcW w:type="dxa" w:w="242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Validation</w:t>
            </w:r>
          </w:p>
        </w:tc>
        <w:tc>
          <w:tcPr>
            <w:tcW w:type="dxa" w:w="694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Invalid email, duplicate email, weak password, and incorrect current password are rejected.</w:t>
            </w:r>
          </w:p>
        </w:tc>
      </w:tr>
      <w:tr>
        <w:trPr/>
        <w:tc>
          <w:tcPr>
            <w:tcW w:type="dxa" w:w="242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Authorization</w:t>
            </w:r>
          </w:p>
        </w:tc>
        <w:tc>
          <w:tcPr>
            <w:tcW w:type="dxa" w:w="694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Unauthorized roles cannot open protected screens; the current admin cannot deactivate itself.</w:t>
            </w:r>
          </w:p>
        </w:tc>
      </w:tr>
      <w:tr>
        <w:trPr/>
        <w:tc>
          <w:tcPr>
            <w:tcW w:type="dxa" w:w="242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Business integrity</w:t>
            </w:r>
          </w:p>
        </w:tc>
        <w:tc>
          <w:tcPr>
            <w:tcW w:type="dxa" w:w="694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Order/review/wallet guards, foreign keys, and financial checks prevent inconsistent rows.</w:t>
            </w:r>
          </w:p>
        </w:tc>
      </w:tr>
      <w:tr>
        <w:trPr/>
        <w:tc>
          <w:tcPr>
            <w:tcW w:type="dxa" w:w="242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Connection handling</w:t>
            </w:r>
          </w:p>
        </w:tc>
        <w:tc>
          <w:tcPr>
            <w:tcW w:type="dxa" w:w="694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Database failures show a safe, helpful message instead of exposing connection details.</w:t>
            </w:r>
          </w:p>
        </w:tc>
      </w:tr>
      <w:tr>
        <w:trPr/>
        <w:tc>
          <w:tcPr>
            <w:tcW w:type="dxa" w:w="242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Correct student ID</w:t>
            </w:r>
          </w:p>
        </w:tc>
        <w:tc>
          <w:tcPr>
            <w:tcW w:type="dxa" w:w="694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30" w:after="30" w:line="26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Every completed deliverable identifies Sakib as 24-58148-2.</w:t>
            </w:r>
          </w:p>
        </w:tc>
      </w:tr>
    </w:tbl>
    <w:p>
      <w:pPr>
        <w:spacing w:after="40" w:before="0" w:line="192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6"/>
        </w:rPr>
      </w:r>
    </w:p>
    <w:p>
      <w:pPr>
        <w:pStyle w:val="Heading2"/>
        <w:keepNext/>
      </w:pPr>
      <w:r>
        <w:rPr>
          <w:rFonts w:ascii="Times New Roman" w:hAnsi="Times New Roman" w:eastAsia="Times New Roman" w:cs="Times New Roman"/>
          <w:b/>
          <w:i w:val="0"/>
          <w:color w:val="000000"/>
          <w:sz w:val="25"/>
        </w:rPr>
        <w:t>9.1 Handoff Items to Share with the Group</w:t>
      </w:r>
    </w:p>
    <w:p>
      <w:pPr>
        <w:pStyle w:val="ListBullet"/>
        <w:spacing w:line="278" w:lineRule="auto"/>
        <w:ind w:left="540" w:hanging="271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Complete SkillHub Visual Studio solution and all assigned C# foundation files.</w:t>
      </w:r>
    </w:p>
    <w:p>
      <w:pPr>
        <w:pStyle w:val="ListBullet"/>
        <w:spacing w:line="278" w:lineRule="auto"/>
        <w:ind w:left="540" w:hanging="271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Database/SkillHubDatabase.sql plus Database/SkillHub_Verification.sql.</w:t>
      </w:r>
    </w:p>
    <w:p>
      <w:pPr>
        <w:pStyle w:val="ListBullet"/>
        <w:spacing w:line="278" w:lineRule="auto"/>
        <w:ind w:left="540" w:hanging="271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App.config, Data/DatabaseConnection.cs, and Utilities/UserSession.cs.</w:t>
      </w:r>
    </w:p>
    <w:p>
      <w:pPr>
        <w:pStyle w:val="ListBullet"/>
        <w:spacing w:line="278" w:lineRule="auto"/>
        <w:ind w:left="540" w:hanging="271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README.md, Documentation/TEAM_HANDOFF.md, and Documentation/AUTH_TEST_CASES.md.</w:t>
      </w:r>
    </w:p>
    <w:p>
      <w:pPr>
        <w:pStyle w:val="ListBullet"/>
        <w:spacing w:line="278" w:lineRule="auto"/>
        <w:ind w:left="540" w:hanging="271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This formal Word handoff document and the complete downloadable project ZIP archive.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Implementation boundary: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 Payment, wallet, and withdrawal represent simulated database operations only. The foundation does not claim to integrate a real payment gateway or complete another teammate's assigned UI module.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38" w:right="1440" w:bottom="1138" w:left="1440" w:header="562" w:footer="56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i w:val="0"/>
        <w:color w:val="000000"/>
        <w:sz w:val="18"/>
      </w:rPr>
      <w:t xml:space="preserve">Team Integration Handoff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Times New Roman" w:cs="Times New Roman"/>
        <w:b/>
        <w:i w:val="0"/>
        <w:color w:val="000000"/>
        <w:sz w:val="17"/>
      </w:rPr>
      <w:t>SKILLHUB DATABASE FOUNDATION | MD. NAZMUS SAKIB | 24-58148-2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Times New Roman" w:hAnsi="Times New Roman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Times New Roman" w:hAnsi="Times New Roman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Times New Roman" w:hAnsi="Times New Roman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81" w:lineRule="auto"/>
    </w:pPr>
    <w:rPr>
      <w:rFonts w:ascii="Times New Roman" w:hAnsi="Times New Roman" w:eastAsia="Times New Roman" w:cs="Times New Roman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81" w:lineRule="auto" w:before="0"/>
    </w:pPr>
    <w:rPr>
      <w:rFonts w:ascii="Times New Roman" w:hAnsi="Times New Roman" w:eastAsia="Times New Roman" w:cs="Times New Roman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81" w:lineRule="auto" w:before="0"/>
    </w:pPr>
    <w:rPr>
      <w:rFonts w:ascii="Times New Roman" w:hAnsi="Times New Roman" w:eastAsia="Times New Roman" w:cs="Times New Roman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81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81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81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1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20" w:line="281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81" w:lineRule="auto"/>
      <w:contextualSpacing/>
    </w:pPr>
    <w:rPr>
      <w:rFonts w:ascii="Times New Roman" w:hAnsi="Times New Roman" w:eastAsia="Times New Roman" w:cs="Times New Roman"/>
      <w:b w:val="0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281" w:lineRule="auto"/>
      <w:contextualSpacing/>
    </w:pPr>
    <w:rPr>
      <w:rFonts w:ascii="Times New Roman" w:hAnsi="Times New Roman" w:eastAsia="Times New Roman" w:cs="Times New Roman"/>
      <w:b w:val="0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SkillHub Database Foundation and Team Integration Handoff</dc:title>
  <dc:subject>Completed database, authentication, session, and account CRUD module</dc:subject>
  <dc:creator>MD. Nazmus Sakib - 24-58148-2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