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という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このうち、費用・住宅設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1に示した。群間差、調整回帰およびp値による評価は行わなかった。解析にはPython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承認を確認し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[2]。また、北海道では、浴室の寒さや室間温度差が他地域より小さいことが報告されている[3,4]。これらの知見を踏まえ、前報では、寒冷地においてセントラル暖房を含む全館暖房が浴室暖房乾燥機を代替し得る可能性に言及した[2]。本調査では、セントラル暖房使用者は28/140人であり、そのうち浴室寒さ5-7群が2人いた。また、19人は浴室暖房乾燥機も使用していた。こうした観察事実から、少なくとも本標本で観察された浴室暖房乾燥機の不使用・未設置および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寒さ体感の評価と定義上重なり、「不要」と理由2-7の両方を選択した者も3人いたため、「不要」と「障壁あり」は相互排他的ではない。寒さ体感別に示した割合は因果効果を意味せず、寒さを感じる者ほど制約を認識・回答しやすいという逆方向の解釈も可能である。また、本調査は便宜抽出による自己申告調査であり、五所川原市や青森県を代表せず、想起・回答誤差を伴う。断熱性能、築年、所有形態などによる交絡も残り、セントラル暖房が浴室や脱衣所まで実際に暖めていたかは確認していない。室温および健康アウトカムも測定していないため、青森県全体での両設備の代替関係、暖房設備による寒さの改善効果、入浴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auto" w:w="0"/>
        <w:tblLook w:firstRow="1" w:lastRow="0" w:firstColumn="0" w:lastColumn="0" w:noHBand="0" w:noVBand="0" w:val="0020"/>
      </w:tblPr>
      <w:tblGrid>
        <w:gridCol w:w="2640"/>
        <w:gridCol w:w="2640"/>
        <w:gridCol w:w="2640"/>
      </w:tblGrid>
      <w:tr>
        <w:trPr>
          <w:tblHeader w:val="on"/>
          <w:tblHeader w:val="true"/>
          <w:cantSplit/>
        </w:trPr>
        <w:tc>
          <w:tcPr>
            <w:vAlign w:val="center"/>
          </w:tcPr>
          <w:p>
            <w:pPr>
              <w:pStyle w:val="Compact"/>
              <w:spacing w:line="240" w:lineRule="auto" w:after="0"/>
            </w:pPr>
            <w:r>
              <w:rPr>
                <w:rFonts w:ascii="Times New Roman" w:hAnsi="Times New Roman" w:eastAsia="Yu Mincho"/>
                <w:sz w:val="18"/>
              </w:rPr>
              <w:t xml:space="preserve">Characteristic</w:t>
            </w:r>
          </w:p>
        </w:tc>
        <w:tc>
          <w:tcPr>
            <w:vAlign w:val="center"/>
          </w:tcPr>
          <w:p>
            <w:pPr>
              <w:pStyle w:val="Compact"/>
              <w:spacing w:line="240" w:lineRule="auto" w:after="0"/>
            </w:pPr>
            <w:r>
              <w:rPr>
                <w:rFonts w:ascii="Times New Roman" w:hAnsi="Times New Roman" w:eastAsia="Yu Mincho"/>
                <w:sz w:val="18"/>
              </w:rPr>
              <w:t xml:space="preserve">Category</w:t>
            </w:r>
          </w:p>
        </w:tc>
        <w:tc>
          <w:tcPr>
            <w:vAlign w:val="center"/>
          </w:tcPr>
          <w:p>
            <w:pPr>
              <w:pStyle w:val="Compact"/>
              <w:spacing w:line="240" w:lineRule="auto" w:after="0"/>
              <w:jc w:val="right"/>
            </w:pPr>
            <w:r>
              <w:rPr>
                <w:rFonts w:ascii="Times New Roman" w:hAnsi="Times New Roman" w:eastAsia="Yu Mincho"/>
                <w:sz w:val="18"/>
              </w:rPr>
              <w:t xml:space="preserve">n (%)</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18-49 years</w:t>
            </w:r>
          </w:p>
        </w:tc>
        <w:tc>
          <w:tcPr>
            <w:vAlign w:val="center"/>
          </w:tcPr>
          <w:p>
            <w:pPr>
              <w:pStyle w:val="Compact"/>
              <w:spacing w:line="240" w:lineRule="auto" w:after="0"/>
              <w:jc w:val="right"/>
            </w:pPr>
            <w:r>
              <w:rPr>
                <w:rFonts w:ascii="Times New Roman" w:hAnsi="Times New Roman" w:eastAsia="Yu Mincho"/>
                <w:sz w:val="18"/>
              </w:rPr>
              <w:t xml:space="preserve">32 (21.8)</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50-59 years</w:t>
            </w:r>
          </w:p>
        </w:tc>
        <w:tc>
          <w:tcPr>
            <w:vAlign w:val="center"/>
          </w:tcPr>
          <w:p>
            <w:pPr>
              <w:pStyle w:val="Compact"/>
              <w:spacing w:line="240" w:lineRule="auto" w:after="0"/>
              <w:jc w:val="right"/>
            </w:pPr>
            <w:r>
              <w:rPr>
                <w:rFonts w:ascii="Times New Roman" w:hAnsi="Times New Roman" w:eastAsia="Yu Mincho"/>
                <w:sz w:val="18"/>
              </w:rPr>
              <w:t xml:space="preserve">25 (17.0)</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60-69 years</w:t>
            </w:r>
          </w:p>
        </w:tc>
        <w:tc>
          <w:tcPr>
            <w:vAlign w:val="center"/>
          </w:tcPr>
          <w:p>
            <w:pPr>
              <w:pStyle w:val="Compact"/>
              <w:spacing w:line="240" w:lineRule="auto" w:after="0"/>
              <w:jc w:val="right"/>
            </w:pPr>
            <w:r>
              <w:rPr>
                <w:rFonts w:ascii="Times New Roman" w:hAnsi="Times New Roman" w:eastAsia="Yu Mincho"/>
                <w:sz w:val="18"/>
              </w:rPr>
              <w:t xml:space="preserve">61 (41.5)</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≥70 years</w:t>
            </w:r>
          </w:p>
        </w:tc>
        <w:tc>
          <w:tcPr>
            <w:vAlign w:val="center"/>
          </w:tcPr>
          <w:p>
            <w:pPr>
              <w:pStyle w:val="Compact"/>
              <w:spacing w:line="240" w:lineRule="auto" w:after="0"/>
              <w:jc w:val="right"/>
            </w:pPr>
            <w:r>
              <w:rPr>
                <w:rFonts w:ascii="Times New Roman" w:hAnsi="Times New Roman" w:eastAsia="Yu Mincho"/>
                <w:sz w:val="18"/>
              </w:rPr>
              <w:t xml:space="preserve">29 (19.7)</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Detached house</w:t>
            </w:r>
          </w:p>
        </w:tc>
        <w:tc>
          <w:tcPr>
            <w:vAlign w:val="center"/>
          </w:tcPr>
          <w:p>
            <w:pPr>
              <w:pStyle w:val="Compact"/>
              <w:spacing w:line="240" w:lineRule="auto" w:after="0"/>
              <w:jc w:val="right"/>
            </w:pPr>
            <w:r>
              <w:rPr>
                <w:rFonts w:ascii="Times New Roman" w:hAnsi="Times New Roman" w:eastAsia="Yu Mincho"/>
                <w:sz w:val="18"/>
              </w:rPr>
              <w:t xml:space="preserve">132 (89.8)</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Apartment/condominium</w:t>
            </w:r>
          </w:p>
        </w:tc>
        <w:tc>
          <w:tcPr>
            <w:vAlign w:val="center"/>
          </w:tcPr>
          <w:p>
            <w:pPr>
              <w:pStyle w:val="Compact"/>
              <w:spacing w:line="240" w:lineRule="auto" w:after="0"/>
              <w:jc w:val="right"/>
            </w:pPr>
            <w:r>
              <w:rPr>
                <w:rFonts w:ascii="Times New Roman" w:hAnsi="Times New Roman" w:eastAsia="Yu Mincho"/>
                <w:sz w:val="18"/>
              </w:rPr>
              <w:t xml:space="preserve">15 (10.2)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&lt;30 years</w:t>
            </w:r>
          </w:p>
        </w:tc>
        <w:tc>
          <w:tcPr>
            <w:vAlign w:val="center"/>
          </w:tcPr>
          <w:p>
            <w:pPr>
              <w:pStyle w:val="Compact"/>
              <w:spacing w:line="240" w:lineRule="auto" w:after="0"/>
              <w:jc w:val="right"/>
            </w:pPr>
            <w:r>
              <w:rPr>
                <w:rFonts w:ascii="Times New Roman" w:hAnsi="Times New Roman" w:eastAsia="Yu Mincho"/>
                <w:sz w:val="18"/>
              </w:rPr>
              <w:t xml:space="preserve">62 (42.2)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≥30 years</w:t>
            </w:r>
          </w:p>
        </w:tc>
        <w:tc>
          <w:tcPr>
            <w:vAlign w:val="center"/>
          </w:tcPr>
          <w:p>
            <w:pPr>
              <w:pStyle w:val="Compact"/>
              <w:spacing w:line="240" w:lineRule="auto" w:after="0"/>
              <w:jc w:val="right"/>
            </w:pPr>
            <w:r>
              <w:rPr>
                <w:rFonts w:ascii="Times New Roman" w:hAnsi="Times New Roman" w:eastAsia="Yu Mincho"/>
                <w:sz w:val="18"/>
              </w:rPr>
              <w:t xml:space="preserve">77 (52.4)</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Unknown</w:t>
            </w:r>
          </w:p>
        </w:tc>
        <w:tc>
          <w:tcPr>
            <w:vAlign w:val="center"/>
          </w:tcPr>
          <w:p>
            <w:pPr>
              <w:pStyle w:val="Compact"/>
              <w:spacing w:line="240" w:lineRule="auto" w:after="0"/>
              <w:jc w:val="right"/>
            </w:pPr>
            <w:r>
              <w:rPr>
                <w:rFonts w:ascii="Times New Roman" w:hAnsi="Times New Roman" w:eastAsia="Yu Mincho"/>
                <w:sz w:val="18"/>
              </w:rPr>
              <w:t xml:space="preserve">8 (5.4)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Owner-occupied</w:t>
            </w:r>
          </w:p>
        </w:tc>
        <w:tc>
          <w:tcPr>
            <w:vAlign w:val="center"/>
          </w:tcPr>
          <w:p>
            <w:pPr>
              <w:pStyle w:val="Compact"/>
              <w:spacing w:line="240" w:lineRule="auto" w:after="0"/>
              <w:jc w:val="right"/>
            </w:pPr>
            <w:r>
              <w:rPr>
                <w:rFonts w:ascii="Times New Roman" w:hAnsi="Times New Roman" w:eastAsia="Yu Mincho"/>
                <w:sz w:val="18"/>
              </w:rPr>
              <w:t xml:space="preserve">130 (88.4)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Rented</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1 (0.7)</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Daily</w:t>
            </w:r>
          </w:p>
        </w:tc>
        <w:tc>
          <w:tcPr>
            <w:vAlign w:val="center"/>
          </w:tcPr>
          <w:p>
            <w:pPr>
              <w:pStyle w:val="Compact"/>
              <w:spacing w:line="240" w:lineRule="auto" w:after="0"/>
              <w:jc w:val="right"/>
            </w:pPr>
            <w:r>
              <w:rPr>
                <w:rFonts w:ascii="Times New Roman" w:hAnsi="Times New Roman" w:eastAsia="Yu Mincho"/>
                <w:sz w:val="18"/>
              </w:rPr>
              <w:t xml:space="preserve">94 (63.9)</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4-6 times/week</w:t>
            </w:r>
          </w:p>
        </w:tc>
        <w:tc>
          <w:tcPr>
            <w:vAlign w:val="center"/>
          </w:tcPr>
          <w:p>
            <w:pPr>
              <w:pStyle w:val="Compact"/>
              <w:spacing w:line="240" w:lineRule="auto" w:after="0"/>
              <w:jc w:val="right"/>
            </w:pPr>
            <w:r>
              <w:rPr>
                <w:rFonts w:ascii="Times New Roman" w:hAnsi="Times New Roman" w:eastAsia="Yu Mincho"/>
                <w:sz w:val="18"/>
              </w:rPr>
              <w:t xml:space="preserve">36 (24.5)</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times/week</w:t>
            </w:r>
          </w:p>
        </w:tc>
        <w:tc>
          <w:tcPr>
            <w:vAlign w:val="center"/>
          </w:tcPr>
          <w:p>
            <w:pPr>
              <w:pStyle w:val="Compact"/>
              <w:spacing w:line="240" w:lineRule="auto" w:after="0"/>
              <w:jc w:val="right"/>
            </w:pPr>
            <w:r>
              <w:rPr>
                <w:rFonts w:ascii="Times New Roman" w:hAnsi="Times New Roman" w:eastAsia="Yu Mincho"/>
                <w:sz w:val="18"/>
              </w:rPr>
              <w:t xml:space="preserve">10 (6.8)</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times/month</w:t>
            </w:r>
          </w:p>
        </w:tc>
        <w:tc>
          <w:tcPr>
            <w:vAlign w:val="center"/>
          </w:tcPr>
          <w:p>
            <w:pPr>
              <w:pStyle w:val="Compact"/>
              <w:spacing w:line="240" w:lineRule="auto" w:after="0"/>
              <w:jc w:val="right"/>
            </w:pPr>
            <w:r>
              <w:rPr>
                <w:rFonts w:ascii="Times New Roman" w:hAnsi="Times New Roman" w:eastAsia="Yu Mincho"/>
                <w:sz w:val="18"/>
              </w:rPr>
              <w:t xml:space="preserve">2 (1.4)</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Almost never</w:t>
            </w:r>
          </w:p>
        </w:tc>
        <w:tc>
          <w:tcPr>
            <w:vAlign w:val="center"/>
          </w:tcPr>
          <w:p>
            <w:pPr>
              <w:pStyle w:val="Compact"/>
              <w:spacing w:line="240" w:lineRule="auto" w:after="0"/>
              <w:jc w:val="right"/>
            </w:pPr>
            <w:r>
              <w:rPr>
                <w:rFonts w:ascii="Times New Roman" w:hAnsi="Times New Roman" w:eastAsia="Yu Mincho"/>
                <w:sz w:val="18"/>
              </w:rPr>
              <w:t xml:space="preserve">5 (3.4)</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Double window/double glazing</w:t>
            </w:r>
          </w:p>
        </w:tc>
        <w:tc>
          <w:tcPr>
            <w:vAlign w:val="center"/>
          </w:tcPr>
          <w:p>
            <w:pPr>
              <w:pStyle w:val="Compact"/>
              <w:spacing w:line="240" w:lineRule="auto" w:after="0"/>
              <w:jc w:val="right"/>
            </w:pPr>
            <w:r>
              <w:rPr>
                <w:rFonts w:ascii="Times New Roman" w:hAnsi="Times New Roman" w:eastAsia="Yu Mincho"/>
                <w:sz w:val="18"/>
              </w:rPr>
              <w:t xml:space="preserve">111 (75.5)</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Single glazing</w:t>
            </w:r>
          </w:p>
        </w:tc>
        <w:tc>
          <w:tcPr>
            <w:vAlign w:val="center"/>
          </w:tcPr>
          <w:p>
            <w:pPr>
              <w:pStyle w:val="Compact"/>
              <w:spacing w:line="240" w:lineRule="auto" w:after="0"/>
              <w:jc w:val="right"/>
            </w:pPr>
            <w:r>
              <w:rPr>
                <w:rFonts w:ascii="Times New Roman" w:hAnsi="Times New Roman" w:eastAsia="Yu Mincho"/>
                <w:sz w:val="18"/>
              </w:rPr>
              <w:t xml:space="preserve">26 (17.7)</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No window</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Unknown/missing</w:t>
            </w:r>
          </w:p>
        </w:tc>
        <w:tc>
          <w:tcPr>
            <w:vAlign w:val="center"/>
          </w:tcPr>
          <w:p>
            <w:pPr>
              <w:pStyle w:val="Compact"/>
              <w:spacing w:line="240" w:lineRule="auto" w:after="0"/>
              <w:jc w:val="right"/>
            </w:pPr>
            <w:r>
              <w:rPr>
                <w:rFonts w:ascii="Times New Roman" w:hAnsi="Times New Roman" w:eastAsia="Yu Mincho"/>
                <w:sz w:val="18"/>
              </w:rPr>
              <w:t xml:space="preserve">3 (2.0)</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and used</w:t>
            </w:r>
          </w:p>
        </w:tc>
        <w:tc>
          <w:tcPr>
            <w:vAlign w:val="center"/>
          </w:tcPr>
          <w:p>
            <w:pPr>
              <w:pStyle w:val="Compact"/>
              <w:spacing w:line="240" w:lineRule="auto" w:after="0"/>
              <w:jc w:val="right"/>
            </w:pPr>
            <w:r>
              <w:rPr>
                <w:rFonts w:ascii="Times New Roman" w:hAnsi="Times New Roman" w:eastAsia="Yu Mincho"/>
                <w:sz w:val="18"/>
              </w:rPr>
              <w:t xml:space="preserve">35 (23.8)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but not used</w:t>
            </w:r>
          </w:p>
        </w:tc>
        <w:tc>
          <w:tcPr>
            <w:vAlign w:val="center"/>
          </w:tcPr>
          <w:p>
            <w:pPr>
              <w:pStyle w:val="Compact"/>
              <w:spacing w:line="240" w:lineRule="auto" w:after="0"/>
              <w:jc w:val="right"/>
            </w:pPr>
            <w:r>
              <w:rPr>
                <w:rFonts w:ascii="Times New Roman" w:hAnsi="Times New Roman" w:eastAsia="Yu Mincho"/>
                <w:sz w:val="18"/>
              </w:rPr>
              <w:t xml:space="preserve">13 (8.8)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Not installed</w:t>
            </w:r>
          </w:p>
        </w:tc>
        <w:tc>
          <w:tcPr>
            <w:vAlign w:val="center"/>
          </w:tcPr>
          <w:p>
            <w:pPr>
              <w:pStyle w:val="Compact"/>
              <w:spacing w:line="240" w:lineRule="auto" w:after="0"/>
              <w:jc w:val="right"/>
            </w:pPr>
            <w:r>
              <w:rPr>
                <w:rFonts w:ascii="Times New Roman" w:hAnsi="Times New Roman" w:eastAsia="Yu Mincho"/>
                <w:sz w:val="18"/>
              </w:rPr>
              <w:t xml:space="preserve">99 (67.3)</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24 hours</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for limited hours</w:t>
            </w:r>
          </w:p>
        </w:tc>
        <w:tc>
          <w:tcPr>
            <w:vAlign w:val="center"/>
          </w:tcPr>
          <w:p>
            <w:pPr>
              <w:pStyle w:val="Compact"/>
              <w:spacing w:line="240" w:lineRule="auto" w:after="0"/>
              <w:jc w:val="right"/>
            </w:pPr>
            <w:r>
              <w:rPr>
                <w:rFonts w:ascii="Times New Roman" w:hAnsi="Times New Roman" w:eastAsia="Yu Mincho"/>
                <w:sz w:val="18"/>
              </w:rPr>
              <w:t xml:space="preserve">12 (8.2)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Not used</w:t>
            </w:r>
          </w:p>
        </w:tc>
        <w:tc>
          <w:tcPr>
            <w:vAlign w:val="center"/>
          </w:tcPr>
          <w:p>
            <w:pPr>
              <w:pStyle w:val="Compact"/>
              <w:spacing w:line="240" w:lineRule="auto" w:after="0"/>
              <w:jc w:val="right"/>
            </w:pPr>
            <w:r>
              <w:rPr>
                <w:rFonts w:ascii="Times New Roman" w:hAnsi="Times New Roman" w:eastAsia="Yu Mincho"/>
                <w:sz w:val="18"/>
              </w:rPr>
              <w:t xml:space="preserve">112 (76.2)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Bathroom score 5-7</w:t>
            </w:r>
          </w:p>
        </w:tc>
        <w:tc>
          <w:tcPr>
            <w:vAlign w:val="center"/>
          </w:tcPr>
          <w:p>
            <w:pPr>
              <w:pStyle w:val="Compact"/>
              <w:spacing w:line="240" w:lineRule="auto" w:after="0"/>
              <w:jc w:val="right"/>
            </w:pPr>
            <w:r>
              <w:rPr>
                <w:rFonts w:ascii="Times New Roman" w:hAnsi="Times New Roman" w:eastAsia="Yu Mincho"/>
                <w:sz w:val="18"/>
              </w:rPr>
              <w:t xml:space="preserve">66 (44.9)</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Dressing-room score 5-7</w:t>
            </w:r>
          </w:p>
        </w:tc>
        <w:tc>
          <w:tcPr>
            <w:vAlign w:val="center"/>
          </w:tcPr>
          <w:p>
            <w:pPr>
              <w:pStyle w:val="Compact"/>
              <w:spacing w:line="240" w:lineRule="auto" w:after="0"/>
              <w:jc w:val="right"/>
            </w:pPr>
            <w:r>
              <w:rPr>
                <w:rFonts w:ascii="Times New Roman" w:hAnsi="Times New Roman" w:eastAsia="Yu Mincho"/>
                <w:sz w:val="18"/>
              </w:rPr>
              <w:t xml:space="preserve">77 (52.4)</w:t>
            </w:r>
          </w:p>
        </w:tc>
      </w:tr>
    </w:tbl>
    <w:p>
      <w:pPr>
        <w:pStyle w:val="BodyText"/>
      </w:pPr>
      <w:r>
        <w:rPr>
          <w:rFonts w:ascii="Times New Roman" w:hAnsi="Times New Roman" w:eastAsia="Yu Mincho"/>
          <w:sz w:val="24"/>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0ab4bd3df955986c91b583f2d5a0dc190ac02ea"/>
    <w:p>
      <w:pPr>
        <w:pStyle w:val="Heading3"/>
      </w:pPr>
      <w:r>
        <w:rPr>
          <w:rFonts w:ascii="Times New Roman" w:hAnsi="Times New Roman" w:eastAsia="Yu Mincho"/>
          <w:sz w:val="24"/>
        </w:rPr>
        <w:t xml:space="preserve">Figure 1. Reasons for non-installation or non-use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coldness 5-7 and coldness 1-4 groups included 62 and 50 respondents, respectively. Reasons were collected as multiple responses; therefore, percentages do not sum to 100%. Cost-related or housing/installation-related constraints comprise reasons 2-5; cost-related reasons comprise reasons 2-3; and housing/installation-related reasons comprise reasons 4-5.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644400"/>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64440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2026-08-07T07:36:14Z</dcterms:created>
  <dcterms:modified xsi:type="dcterms:W3CDTF">2026-08-07T07:36:14Z</dcterms:modified>
</cp:coreProperties>
</file>

<file path=docProps/custom.xml><?xml version="1.0" encoding="utf-8"?>
<Properties xmlns="http://schemas.openxmlformats.org/officeDocument/2006/custom-properties" xmlns:vt="http://schemas.openxmlformats.org/officeDocument/2006/docPropsVTypes"/>
</file>