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論文受付番号2386 査読コメントへの回答書</w:t>
      </w:r>
    </w:p>
    <w:p>
      <w:r>
        <w:t>日本温泉気候物理医学会雑誌 編集委員会ならびに査読者の先生方</w:t>
      </w:r>
    </w:p>
    <w:p>
      <w:r>
        <w:t>このたびは、拙稿をご査読いただき、丁寧なご助言と貴重なご指摘を賜り、誠にありがとうございました。ご指摘の各項目に沿って原稿を修正いたしました。以下に回答と修正前後の対応表を示します。ご再審査のほど、よろしくお願い申し上げます。</w:t>
      </w:r>
    </w:p>
    <w:p>
      <w:r>
        <w:t>論文題名　青森県五所川原市における浴室暖房乾燥機の未設置・未使用理由と浴室の温冷感</w:t>
      </w:r>
    </w:p>
    <w:p>
      <w:pPr>
        <w:jc w:val="right"/>
      </w:pPr>
      <w:r>
        <w:t>著者　野城 聡志</w:t>
      </w:r>
    </w:p>
    <w:p>
      <w:pPr>
        <w:pStyle w:val="Heading1"/>
      </w:pPr>
      <w:r>
        <w:t>A-1</w:t>
      </w:r>
    </w:p>
    <w:p>
      <w:r>
        <w:t>回答　ご指摘を踏まえ、5-7を「寒さ自覚群」、中立点の4を含む1-4を「寒さ非自覚群」としました。寒さを感じるかどうかに基づく主観的な区分であることを示す名称とし、英文をcold-perceiving group、non-cold-perceiving groupに統一しました。区分と集計値は変更していません。Figure LegendとTable 1の注記にも得点範囲を明記し、Fig. 1は新しい群名で差し替えました。</w:t>
      </w:r>
    </w:p>
    <w:p>
      <w:pPr>
        <w:spacing w:after="140"/>
      </w:pPr>
      <w:r>
        <w:t>修正箇所　和文抄録（p. 2）、II 方法2・3（pp. 4-5）、III 結果（p. 6）、IV 考察（p. 7）、英文抄録（pp. 10-11）、Figure Legend・Table 1・Fig. 1（pp. 12-14）。以下、ページ番号は修正原稿のものです。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4110"/>
        <w:gridCol w:w="4110"/>
      </w:tblGrid>
      <w:tr>
        <w:trPr>
          <w:cantSplit/>
          <w:tblHeader/>
        </w:trPr>
        <w:tc>
          <w:tcPr>
            <w:tcW w:type="dxa" w:w="1417"/>
            <w:vAlign w:val="center"/>
            <w:tcMar>
              <w:top w:w="95" w:type="dxa"/>
              <w:bottom w:w="95" w:type="dxa"/>
              <w:left w:w="100" w:type="dxa"/>
              <w:right w:w="100" w:type="dxa"/>
            </w:tcMar>
            <w:shd w:fill="E7E6E6"/>
          </w:tcPr>
          <w:p>
            <w:pPr>
              <w:spacing w:after="0" w:line="259" w:lineRule="auto"/>
              <w:jc w:val="center"/>
            </w:pPr>
            <w:r>
              <w:rPr>
                <w:b/>
                <w:sz w:val="19"/>
              </w:rPr>
              <w:t>修正箇所</w:t>
            </w:r>
          </w:p>
        </w:tc>
        <w:tc>
          <w:tcPr>
            <w:tcW w:type="dxa" w:w="4110"/>
            <w:vAlign w:val="center"/>
            <w:tcMar>
              <w:top w:w="95" w:type="dxa"/>
              <w:bottom w:w="95" w:type="dxa"/>
              <w:left w:w="100" w:type="dxa"/>
              <w:right w:w="100" w:type="dxa"/>
            </w:tcMar>
            <w:shd w:fill="E7E6E6"/>
          </w:tcPr>
          <w:p>
            <w:pPr>
              <w:spacing w:after="0" w:line="259" w:lineRule="auto"/>
              <w:jc w:val="center"/>
            </w:pPr>
            <w:r>
              <w:rPr>
                <w:b/>
                <w:sz w:val="19"/>
              </w:rPr>
              <w:t>修正前</w:t>
            </w:r>
          </w:p>
        </w:tc>
        <w:tc>
          <w:tcPr>
            <w:tcW w:type="dxa" w:w="4110"/>
            <w:vAlign w:val="center"/>
            <w:tcMar>
              <w:top w:w="95" w:type="dxa"/>
              <w:bottom w:w="95" w:type="dxa"/>
              <w:left w:w="100" w:type="dxa"/>
              <w:right w:w="100" w:type="dxa"/>
            </w:tcMar>
            <w:shd w:fill="E7E6E6"/>
          </w:tcPr>
          <w:p>
            <w:pPr>
              <w:spacing w:after="0" w:line="259" w:lineRule="auto"/>
              <w:jc w:val="center"/>
            </w:pPr>
            <w:r>
              <w:rPr>
                <w:b/>
                <w:sz w:val="19"/>
              </w:rPr>
              <w:t>修正後</w:t>
            </w:r>
          </w:p>
        </w:tc>
      </w:tr>
      <w:tr>
        <w:trPr>
          <w:cantSplit/>
        </w:trPr>
        <w:tc>
          <w:tcPr>
            <w:tcW w:type="dxa" w:w="1417"/>
            <w:vAlign w:val="center"/>
            <w:tcMar>
              <w:top w:w="95" w:type="dxa"/>
              <w:bottom w:w="95" w:type="dxa"/>
              <w:left w:w="100" w:type="dxa"/>
              <w:right w:w="100" w:type="dxa"/>
            </w:tcMar>
          </w:tcPr>
          <w:p>
            <w:pPr>
              <w:spacing w:after="0" w:line="259" w:lineRule="auto"/>
            </w:pPr>
            <w:r>
              <w:rPr>
                <w:b w:val="0"/>
                <w:sz w:val="19"/>
              </w:rPr>
              <w:t>群名</w:t>
              <w:br/>
              <w:t>本文全体</w:t>
            </w:r>
          </w:p>
        </w:tc>
        <w:tc>
          <w:tcPr>
            <w:tcW w:type="dxa" w:w="4110"/>
            <w:vAlign w:val="center"/>
            <w:tcMar>
              <w:top w:w="95" w:type="dxa"/>
              <w:bottom w:w="95" w:type="dxa"/>
              <w:left w:w="100" w:type="dxa"/>
              <w:right w:w="100" w:type="dxa"/>
            </w:tcMar>
          </w:tcPr>
          <w:p>
            <w:pPr>
              <w:spacing w:after="0" w:line="259" w:lineRule="auto"/>
            </w:pPr>
            <w:r>
              <w:rPr>
                <w:b w:val="0"/>
                <w:sz w:val="19"/>
              </w:rPr>
              <w:t>寒さ1-4群／寒さ5-7群</w:t>
            </w:r>
          </w:p>
        </w:tc>
        <w:tc>
          <w:tcPr>
            <w:tcW w:type="dxa" w:w="4110"/>
            <w:vAlign w:val="center"/>
            <w:tcMar>
              <w:top w:w="95" w:type="dxa"/>
              <w:bottom w:w="95" w:type="dxa"/>
              <w:left w:w="100" w:type="dxa"/>
              <w:right w:w="100" w:type="dxa"/>
            </w:tcMar>
          </w:tcPr>
          <w:p>
            <w:pPr>
              <w:spacing w:after="0" w:line="259" w:lineRule="auto"/>
            </w:pPr>
            <w:r>
              <w:rPr>
                <w:b w:val="0"/>
                <w:sz w:val="19"/>
              </w:rPr>
              <w:t>寒さ非自覚群／寒さ自覚群</w:t>
            </w:r>
          </w:p>
        </w:tc>
      </w:tr>
      <w:tr>
        <w:trPr>
          <w:cantSplit/>
        </w:trPr>
        <w:tc>
          <w:tcPr>
            <w:tcW w:type="dxa" w:w="1417"/>
            <w:vAlign w:val="center"/>
            <w:tcMar>
              <w:top w:w="95" w:type="dxa"/>
              <w:bottom w:w="95" w:type="dxa"/>
              <w:left w:w="100" w:type="dxa"/>
              <w:right w:w="100" w:type="dxa"/>
            </w:tcMar>
          </w:tcPr>
          <w:p>
            <w:pPr>
              <w:spacing w:after="0" w:line="259" w:lineRule="auto"/>
            </w:pPr>
            <w:r>
              <w:rPr>
                <w:b w:val="0"/>
                <w:sz w:val="19"/>
              </w:rPr>
              <w:t>II 方法2</w:t>
            </w:r>
          </w:p>
        </w:tc>
        <w:tc>
          <w:tcPr>
            <w:tcW w:type="dxa" w:w="4110"/>
            <w:vAlign w:val="center"/>
            <w:tcMar>
              <w:top w:w="95" w:type="dxa"/>
              <w:bottom w:w="95" w:type="dxa"/>
              <w:left w:w="100" w:type="dxa"/>
              <w:right w:w="100" w:type="dxa"/>
            </w:tcMar>
          </w:tcPr>
          <w:p>
            <w:pPr>
              <w:spacing w:after="0" w:line="259" w:lineRule="auto"/>
            </w:pPr>
            <w:r>
              <w:rPr>
                <w:b w:val="0"/>
                <w:sz w:val="19"/>
              </w:rPr>
              <w:t>解析前に定めた区分により、5-7を寒さ5-7群、1-4を寒さ1-4群とした。</w:t>
            </w:r>
          </w:p>
        </w:tc>
        <w:tc>
          <w:tcPr>
            <w:tcW w:type="dxa" w:w="4110"/>
            <w:vAlign w:val="center"/>
            <w:tcMar>
              <w:top w:w="95" w:type="dxa"/>
              <w:bottom w:w="95" w:type="dxa"/>
              <w:left w:w="100" w:type="dxa"/>
              <w:right w:w="100" w:type="dxa"/>
            </w:tcMar>
          </w:tcPr>
          <w:p>
            <w:pPr>
              <w:spacing w:after="0" w:line="259" w:lineRule="auto"/>
            </w:pPr>
            <w:r>
              <w:rPr>
                <w:b w:val="0"/>
                <w:sz w:val="19"/>
              </w:rPr>
              <w:t>集計前に定めた区分により、5-7を寒さ自覚群、1-4を寒さ非自覚群とした。</w:t>
            </w:r>
          </w:p>
        </w:tc>
      </w:tr>
      <w:tr>
        <w:trPr>
          <w:cantSplit/>
        </w:trPr>
        <w:tc>
          <w:tcPr>
            <w:tcW w:type="dxa" w:w="1417"/>
            <w:vAlign w:val="center"/>
            <w:tcMar>
              <w:top w:w="95" w:type="dxa"/>
              <w:bottom w:w="95" w:type="dxa"/>
              <w:left w:w="100" w:type="dxa"/>
              <w:right w:w="100" w:type="dxa"/>
            </w:tcMar>
          </w:tcPr>
          <w:p>
            <w:pPr>
              <w:spacing w:after="0" w:line="259" w:lineRule="auto"/>
            </w:pPr>
            <w:r>
              <w:rPr>
                <w:b w:val="0"/>
                <w:sz w:val="19"/>
              </w:rPr>
              <w:t>英文抄録</w:t>
            </w:r>
          </w:p>
        </w:tc>
        <w:tc>
          <w:tcPr>
            <w:tcW w:type="dxa" w:w="4110"/>
            <w:vAlign w:val="center"/>
            <w:tcMar>
              <w:top w:w="95" w:type="dxa"/>
              <w:bottom w:w="95" w:type="dxa"/>
              <w:left w:w="100" w:type="dxa"/>
              <w:right w:w="100" w:type="dxa"/>
            </w:tcMar>
          </w:tcPr>
          <w:p>
            <w:pPr>
              <w:spacing w:after="0" w:line="259" w:lineRule="auto"/>
            </w:pPr>
            <w:r>
              <w:rPr>
                <w:b w:val="0"/>
                <w:sz w:val="19"/>
              </w:rPr>
              <w:t>bathroom coldness score 1–4 and 5–7 groups</w:t>
            </w:r>
          </w:p>
        </w:tc>
        <w:tc>
          <w:tcPr>
            <w:tcW w:type="dxa" w:w="4110"/>
            <w:vAlign w:val="center"/>
            <w:tcMar>
              <w:top w:w="95" w:type="dxa"/>
              <w:bottom w:w="95" w:type="dxa"/>
              <w:left w:w="100" w:type="dxa"/>
              <w:right w:w="100" w:type="dxa"/>
            </w:tcMar>
          </w:tcPr>
          <w:p>
            <w:pPr>
              <w:spacing w:after="0" w:line="259" w:lineRule="auto"/>
            </w:pPr>
            <w:r>
              <w:rPr>
                <w:b w:val="0"/>
                <w:sz w:val="19"/>
              </w:rPr>
              <w:t>non-cold-perceiving group (scores 1–4) and the cold-perceiving group (scores 5–7)</w:t>
            </w:r>
          </w:p>
        </w:tc>
      </w:tr>
      <w:tr>
        <w:trPr>
          <w:cantSplit/>
        </w:trPr>
        <w:tc>
          <w:tcPr>
            <w:tcW w:type="dxa" w:w="1417"/>
            <w:vAlign w:val="center"/>
            <w:tcMar>
              <w:top w:w="95" w:type="dxa"/>
              <w:bottom w:w="95" w:type="dxa"/>
              <w:left w:w="100" w:type="dxa"/>
              <w:right w:w="100" w:type="dxa"/>
            </w:tcMar>
          </w:tcPr>
          <w:p>
            <w:pPr>
              <w:spacing w:after="0" w:line="259" w:lineRule="auto"/>
            </w:pPr>
            <w:r>
              <w:rPr>
                <w:b w:val="0"/>
                <w:sz w:val="19"/>
              </w:rPr>
              <w:t>Fig. 1</w:t>
              <w:br/>
              <w:t>パネル見出し</w:t>
            </w:r>
          </w:p>
        </w:tc>
        <w:tc>
          <w:tcPr>
            <w:tcW w:type="dxa" w:w="4110"/>
            <w:vAlign w:val="center"/>
            <w:tcMar>
              <w:top w:w="95" w:type="dxa"/>
              <w:bottom w:w="95" w:type="dxa"/>
              <w:left w:w="100" w:type="dxa"/>
              <w:right w:w="100" w:type="dxa"/>
            </w:tcMar>
          </w:tcPr>
          <w:p>
            <w:pPr>
              <w:spacing w:after="0" w:line="259" w:lineRule="auto"/>
            </w:pPr>
            <w:r>
              <w:rPr>
                <w:b w:val="0"/>
                <w:sz w:val="19"/>
              </w:rPr>
              <w:t>Bathroom coldness score 1–4</w:t>
              <w:br/>
              <w:t>Bathroom coldness score 5–7</w:t>
            </w:r>
          </w:p>
        </w:tc>
        <w:tc>
          <w:tcPr>
            <w:tcW w:type="dxa" w:w="4110"/>
            <w:vAlign w:val="center"/>
            <w:tcMar>
              <w:top w:w="95" w:type="dxa"/>
              <w:bottom w:w="95" w:type="dxa"/>
              <w:left w:w="100" w:type="dxa"/>
              <w:right w:w="100" w:type="dxa"/>
            </w:tcMar>
          </w:tcPr>
          <w:p>
            <w:pPr>
              <w:spacing w:after="0" w:line="259" w:lineRule="auto"/>
            </w:pPr>
            <w:r>
              <w:rPr>
                <w:b w:val="0"/>
                <w:sz w:val="19"/>
              </w:rPr>
              <w:t>Non-cold-perceiving group</w:t>
              <w:br/>
              <w:t>Cold-perceiving group</w:t>
            </w:r>
          </w:p>
        </w:tc>
      </w:tr>
      <w:tr>
        <w:trPr>
          <w:cantSplit/>
        </w:trPr>
        <w:tc>
          <w:tcPr>
            <w:tcW w:type="dxa" w:w="1417"/>
            <w:vAlign w:val="center"/>
            <w:tcMar>
              <w:top w:w="95" w:type="dxa"/>
              <w:bottom w:w="95" w:type="dxa"/>
              <w:left w:w="100" w:type="dxa"/>
              <w:right w:w="100" w:type="dxa"/>
            </w:tcMar>
          </w:tcPr>
          <w:p>
            <w:pPr>
              <w:spacing w:after="0" w:line="259" w:lineRule="auto"/>
            </w:pPr>
            <w:r>
              <w:rPr>
                <w:b w:val="0"/>
                <w:sz w:val="19"/>
              </w:rPr>
              <w:t>Table 1</w:t>
              <w:br/>
              <w:t>群の表示</w:t>
            </w:r>
          </w:p>
        </w:tc>
        <w:tc>
          <w:tcPr>
            <w:tcW w:type="dxa" w:w="4110"/>
            <w:vAlign w:val="center"/>
            <w:tcMar>
              <w:top w:w="95" w:type="dxa"/>
              <w:bottom w:w="95" w:type="dxa"/>
              <w:left w:w="100" w:type="dxa"/>
              <w:right w:w="100" w:type="dxa"/>
            </w:tcMar>
          </w:tcPr>
          <w:p>
            <w:pPr>
              <w:spacing w:after="0" w:line="259" w:lineRule="auto"/>
            </w:pPr>
            <w:r>
              <w:rPr>
                <w:b w:val="0"/>
                <w:sz w:val="19"/>
              </w:rPr>
              <w:t>Coldness score 5–7</w:t>
            </w:r>
          </w:p>
        </w:tc>
        <w:tc>
          <w:tcPr>
            <w:tcW w:type="dxa" w:w="4110"/>
            <w:vAlign w:val="center"/>
            <w:tcMar>
              <w:top w:w="95" w:type="dxa"/>
              <w:bottom w:w="95" w:type="dxa"/>
              <w:left w:w="100" w:type="dxa"/>
              <w:right w:w="100" w:type="dxa"/>
            </w:tcMar>
          </w:tcPr>
          <w:p>
            <w:pPr>
              <w:spacing w:after="0" w:line="259" w:lineRule="auto"/>
            </w:pPr>
            <w:r>
              <w:rPr>
                <w:b w:val="0"/>
                <w:sz w:val="19"/>
              </w:rPr>
              <w:t>Cold-perceiving group</w:t>
            </w:r>
          </w:p>
        </w:tc>
      </w:tr>
    </w:tbl>
    <w:p/>
    <w:p>
      <w:r>
        <w:br w:type="page"/>
      </w:r>
    </w:p>
    <w:p>
      <w:pPr>
        <w:pStyle w:val="Heading1"/>
      </w:pPr>
      <w:r>
        <w:t>A-2</w:t>
      </w:r>
    </w:p>
    <w:p>
      <w:r>
        <w:t>回答　ご指摘のとおり、使用率の記述だけでは両設備の関係が明確ではありませんでした。浴室の放熱器配置や入浴時の浴室の暖まり方によって、浴室暖房乾燥機が補助的に使用される可能性を考察に追記しました。一方、これらの条件と併用理由を直接調査していないため、推測であることを併記しました。</w:t>
      </w:r>
    </w:p>
    <w:p>
      <w:pPr>
        <w:spacing w:after="140"/>
      </w:pPr>
      <w:r>
        <w:t>修正箇所　IV 考察 第2段落末尾（p. 7、21-25行）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trPr>
        <w:tc>
          <w:tcPr>
            <w:tcW w:type="dxa" w:w="4819"/>
            <w:vAlign w:val="center"/>
            <w:tcMar>
              <w:top w:w="95" w:type="dxa"/>
              <w:bottom w:w="95" w:type="dxa"/>
              <w:left w:w="100" w:type="dxa"/>
              <w:right w:w="100" w:type="dxa"/>
            </w:tcMar>
            <w:shd w:fill="E7E6E6"/>
          </w:tcPr>
          <w:p>
            <w:pPr>
              <w:spacing w:after="0" w:line="259" w:lineRule="auto"/>
              <w:jc w:val="center"/>
            </w:pPr>
            <w:r>
              <w:rPr>
                <w:b/>
                <w:sz w:val="20"/>
              </w:rPr>
              <w:t>修正前</w:t>
            </w:r>
          </w:p>
        </w:tc>
        <w:tc>
          <w:tcPr>
            <w:tcW w:type="dxa" w:w="4819"/>
            <w:vAlign w:val="center"/>
            <w:tcMar>
              <w:top w:w="95" w:type="dxa"/>
              <w:bottom w:w="95" w:type="dxa"/>
              <w:left w:w="100" w:type="dxa"/>
              <w:right w:w="100" w:type="dxa"/>
            </w:tcMar>
            <w:shd w:fill="E7E6E6"/>
          </w:tcPr>
          <w:p>
            <w:pPr>
              <w:spacing w:after="0" w:line="259" w:lineRule="auto"/>
              <w:jc w:val="center"/>
            </w:pPr>
            <w:r>
              <w:rPr>
                <w:b/>
                <w:sz w:val="20"/>
              </w:rPr>
              <w:t>修正後</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こうした観察事実から、少なくとも本標本の設備利用パターンは、「浴室が暖かいため不要」という理由や、セントラル暖房による単純な排他的代替だけでは説明しにくかった。</w:t>
            </w:r>
          </w:p>
        </w:tc>
        <w:tc>
          <w:tcPr>
            <w:tcW w:type="dxa" w:w="4819"/>
            <w:vAlign w:val="center"/>
            <w:tcMar>
              <w:top w:w="95" w:type="dxa"/>
              <w:bottom w:w="95" w:type="dxa"/>
              <w:left w:w="100" w:type="dxa"/>
              <w:right w:w="100" w:type="dxa"/>
            </w:tcMar>
          </w:tcPr>
          <w:p>
            <w:pPr>
              <w:spacing w:after="0" w:line="259" w:lineRule="auto"/>
            </w:pPr>
            <w:r>
              <w:rPr>
                <w:b w:val="0"/>
                <w:sz w:val="20"/>
              </w:rPr>
              <w:t>こうした観察事実から、少なくとも本標本の設備利用パターンは、「浴室が暖かいため不要」という理由や、セントラル暖房による単純な排他的代替だけでは説明しにくかった。併用の背景として、セントラル暖房の放熱器が浴室に設置されていない場合や、入浴時には浴室が十分に暖まっていない場合に、浴室暖房乾燥機を補助的に使用している可能性が考えられる。ただし、本調査では放熱器の配置、入浴時の運転状況および併用理由は尋ねておらず、これらは推測にとどまる。</w:t>
              <w:br/>
              <w:br/>
              <w:t>（上記の末尾2文を追記）</w:t>
            </w:r>
          </w:p>
        </w:tc>
      </w:tr>
    </w:tbl>
    <w:p/>
    <w:p>
      <w:r>
        <w:br w:type="page"/>
      </w:r>
    </w:p>
    <w:p>
      <w:pPr>
        <w:pStyle w:val="Heading1"/>
      </w:pPr>
      <w:r>
        <w:t>A-3</w:t>
      </w:r>
    </w:p>
    <w:p>
      <w:r>
        <w:t>回答　対象者の選定・配布方法について、実際の運用を方法に追記しました。また、便宜抽出による選択バイアスと一般化の限界を、限界の第一項目に移しました。対象者の選定方法を明示したうえで、標本の代表性には限界があることを明確にしました。</w:t>
      </w:r>
    </w:p>
    <w:p>
      <w:pPr>
        <w:spacing w:after="140"/>
      </w:pPr>
      <w:r>
        <w:t>修正箇所　II 方法1 第1段落（p. 3、18-22行）、IV 考察 限界の第一項目（p. 7、26-29行）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4224"/>
        <w:gridCol w:w="4224"/>
      </w:tblGrid>
      <w:tr>
        <w:trPr>
          <w:cantSplit/>
          <w:tblHeader/>
        </w:trPr>
        <w:tc>
          <w:tcPr>
            <w:tcW w:type="dxa" w:w="1191"/>
            <w:vAlign w:val="center"/>
            <w:tcMar>
              <w:top w:w="95" w:type="dxa"/>
              <w:bottom w:w="95" w:type="dxa"/>
              <w:left w:w="100" w:type="dxa"/>
              <w:right w:w="100" w:type="dxa"/>
            </w:tcMar>
            <w:shd w:fill="E7E6E6"/>
          </w:tcPr>
          <w:p>
            <w:pPr>
              <w:spacing w:after="0" w:line="259" w:lineRule="auto"/>
              <w:jc w:val="center"/>
            </w:pPr>
            <w:r>
              <w:rPr>
                <w:b/>
                <w:sz w:val="20"/>
              </w:rPr>
              <w:t>修正箇所</w:t>
            </w:r>
          </w:p>
        </w:tc>
        <w:tc>
          <w:tcPr>
            <w:tcW w:type="dxa" w:w="4224"/>
            <w:vAlign w:val="center"/>
            <w:tcMar>
              <w:top w:w="95" w:type="dxa"/>
              <w:bottom w:w="95" w:type="dxa"/>
              <w:left w:w="100" w:type="dxa"/>
              <w:right w:w="100" w:type="dxa"/>
            </w:tcMar>
            <w:shd w:fill="E7E6E6"/>
          </w:tcPr>
          <w:p>
            <w:pPr>
              <w:spacing w:after="0" w:line="259" w:lineRule="auto"/>
              <w:jc w:val="center"/>
            </w:pPr>
            <w:r>
              <w:rPr>
                <w:b/>
                <w:sz w:val="20"/>
              </w:rPr>
              <w:t>修正前</w:t>
            </w:r>
          </w:p>
        </w:tc>
        <w:tc>
          <w:tcPr>
            <w:tcW w:type="dxa" w:w="4224"/>
            <w:vAlign w:val="center"/>
            <w:tcMar>
              <w:top w:w="95" w:type="dxa"/>
              <w:bottom w:w="95" w:type="dxa"/>
              <w:left w:w="100" w:type="dxa"/>
              <w:right w:w="100" w:type="dxa"/>
            </w:tcMar>
            <w:shd w:fill="E7E6E6"/>
          </w:tcPr>
          <w:p>
            <w:pPr>
              <w:spacing w:after="0" w:line="259" w:lineRule="auto"/>
              <w:jc w:val="center"/>
            </w:pPr>
            <w:r>
              <w:rPr>
                <w:b/>
                <w:sz w:val="20"/>
              </w:rPr>
              <w:t>修正後</w:t>
            </w:r>
          </w:p>
        </w:tc>
      </w:tr>
      <w:tr>
        <w:trPr>
          <w:cantSplit/>
        </w:trPr>
        <w:tc>
          <w:tcPr>
            <w:tcW w:type="dxa" w:w="1191"/>
            <w:vAlign w:val="center"/>
            <w:tcMar>
              <w:top w:w="95" w:type="dxa"/>
              <w:bottom w:w="95" w:type="dxa"/>
              <w:left w:w="100" w:type="dxa"/>
              <w:right w:w="100" w:type="dxa"/>
            </w:tcMar>
          </w:tcPr>
          <w:p>
            <w:pPr>
              <w:spacing w:after="0" w:line="259" w:lineRule="auto"/>
            </w:pPr>
            <w:r>
              <w:rPr>
                <w:b w:val="0"/>
                <w:sz w:val="20"/>
              </w:rPr>
              <w:t>II 方法1</w:t>
            </w:r>
          </w:p>
        </w:tc>
        <w:tc>
          <w:tcPr>
            <w:tcW w:type="dxa" w:w="4224"/>
            <w:vAlign w:val="center"/>
            <w:tcMar>
              <w:top w:w="95" w:type="dxa"/>
              <w:bottom w:w="95" w:type="dxa"/>
              <w:left w:w="100" w:type="dxa"/>
              <w:right w:w="100" w:type="dxa"/>
            </w:tcMar>
          </w:tcPr>
          <w:p>
            <w:pPr>
              <w:spacing w:after="0" w:line="259" w:lineRule="auto"/>
            </w:pPr>
            <w:r>
              <w:rPr>
                <w:b w:val="0"/>
                <w:sz w:val="20"/>
              </w:rPr>
              <w:t>現地協力者が自身の人的ネットワークを通じて、五所川原市内で質問紙を手渡しで配布・回収した。</w:t>
            </w:r>
          </w:p>
        </w:tc>
        <w:tc>
          <w:tcPr>
            <w:tcW w:type="dxa" w:w="4224"/>
            <w:vAlign w:val="center"/>
            <w:tcMar>
              <w:top w:w="95" w:type="dxa"/>
              <w:bottom w:w="95" w:type="dxa"/>
              <w:left w:w="100" w:type="dxa"/>
              <w:right w:w="100" w:type="dxa"/>
            </w:tcMar>
          </w:tcPr>
          <w:p>
            <w:pPr>
              <w:spacing w:after="0" w:line="259" w:lineRule="auto"/>
            </w:pPr>
            <w:r>
              <w:rPr>
                <w:b w:val="0"/>
                <w:sz w:val="20"/>
              </w:rPr>
              <w:t>現地協力者は五所川原市在住で、所属する地域コミュニティで面識のある者や仕事上のつながりのある者に協力を依頼し、質問紙を配布・回収した。団体代表者の協力が得られた場合には、現地協力者が団体分の質問紙を代表者に渡し、回答後に代表者が取りまとめた質問紙を回収した。</w:t>
            </w:r>
          </w:p>
        </w:tc>
      </w:tr>
      <w:tr>
        <w:trPr>
          <w:cantSplit/>
        </w:trPr>
        <w:tc>
          <w:tcPr>
            <w:tcW w:type="dxa" w:w="1191"/>
            <w:vAlign w:val="center"/>
            <w:tcMar>
              <w:top w:w="95" w:type="dxa"/>
              <w:bottom w:w="95" w:type="dxa"/>
              <w:left w:w="100" w:type="dxa"/>
              <w:right w:w="100" w:type="dxa"/>
            </w:tcMar>
          </w:tcPr>
          <w:p>
            <w:pPr>
              <w:spacing w:after="0" w:line="259" w:lineRule="auto"/>
            </w:pPr>
            <w:r>
              <w:rPr>
                <w:b w:val="0"/>
                <w:sz w:val="20"/>
              </w:rPr>
              <w:t>IV 考察</w:t>
            </w:r>
          </w:p>
        </w:tc>
        <w:tc>
          <w:tcPr>
            <w:tcW w:type="dxa" w:w="4224"/>
            <w:vAlign w:val="center"/>
            <w:tcMar>
              <w:top w:w="95" w:type="dxa"/>
              <w:bottom w:w="95" w:type="dxa"/>
              <w:left w:w="100" w:type="dxa"/>
              <w:right w:w="100" w:type="dxa"/>
            </w:tcMar>
          </w:tcPr>
          <w:p>
            <w:pPr>
              <w:spacing w:after="0" w:line="259" w:lineRule="auto"/>
            </w:pPr>
            <w:r>
              <w:rPr>
                <w:b w:val="0"/>
                <w:sz w:val="20"/>
              </w:rPr>
              <w:t>標本は便宜抽出であり、五所川原市および青森県全体を代表するものではない。</w:t>
              <w:br/>
              <w:t>（限界の中ほどに記載）</w:t>
            </w:r>
          </w:p>
        </w:tc>
        <w:tc>
          <w:tcPr>
            <w:tcW w:type="dxa" w:w="4224"/>
            <w:vAlign w:val="center"/>
            <w:tcMar>
              <w:top w:w="95" w:type="dxa"/>
              <w:bottom w:w="95" w:type="dxa"/>
              <w:left w:w="100" w:type="dxa"/>
              <w:right w:w="100" w:type="dxa"/>
            </w:tcMar>
          </w:tcPr>
          <w:p>
            <w:pPr>
              <w:spacing w:after="0" w:line="259" w:lineRule="auto"/>
            </w:pPr>
            <w:r>
              <w:rPr>
                <w:b w:val="0"/>
                <w:sz w:val="20"/>
              </w:rPr>
              <w:t>本研究には以下の限界がある。第一に、標本は現地協力者の人的ネットワークを通じた便宜抽出であり、協力者とのつながりや調査への協力意向に伴う選択バイアスが生じ得るため、五所川原市および青森県全体を代表するものではない。</w:t>
              <w:br/>
              <w:t>（限界の冒頭に移動）</w:t>
            </w:r>
          </w:p>
        </w:tc>
      </w:tr>
    </w:tbl>
    <w:p/>
    <w:p>
      <w:r>
        <w:br w:type="page"/>
      </w:r>
    </w:p>
    <w:p>
      <w:pPr>
        <w:pStyle w:val="Heading1"/>
      </w:pPr>
      <w:r>
        <w:t>B-1</w:t>
      </w:r>
    </w:p>
    <w:p>
      <w:r>
        <w:t>回答　ご指摘を踏まえ、本研究で実施した内容に合わせ、「解析対象と統計解析」を「集計対象と集計方法」に改め、本文中の「主要解析対象」「理由解析」「解析および作図」も集計の表現に変更しました。和文抄録、英文抄録、Figure Legend、Table 1とその注記にも同じ修正を行いました。前報で実施した解析の説明と引用文献の題名は、原意を保つため変更していません。</w:t>
      </w:r>
    </w:p>
    <w:p>
      <w:pPr>
        <w:spacing w:after="140"/>
      </w:pPr>
      <w:r>
        <w:t>修正箇所　和文抄録（p. 2）、II 方法2・3（pp. 4-5）、III 結果1（p. 6）、英文抄録（p. 10）、Figure Legend（p. 12）、Table 1および注記（p.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trPr>
        <w:tc>
          <w:tcPr>
            <w:tcW w:type="dxa" w:w="4819"/>
            <w:vAlign w:val="center"/>
            <w:tcMar>
              <w:top w:w="95" w:type="dxa"/>
              <w:bottom w:w="95" w:type="dxa"/>
              <w:left w:w="100" w:type="dxa"/>
              <w:right w:w="100" w:type="dxa"/>
            </w:tcMar>
            <w:shd w:fill="E7E6E6"/>
          </w:tcPr>
          <w:p>
            <w:pPr>
              <w:spacing w:after="0" w:line="259" w:lineRule="auto"/>
              <w:jc w:val="center"/>
            </w:pPr>
            <w:r>
              <w:rPr>
                <w:b/>
                <w:sz w:val="20"/>
              </w:rPr>
              <w:t>修正前</w:t>
            </w:r>
          </w:p>
        </w:tc>
        <w:tc>
          <w:tcPr>
            <w:tcW w:type="dxa" w:w="4819"/>
            <w:vAlign w:val="center"/>
            <w:tcMar>
              <w:top w:w="95" w:type="dxa"/>
              <w:bottom w:w="95" w:type="dxa"/>
              <w:left w:w="100" w:type="dxa"/>
              <w:right w:w="100" w:type="dxa"/>
            </w:tcMar>
            <w:shd w:fill="E7E6E6"/>
          </w:tcPr>
          <w:p>
            <w:pPr>
              <w:spacing w:after="0" w:line="259" w:lineRule="auto"/>
              <w:jc w:val="center"/>
            </w:pPr>
            <w:r>
              <w:rPr>
                <w:b/>
                <w:sz w:val="20"/>
              </w:rPr>
              <w:t>修正後</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3. 解析対象と統計解析</w:t>
            </w:r>
          </w:p>
        </w:tc>
        <w:tc>
          <w:tcPr>
            <w:tcW w:type="dxa" w:w="4819"/>
            <w:vAlign w:val="center"/>
            <w:tcMar>
              <w:top w:w="95" w:type="dxa"/>
              <w:bottom w:w="95" w:type="dxa"/>
              <w:left w:w="100" w:type="dxa"/>
              <w:right w:w="100" w:type="dxa"/>
            </w:tcMar>
          </w:tcPr>
          <w:p>
            <w:pPr>
              <w:spacing w:after="0" w:line="259" w:lineRule="auto"/>
            </w:pPr>
            <w:r>
              <w:rPr>
                <w:b w:val="0"/>
                <w:sz w:val="20"/>
              </w:rPr>
              <w:t>3. 集計対象と集計方法</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主要解析対象</w:t>
            </w:r>
          </w:p>
        </w:tc>
        <w:tc>
          <w:tcPr>
            <w:tcW w:type="dxa" w:w="4819"/>
            <w:vAlign w:val="center"/>
            <w:tcMar>
              <w:top w:w="95" w:type="dxa"/>
              <w:bottom w:w="95" w:type="dxa"/>
              <w:left w:w="100" w:type="dxa"/>
              <w:right w:w="100" w:type="dxa"/>
            </w:tcMar>
          </w:tcPr>
          <w:p>
            <w:pPr>
              <w:spacing w:after="0" w:line="259" w:lineRule="auto"/>
            </w:pPr>
            <w:r>
              <w:rPr>
                <w:b w:val="0"/>
                <w:sz w:val="20"/>
              </w:rPr>
              <w:t>主要集計対象</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理由解析対象／理由解析の対象</w:t>
            </w:r>
          </w:p>
        </w:tc>
        <w:tc>
          <w:tcPr>
            <w:tcW w:type="dxa" w:w="4819"/>
            <w:vAlign w:val="center"/>
            <w:tcMar>
              <w:top w:w="95" w:type="dxa"/>
              <w:bottom w:w="95" w:type="dxa"/>
              <w:left w:w="100" w:type="dxa"/>
              <w:right w:w="100" w:type="dxa"/>
            </w:tcMar>
          </w:tcPr>
          <w:p>
            <w:pPr>
              <w:spacing w:after="0" w:line="259" w:lineRule="auto"/>
            </w:pPr>
            <w:r>
              <w:rPr>
                <w:b w:val="0"/>
                <w:sz w:val="20"/>
              </w:rPr>
              <w:t>理由の集計対象</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理由解析には含めなかった</w:t>
            </w:r>
          </w:p>
        </w:tc>
        <w:tc>
          <w:tcPr>
            <w:tcW w:type="dxa" w:w="4819"/>
            <w:vAlign w:val="center"/>
            <w:tcMar>
              <w:top w:w="95" w:type="dxa"/>
              <w:bottom w:w="95" w:type="dxa"/>
              <w:left w:w="100" w:type="dxa"/>
              <w:right w:w="100" w:type="dxa"/>
            </w:tcMar>
          </w:tcPr>
          <w:p>
            <w:pPr>
              <w:spacing w:after="0" w:line="259" w:lineRule="auto"/>
            </w:pPr>
            <w:r>
              <w:rPr>
                <w:b w:val="0"/>
                <w:sz w:val="20"/>
              </w:rPr>
              <w:t>理由の集計には含めなかった</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解析および作図にはPython 3.11.3を用いた。</w:t>
            </w:r>
          </w:p>
        </w:tc>
        <w:tc>
          <w:tcPr>
            <w:tcW w:type="dxa" w:w="4819"/>
            <w:vAlign w:val="center"/>
            <w:tcMar>
              <w:top w:w="95" w:type="dxa"/>
              <w:bottom w:w="95" w:type="dxa"/>
              <w:left w:w="100" w:type="dxa"/>
              <w:right w:w="100" w:type="dxa"/>
            </w:tcMar>
          </w:tcPr>
          <w:p>
            <w:pPr>
              <w:spacing w:after="0" w:line="259" w:lineRule="auto"/>
            </w:pPr>
            <w:r>
              <w:rPr>
                <w:b w:val="0"/>
                <w:sz w:val="20"/>
              </w:rPr>
              <w:t>集計および作図にはPython 3.11.3を用いた。</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leaving 147 for the primary analysis; 112 non-users were included in the analysis of reasons.</w:t>
            </w:r>
          </w:p>
        </w:tc>
        <w:tc>
          <w:tcPr>
            <w:tcW w:type="dxa" w:w="4819"/>
            <w:vAlign w:val="center"/>
            <w:tcMar>
              <w:top w:w="95" w:type="dxa"/>
              <w:bottom w:w="95" w:type="dxa"/>
              <w:left w:w="100" w:type="dxa"/>
              <w:right w:w="100" w:type="dxa"/>
            </w:tcMar>
          </w:tcPr>
          <w:p>
            <w:pPr>
              <w:spacing w:after="0" w:line="259" w:lineRule="auto"/>
            </w:pPr>
            <w:r>
              <w:rPr>
                <w:b w:val="0"/>
                <w:sz w:val="20"/>
              </w:rPr>
              <w:t>leaving 147 in the main tabulation sample; reasons were tabulated for 112 non-users.</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We analysed non-missing data on central-heating use from 145 of the 154 respondents.</w:t>
            </w:r>
          </w:p>
        </w:tc>
        <w:tc>
          <w:tcPr>
            <w:tcW w:type="dxa" w:w="4819"/>
            <w:vAlign w:val="center"/>
            <w:tcMar>
              <w:top w:w="95" w:type="dxa"/>
              <w:bottom w:w="95" w:type="dxa"/>
              <w:left w:w="100" w:type="dxa"/>
              <w:right w:w="100" w:type="dxa"/>
            </w:tcMar>
          </w:tcPr>
          <w:p>
            <w:pPr>
              <w:spacing w:after="0" w:line="259" w:lineRule="auto"/>
            </w:pPr>
            <w:r>
              <w:rPr>
                <w:b w:val="0"/>
                <w:sz w:val="20"/>
              </w:rPr>
              <w:t>We tabulated non-missing data on central-heating use from 145 of the 154 respondents.</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The analysis included 112 respondents</w:t>
            </w:r>
          </w:p>
        </w:tc>
        <w:tc>
          <w:tcPr>
            <w:tcW w:type="dxa" w:w="4819"/>
            <w:vAlign w:val="center"/>
            <w:tcMar>
              <w:top w:w="95" w:type="dxa"/>
              <w:bottom w:w="95" w:type="dxa"/>
              <w:left w:w="100" w:type="dxa"/>
              <w:right w:w="100" w:type="dxa"/>
            </w:tcMar>
          </w:tcPr>
          <w:p>
            <w:pPr>
              <w:spacing w:after="0" w:line="259" w:lineRule="auto"/>
            </w:pPr>
            <w:r>
              <w:rPr>
                <w:b w:val="0"/>
                <w:sz w:val="20"/>
              </w:rPr>
              <w:t>The tabulation included 112 respondents</w:t>
            </w:r>
          </w:p>
        </w:tc>
      </w:tr>
      <w:tr>
        <w:trPr>
          <w:cantSplit/>
        </w:trPr>
        <w:tc>
          <w:tcPr>
            <w:tcW w:type="dxa" w:w="4819"/>
            <w:vAlign w:val="center"/>
            <w:tcMar>
              <w:top w:w="95" w:type="dxa"/>
              <w:bottom w:w="95" w:type="dxa"/>
              <w:left w:w="100" w:type="dxa"/>
              <w:right w:w="100" w:type="dxa"/>
            </w:tcMar>
          </w:tcPr>
          <w:p>
            <w:pPr>
              <w:spacing w:after="0" w:line="259" w:lineRule="auto"/>
            </w:pPr>
            <w:r>
              <w:rPr>
                <w:b w:val="0"/>
                <w:sz w:val="20"/>
              </w:rPr>
              <w:t>primary analysis sample</w:t>
            </w:r>
          </w:p>
        </w:tc>
        <w:tc>
          <w:tcPr>
            <w:tcW w:type="dxa" w:w="4819"/>
            <w:vAlign w:val="center"/>
            <w:tcMar>
              <w:top w:w="95" w:type="dxa"/>
              <w:bottom w:w="95" w:type="dxa"/>
              <w:left w:w="100" w:type="dxa"/>
              <w:right w:w="100" w:type="dxa"/>
            </w:tcMar>
          </w:tcPr>
          <w:p>
            <w:pPr>
              <w:spacing w:after="0" w:line="259" w:lineRule="auto"/>
            </w:pPr>
            <w:r>
              <w:rPr>
                <w:b w:val="0"/>
                <w:sz w:val="20"/>
              </w:rPr>
              <w:t>main tabulation sample</w:t>
            </w:r>
          </w:p>
        </w:tc>
      </w:tr>
    </w:tbl>
    <w:p/>
    <w:p>
      <w:r>
        <w:br w:type="page"/>
      </w:r>
    </w:p>
    <w:p>
      <w:pPr>
        <w:pStyle w:val="Heading1"/>
      </w:pPr>
      <w:r>
        <w:t>B-2</w:t>
      </w:r>
    </w:p>
    <w:p>
      <w:r>
        <w:t>回答　限界を第一から第五までの5項目に整理しました。A-3への対応と合わせ、便宜抽出と選択バイアスを第一に置き、残りの内容を、回答項目の性質、時間的前後関係、自己申告と交絡、未確認・未調査事項の順に記載しました。段落末尾の「以上から」で始まる評価範囲の制約は維持しました。</w:t>
      </w:r>
    </w:p>
    <w:p>
      <w:pPr>
        <w:spacing w:after="140"/>
      </w:pPr>
      <w:r>
        <w:t>修正箇所　IV 考察 限界の段落（p. 7、26-31行からp. 8、1-10行）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19"/>
        <w:gridCol w:w="4819"/>
      </w:tblGrid>
      <w:tr>
        <w:trPr>
          <w:cantSplit/>
          <w:tblHeader/>
        </w:trPr>
        <w:tc>
          <w:tcPr>
            <w:tcW w:type="dxa" w:w="4819"/>
            <w:vAlign w:val="center"/>
            <w:tcMar>
              <w:top w:w="95" w:type="dxa"/>
              <w:bottom w:w="95" w:type="dxa"/>
              <w:left w:w="100" w:type="dxa"/>
              <w:right w:w="100" w:type="dxa"/>
            </w:tcMar>
            <w:shd w:fill="E7E6E6"/>
          </w:tcPr>
          <w:p>
            <w:pPr>
              <w:spacing w:after="0" w:line="259" w:lineRule="auto"/>
              <w:jc w:val="center"/>
            </w:pPr>
            <w:r>
              <w:rPr>
                <w:b/>
                <w:sz w:val="19"/>
              </w:rPr>
              <w:t>修正前</w:t>
            </w:r>
          </w:p>
        </w:tc>
        <w:tc>
          <w:tcPr>
            <w:tcW w:type="dxa" w:w="4819"/>
            <w:vAlign w:val="center"/>
            <w:tcMar>
              <w:top w:w="95" w:type="dxa"/>
              <w:bottom w:w="95" w:type="dxa"/>
              <w:left w:w="100" w:type="dxa"/>
              <w:right w:w="100" w:type="dxa"/>
            </w:tcMar>
            <w:shd w:fill="E7E6E6"/>
          </w:tcPr>
          <w:p>
            <w:pPr>
              <w:spacing w:after="0" w:line="259" w:lineRule="auto"/>
              <w:jc w:val="center"/>
            </w:pPr>
            <w:r>
              <w:rPr>
                <w:b/>
                <w:sz w:val="19"/>
              </w:rPr>
              <w:t>修正後</w:t>
            </w:r>
          </w:p>
        </w:tc>
      </w:tr>
      <w:tr>
        <w:trPr>
          <w:cantSplit/>
        </w:trPr>
        <w:tc>
          <w:tcPr>
            <w:tcW w:type="dxa" w:w="4819"/>
            <w:vAlign w:val="center"/>
            <w:tcMar>
              <w:top w:w="95" w:type="dxa"/>
              <w:bottom w:w="95" w:type="dxa"/>
              <w:left w:w="100" w:type="dxa"/>
              <w:right w:w="100" w:type="dxa"/>
            </w:tcMar>
          </w:tcPr>
          <w:p>
            <w:pPr>
              <w:spacing w:after="0" w:line="259" w:lineRule="auto"/>
            </w:pPr>
            <w:r>
              <w:rPr>
                <w:b w:val="0"/>
                <w:sz w:val="19"/>
              </w:rPr>
              <w:t>標本は便宜抽出であり、五所川原市および青森県全体を代表するものではない。</w:t>
            </w:r>
          </w:p>
        </w:tc>
        <w:tc>
          <w:tcPr>
            <w:tcW w:type="dxa" w:w="4819"/>
            <w:vAlign w:val="center"/>
            <w:tcMar>
              <w:top w:w="95" w:type="dxa"/>
              <w:bottom w:w="95" w:type="dxa"/>
              <w:left w:w="100" w:type="dxa"/>
              <w:right w:w="100" w:type="dxa"/>
            </w:tcMar>
          </w:tcPr>
          <w:p>
            <w:pPr>
              <w:spacing w:after="0" w:line="259" w:lineRule="auto"/>
            </w:pPr>
            <w:r>
              <w:rPr>
                <w:b w:val="0"/>
                <w:sz w:val="19"/>
              </w:rPr>
              <w:t>第一に、標本は現地協力者の人的ネットワークを通じた便宜抽出であり、協力者とのつながりや調査への協力意向に伴う選択バイアスが生じ得るため、五所川原市および青森県全体を代表するものではない。</w:t>
            </w:r>
          </w:p>
        </w:tc>
      </w:tr>
      <w:tr>
        <w:trPr>
          <w:cantSplit/>
        </w:trPr>
        <w:tc>
          <w:tcPr>
            <w:tcW w:type="dxa" w:w="4819"/>
            <w:vAlign w:val="center"/>
            <w:tcMar>
              <w:top w:w="95" w:type="dxa"/>
              <w:bottom w:w="95" w:type="dxa"/>
              <w:left w:w="100" w:type="dxa"/>
              <w:right w:w="100" w:type="dxa"/>
            </w:tcMar>
          </w:tcPr>
          <w:p>
            <w:pPr>
              <w:spacing w:after="0" w:line="259" w:lineRule="auto"/>
            </w:pPr>
            <w:r>
              <w:rPr>
                <w:b w:val="0"/>
                <w:sz w:val="19"/>
              </w:rPr>
              <w:t>理由1「既に十分暖かいので必要がない」は、それ自体が寒さ体感に関する判断を含む項目である。このため、寒さ体感群間の「不要」の割合差を独立した所見として解釈することはできない。「不要」を選択した者のうち3人は理由2-7のいずれかも選択しており、「不要」と「障壁あり」は相互排他的ではない。</w:t>
            </w:r>
          </w:p>
        </w:tc>
        <w:tc>
          <w:tcPr>
            <w:tcW w:type="dxa" w:w="4819"/>
            <w:vAlign w:val="center"/>
            <w:tcMar>
              <w:top w:w="95" w:type="dxa"/>
              <w:bottom w:w="95" w:type="dxa"/>
              <w:left w:w="100" w:type="dxa"/>
              <w:right w:w="100" w:type="dxa"/>
            </w:tcMar>
          </w:tcPr>
          <w:p>
            <w:pPr>
              <w:spacing w:after="0" w:line="259" w:lineRule="auto"/>
            </w:pPr>
            <w:r>
              <w:rPr>
                <w:b w:val="0"/>
                <w:sz w:val="19"/>
              </w:rPr>
              <w:t>第二に、理由1「既に十分暖かいので必要がない」は、それ自体が寒さ体感に関する判断を含む項目である。このため、寒さ体感群間の「不要」の割合差を独立した所見として解釈することはできない。「不要」を選択した者のうち3人は理由2-7のいずれかも選択しており、「不要」と「障壁あり」は相互排他的ではない。</w:t>
            </w:r>
          </w:p>
        </w:tc>
      </w:tr>
      <w:tr>
        <w:trPr>
          <w:cantSplit/>
        </w:trPr>
        <w:tc>
          <w:tcPr>
            <w:tcW w:type="dxa" w:w="4819"/>
            <w:vAlign w:val="center"/>
            <w:tcMar>
              <w:top w:w="95" w:type="dxa"/>
              <w:bottom w:w="95" w:type="dxa"/>
              <w:left w:w="100" w:type="dxa"/>
              <w:right w:w="100" w:type="dxa"/>
            </w:tcMar>
          </w:tcPr>
          <w:p>
            <w:pPr>
              <w:spacing w:after="0" w:line="259" w:lineRule="auto"/>
            </w:pPr>
            <w:r>
              <w:rPr>
                <w:b w:val="0"/>
                <w:sz w:val="19"/>
              </w:rPr>
              <w:t>また、横断調査であるため、寒さ体感別の障壁回答割合から、障壁の認識と寒さ体感の前後関係は判断できない。逆に、寒さを感じる者ほど障壁を認識し、該当する理由を選択しやすかった可能性もある。</w:t>
            </w:r>
          </w:p>
        </w:tc>
        <w:tc>
          <w:tcPr>
            <w:tcW w:type="dxa" w:w="4819"/>
            <w:vAlign w:val="center"/>
            <w:tcMar>
              <w:top w:w="95" w:type="dxa"/>
              <w:bottom w:w="95" w:type="dxa"/>
              <w:left w:w="100" w:type="dxa"/>
              <w:right w:w="100" w:type="dxa"/>
            </w:tcMar>
          </w:tcPr>
          <w:p>
            <w:pPr>
              <w:spacing w:after="0" w:line="259" w:lineRule="auto"/>
            </w:pPr>
            <w:r>
              <w:rPr>
                <w:b w:val="0"/>
                <w:sz w:val="19"/>
              </w:rPr>
              <w:t>第三に、横断調査であるため、寒さ体感別の障壁回答割合から、障壁の認識と寒さ体感の前後関係は判断できない。逆に、寒さを感じる者ほど障壁を認識し、該当する理由を選択しやすかった可能性もある。</w:t>
            </w:r>
          </w:p>
        </w:tc>
      </w:tr>
      <w:tr>
        <w:trPr>
          <w:cantSplit/>
        </w:trPr>
        <w:tc>
          <w:tcPr>
            <w:tcW w:type="dxa" w:w="4819"/>
            <w:vAlign w:val="center"/>
            <w:tcMar>
              <w:top w:w="95" w:type="dxa"/>
              <w:bottom w:w="95" w:type="dxa"/>
              <w:left w:w="100" w:type="dxa"/>
              <w:right w:w="100" w:type="dxa"/>
            </w:tcMar>
          </w:tcPr>
          <w:p>
            <w:pPr>
              <w:spacing w:after="0" w:line="259" w:lineRule="auto"/>
            </w:pPr>
            <w:r>
              <w:rPr>
                <w:b w:val="0"/>
                <w:sz w:val="19"/>
              </w:rPr>
              <w:t>自己申告に伴う想起誤差や回答誤差が生じ得るほか、断熱性能、築年、所有形態などによる交絡も残る。</w:t>
            </w:r>
          </w:p>
        </w:tc>
        <w:tc>
          <w:tcPr>
            <w:tcW w:type="dxa" w:w="4819"/>
            <w:vAlign w:val="center"/>
            <w:tcMar>
              <w:top w:w="95" w:type="dxa"/>
              <w:bottom w:w="95" w:type="dxa"/>
              <w:left w:w="100" w:type="dxa"/>
              <w:right w:w="100" w:type="dxa"/>
            </w:tcMar>
          </w:tcPr>
          <w:p>
            <w:pPr>
              <w:spacing w:after="0" w:line="259" w:lineRule="auto"/>
            </w:pPr>
            <w:r>
              <w:rPr>
                <w:b w:val="0"/>
                <w:sz w:val="19"/>
              </w:rPr>
              <w:t>第四に、自己申告に伴う想起誤差や回答誤差が生じ得るほか、断熱性能、築年、所有形態などによる交絡も残る。</w:t>
            </w:r>
          </w:p>
        </w:tc>
      </w:tr>
      <w:tr>
        <w:trPr>
          <w:cantSplit/>
        </w:trPr>
        <w:tc>
          <w:tcPr>
            <w:tcW w:type="dxa" w:w="4819"/>
            <w:vAlign w:val="center"/>
            <w:tcMar>
              <w:top w:w="95" w:type="dxa"/>
              <w:bottom w:w="95" w:type="dxa"/>
              <w:left w:w="100" w:type="dxa"/>
              <w:right w:w="100" w:type="dxa"/>
            </w:tcMar>
          </w:tcPr>
          <w:p>
            <w:pPr>
              <w:spacing w:after="0" w:line="259" w:lineRule="auto"/>
            </w:pPr>
            <w:r>
              <w:rPr>
                <w:b w:val="0"/>
                <w:sz w:val="19"/>
              </w:rPr>
              <w:t>さらに、セントラル暖房が浴室や脱衣所を実際に暖めていたかは確認しておらず、入浴中の事故の発生も調査していない。</w:t>
            </w:r>
          </w:p>
        </w:tc>
        <w:tc>
          <w:tcPr>
            <w:tcW w:type="dxa" w:w="4819"/>
            <w:vAlign w:val="center"/>
            <w:tcMar>
              <w:top w:w="95" w:type="dxa"/>
              <w:bottom w:w="95" w:type="dxa"/>
              <w:left w:w="100" w:type="dxa"/>
              <w:right w:w="100" w:type="dxa"/>
            </w:tcMar>
          </w:tcPr>
          <w:p>
            <w:pPr>
              <w:spacing w:after="0" w:line="259" w:lineRule="auto"/>
            </w:pPr>
            <w:r>
              <w:rPr>
                <w:b w:val="0"/>
                <w:sz w:val="19"/>
              </w:rPr>
              <w:t>第五に、セントラル暖房が浴室や脱衣所を実際に暖めていたかは確認しておらず、入浴中の事故の発生も調査していない。</w:t>
            </w:r>
          </w:p>
        </w:tc>
      </w:tr>
    </w:tbl>
    <w:p/>
    <w:sectPr w:rsidR="00FC693F" w:rsidRPr="0006063C" w:rsidSect="00034616">
      <w:footerReference w:type="default" r:id="rId9"/>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69" w:lineRule="auto"/>
      <w:outlineLvl w:val="0"/>
    </w:pPr>
    <w:rPr>
      <w:rFonts w:asciiTheme="majorHAnsi" w:eastAsiaTheme="majorEastAsia" w:hAnsiTheme="majorHAnsi" w:cstheme="majorBidi" w:ascii="Times New Roman" w:hAnsi="Times New Roman" w:eastAsia="ＭＳ 明朝"/>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Times New Roman" w:hAnsi="Times New Roman" w:eastAsia="ＭＳ 明朝"/>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9" w:lineRule="auto"/>
      <w:contextualSpacing/>
    </w:pPr>
    <w:rPr>
      <w:rFonts w:asciiTheme="majorHAnsi" w:eastAsiaTheme="majorEastAsia" w:hAnsiTheme="majorHAnsi" w:cstheme="majorBidi" w:ascii="Times New Roman" w:hAnsi="Times New Roman" w:eastAsia="ＭＳ 明朝"/>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論文受付番号2386 査読コメントへの回答書</dc:title>
  <dc:subject/>
  <dc:creator>野城 聡志</dc:creator>
  <cp:keywords/>
  <dc:description>generated by python-docx</dc:description>
  <cp:lastModifiedBy/>
  <cp:revision>1</cp:revision>
  <dcterms:created xsi:type="dcterms:W3CDTF">2013-12-23T23:15:00Z</dcterms:created>
  <dcterms:modified xsi:type="dcterms:W3CDTF">2013-12-23T23:15:00Z</dcterms:modified>
  <cp:category/>
</cp:coreProperties>
</file>