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を浴室寒さ体感別に主に記述し、セントラル暖房の使用および浴室暖房乾燥機との併用を副次的に記述する。方法：2026年3月11日-4月30日に五所川原市内で無記名の横断質問紙調査を行った。190部を配布し154部を回収した。主要解析は147人、セントラル暖房別解析は同項目に回答した145人を対象とし、寒さ体感群別に人数と割合を記述した。結果：浴室寒さ5-7群は66/147人（44.9%）であった。浴室暖房乾燥機の不使用者112人に対する複数回答項目では、費用または住宅・設置上の制約を66人（58.9%）、不要を31人（27.7%）が回答した。費用または住宅・設置上の制約を回答した者は、浴室寒さ5-7群で51/62人（82.3%）、寒さ1-4群で15/50人（30.0%）であった。セントラル暖房使用者は28/145人（19.3%）で、そのうち19/28人が浴室暖房乾燥機を暖房として使用していた。結論：便宜抽出標本内で、浴室を寒いと感じながら費用または住宅・設置上の制約を回答した者が観察された。セントラル暖房使用者28人中19人に浴室暖房乾燥機との併用が観察され、単純な排他的代替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において、冬季に多発する入浴中の事故の防止は、公衆衛生上の重要な課題である[1,2]。前報では、浴室暖房乾燥機設置率が高いほど、W65「浴槽内での溺死及び溺水」およびW66「浴槽への転落による溺死及び溺水」の死亡数が少ないという方向の関連が、非寒冷県よりも寒冷県で強い可能性が示唆された[3]。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1つとして、青森県が抽出された[3]。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を、浴室の寒さ体感別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配布対象は五所川原市在住の18歳以上とし、原則として1世帯につき1人とした。現地協力者が自身の人的ネットワークを通じて、五所川原市内で質問紙を手渡しで配布・回収した。標本は便宜抽出であり、無作為抽出ではなかった。回答者の氏名、住所および連絡先は取得しなかった。居住地は質問項目に含めておらず、個票単位での居住地確認は行わなかった。</w:t>
      </w:r>
    </w:p>
    <w:p>
      <w:pPr>
        <w:pStyle w:val="BodyText"/>
      </w:pPr>
      <w:r>
        <w:rPr>
          <w:rFonts w:hint="eastAsia" w:ascii="Times New Roman" w:hAnsi="Times New Roman" w:eastAsia="Yu Mincho"/>
          <w:sz w:val="24"/>
        </w:rPr>
        <w:t xml:space="preserve">事前の運用計画では、有効回答80部以上を確保するため、目標回収数を100部とした。調査開始時に200部を準備して現地協力者へ渡し、そのうち190部が配布された。154部を回収し、配布票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回答者の基本属性、住宅条件、冬季の自宅入浴頻度、暖房設備、ならびに冬季の脱衣所および浴室の寒さ体感を尋ねた。浴室暖房乾燥機の設置および暖房としての使用状況を「設置して使用」「設置しているが未使用」「未設置」で尋ね、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また、浴室暖房乾燥機およびセントラル暖房以外に、脱衣所・浴室のその他暖房設備として、ストーブ、エアコン、セントラル暖房の一部ではない床暖房、その他、使用なしを複数回答で尋ねた。</w:t>
      </w:r>
    </w:p>
    <w:p>
      <w:pPr>
        <w:pStyle w:val="BodyText"/>
      </w:pPr>
      <w:r>
        <w:rPr>
          <w:rFonts w:hint="eastAsia" w:ascii="Times New Roman" w:hAnsi="Times New Roman" w:eastAsia="Yu Mincho"/>
          <w:sz w:val="24"/>
        </w:rPr>
        <w:t xml:space="preserve">浴室暖房乾燥機の未設置・未使用理由のうち、理由1「既に十分暖かいので必要がない」を「不要」とした。理由2「電気代が気になる」と理由3「設置費用が高い」を「費用系」、理由4「住宅の構造上、設置が難しい」と理由5「賃貸で工事できない」を「住宅・設置制約系」とした。理由6「使い方がわからない」、理由7「故障中で使えない」および理由8「その他」は、原選択肢別に記述した。回答回収後に設定した探索的な集約分類として、理由2-5のいずれかを選択した者を「費用または住宅・設置上の制約」、理由2-7のいずれかを選択した者を「障壁あり」とした。理由8のみを選択した者を「その他のみ」として記述した。複数回答であるため、「不要」と「障壁あり」の重複、および「費用系」と「住宅・設置制約系」の重複を許容した。未設置・未使用理由および脱衣所・浴室のその他暖房設備の「その他」に記載された自由記述は、内容分析または回答選択肢への再分類を行わなかった。</w:t>
      </w:r>
    </w:p>
    <w:p>
      <w:pPr>
        <w:pStyle w:val="BodyText"/>
      </w:pPr>
      <w:r>
        <w:rPr>
          <w:rFonts w:hint="eastAsia" w:ascii="Times New Roman" w:hAnsi="Times New Roman" w:eastAsia="Yu Mincho"/>
          <w:sz w:val="24"/>
        </w:rPr>
        <w:t xml:space="preserve">冬季（1-2月の最も寒い時期）の寒さ体感は、1「非常に暖かい」、4「どちらでもない」、7「非常に寒い」を両端と中立点とする7件法で尋ねた。解析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および暖房としての使用状況が無回答の3部と、不使用者のうち理由が無回答の4部を除いた147部を主要解析対象とした。このうち不使用者112部を理由解析の対象とした。浴室暖房乾燥機を暖房として使用しながら理由欄にも回答した4部は、使用状況を原回答のまま扱い、理由解析には含めなかった。セントラル暖房の使用状況は、回収した154部のうち同項目に回答した145部を対象に集計した。セントラル暖房使用者における浴室寒さおよび浴室暖房乾燥機との併用は、各項目が利用可能な回答を用いて記述した。欠測値の補完は行わなかった。</w:t>
      </w:r>
    </w:p>
    <w:p>
      <w:pPr>
        <w:pStyle w:val="BodyText"/>
      </w:pPr>
      <w:r>
        <w:rPr>
          <w:rFonts w:ascii="Times New Roman" w:hAnsi="Times New Roman" w:eastAsia="Yu Mincho"/>
          <w:sz w:val="24"/>
        </w:rPr>
        <w:t xml:space="preserve">Table </w:t>
      </w:r>
      <w:r>
        <w:rPr>
          <w:rFonts w:hint="eastAsia" w:ascii="Times New Roman" w:hAnsi="Times New Roman" w:eastAsia="Yu Mincho"/>
          <w:sz w:val="24"/>
        </w:rPr>
        <w:t xml:space="preserve">1では、年齢を18-49歳、50-59歳、60-69歳、70歳以上、築年帯を30年未満、30年以上、不明に集約し、浴室窓の「わからない」と無回答を「不明・無回答」にまとめた。脱衣所・浴室のその他暖房設備は主要解析対象147人を分母とする複数回答として集計し、無回答を別に示した。</w:t>
      </w:r>
    </w:p>
    <w:p>
      <w:pPr>
        <w:pStyle w:val="BodyText"/>
      </w:pPr>
      <w:r>
        <w:rPr>
          <w:rFonts w:hint="eastAsia" w:ascii="Times New Roman" w:hAnsi="Times New Roman" w:eastAsia="Yu Mincho"/>
          <w:sz w:val="24"/>
        </w:rPr>
        <w:t xml:space="preserve">カテゴリ変数は人数と割合で示した。未設置・未使用理由は、不使用者112人を分母として8つの選択肢別および集約分類別に記述した。浴室寒さ1-4群と浴室寒さ5-7群別には、費用または住宅・設置上の制約、費用系、住宅・設置制約系および不要の4分類をFig.</w:t>
      </w:r>
      <w:r>
        <w:rPr>
          <w:rFonts w:ascii="Times New Roman" w:hAnsi="Times New Roman" w:eastAsia="Yu Mincho"/>
          <w:sz w:val="24"/>
        </w:rPr>
        <w:t xml:space="preserve"> </w:t>
      </w:r>
      <w:r>
        <w:rPr>
          <w:rFonts w:hint="eastAsia" w:ascii="Times New Roman" w:hAnsi="Times New Roman" w:eastAsia="Yu Mincho"/>
          <w:sz w:val="24"/>
        </w:rPr>
        <w:t xml:space="preserve">1に示した。セントラル暖房使用者については、浴室寒さ5-7群の人数および浴室暖房乾燥機の併用人数を記述した。解析および作図にはPython</w:t>
      </w:r>
      <w:r>
        <w:rPr>
          <w:rFonts w:ascii="Times New Roman" w:hAnsi="Times New Roman" w:eastAsia="Yu Mincho"/>
          <w:sz w:val="24"/>
        </w:rPr>
        <w:t xml:space="preserve"> </w:t>
      </w:r>
      <w:r>
        <w:rPr>
          <w:rFonts w:hint="eastAsia" w:ascii="Times New Roman" w:hAnsi="Times New Roman" w:eastAsia="Yu Mincho"/>
          <w:sz w:val="24"/>
        </w:rPr>
        <w:t xml:space="preserve">3.11.3を用いた。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154部の回収票から7部を除外し、147人を主要解析対象とした。対象者の特性をTable</w:t>
      </w:r>
      <w:r>
        <w:rPr>
          <w:rFonts w:ascii="Times New Roman" w:hAnsi="Times New Roman" w:eastAsia="Yu Mincho"/>
          <w:sz w:val="24"/>
        </w:rPr>
        <w:t xml:space="preserve"> </w:t>
      </w:r>
      <w:r>
        <w:rPr>
          <w:rFonts w:hint="eastAsia" w:ascii="Times New Roman" w:hAnsi="Times New Roman" w:eastAsia="Yu Mincho"/>
          <w:sz w:val="24"/>
        </w:rPr>
        <w:t xml:space="preserve">1に示す。浴室寒さ5-7群は66人（44.9%）、脱衣所寒さ5-7群は77人（52.4%）であった。</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浴室暖房乾燥機、セントラル暖房および脱衣所・浴室のその他暖房設備の利用状況をTable</w:t>
      </w:r>
      <w:r>
        <w:rPr>
          <w:rFonts w:ascii="Times New Roman" w:hAnsi="Times New Roman" w:eastAsia="Yu Mincho"/>
          <w:sz w:val="24"/>
        </w:rPr>
        <w:t xml:space="preserve"> </w:t>
      </w:r>
      <w:r>
        <w:rPr>
          <w:rFonts w:hint="eastAsia" w:ascii="Times New Roman" w:hAnsi="Times New Roman" w:eastAsia="Yu Mincho"/>
          <w:sz w:val="24"/>
        </w:rPr>
        <w:t xml:space="preserve">1に示す。セントラル暖房の使用状況に回答した145人中28人（19.3%）が使用していた。この28人のうち、浴室寒さ5-7群は2人（7.1%）で、19人（67.9%）は浴室暖房乾燥機を暖房として使用していた。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不使用者112人のうち、障壁あり（理由2-7のいずれか）は69人（61.6%）、費用または住宅・設置上の制約（理由2-5のいずれか）は66人（58.9%）であった。</w:t>
      </w:r>
    </w:p>
    <w:p>
      <w:pPr>
        <w:pStyle w:val="BodyText"/>
      </w:pPr>
      <w:r>
        <w:rPr>
          <w:rFonts w:hint="eastAsia" w:ascii="Times New Roman" w:hAnsi="Times New Roman" w:eastAsia="Yu Mincho"/>
          <w:sz w:val="24"/>
        </w:rPr>
        <w:t xml:space="preserve">選択肢別の回答（複数回答）は、不要31人（27.7%）、電気代25人（22.3%）、設置費用22人（19.6%）であった。住宅構造上の制約は19人（17.0%）、賃貸による工事制約は8人（7.1%）、使用方法不明は2人（1.8%）、故障中は1人（0.9%）、その他は17人（15.2%）であった。理由8「その他」のみを選択した者は15人（13.4%）で、不要と障壁ありの両方を選択した者は3人（2.7%）であった。</w:t>
      </w:r>
    </w:p>
    <w:p>
      <w:pPr>
        <w:pStyle w:val="BodyText"/>
      </w:pPr>
      <w:r>
        <w:rPr>
          <w:rFonts w:hint="eastAsia" w:ascii="Times New Roman" w:hAnsi="Times New Roman" w:eastAsia="Yu Mincho"/>
          <w:sz w:val="24"/>
        </w:rPr>
        <w:t xml:space="preserve">費用または住宅・設置上の制約は、浴室寒さ5-7群で51/62人（82.3%）、浴室寒さ1-4群で15/50人（30.0%）が選択した。不要は、浴室寒さ5-7群で4/62人（6.5%）、浴室寒さ1-4群で27/50人（54.0%）が選択した。費用系および住宅・設置制約系の内訳を含め、Fig.</w:t>
      </w:r>
      <w:r>
        <w:rPr>
          <w:rFonts w:ascii="Times New Roman" w:hAnsi="Times New Roman" w:eastAsia="Yu Mincho"/>
          <w:sz w:val="24"/>
        </w:rPr>
        <w:t xml:space="preserve"> </w:t>
      </w:r>
      <w:r>
        <w:rPr>
          <w:rFonts w:hint="eastAsia" w:ascii="Times New Roman" w:hAnsi="Times New Roman" w:eastAsia="Yu Mincho"/>
          <w:sz w:val="24"/>
        </w:rPr>
        <w:t xml:space="preserve">1に示す。</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で注目された所見は、浴室を寒いと感じる不使用者62人のうち、51人（82.3%）が費用または住宅・設置上の制約を選択したことである。この51人のうち、費用系は31人、住宅・設置制約系は21人で、1人が両方を選択していた。このような回答が観察されたことから、浴室の寒さ対策を検討する際には、設備の必要性に関する周知に加えて、使用費、設置費および住宅側の工事制約を把握することも、今後の検討課題となる。</w:t>
      </w:r>
    </w:p>
    <w:p>
      <w:pPr>
        <w:pStyle w:val="BodyText"/>
      </w:pPr>
      <w:r>
        <w:rPr>
          <w:rFonts w:hint="eastAsia" w:ascii="Times New Roman" w:hAnsi="Times New Roman" w:eastAsia="Yu Mincho"/>
          <w:sz w:val="24"/>
        </w:rPr>
        <w:t xml:space="preserve">前報において、環境省「令和5年度家庭部門のCO2排出実態統計調査」の公開表を用いて集計したセントラル暖房使用率は、北海道地域で24.6%であり、他地域の0.4-4.0%より高かった[3]。北海道では浴室の寒さや室間温度差も他地域より小さく[4,5]、前報では、セントラル暖房を含む全館暖房が浴室暖房乾燥機を代替し得る可能性に言及した[3]。一方、青森県では、重臣らが入浴中心肺停止の地域差と寒冷期の脱衣場・浴室内低温との関連を指摘しているものの[6]、浴室周辺の寒さ・室間温度差を県単位で示した報告や、浴室暖房乾燥機・セントラル暖房の設置・使用実態を調べた報告は、今回確認した公開情報の範囲では見当たらなかった。この情報不足を踏まえて実施した本調査では、セントラル暖房の使用状況に回答した145人中28人が使用しており、その28人のうち浴室寒さ5-7群は2人、浴室暖房乾燥機を併用していた者は19人であった。こうした観察事実から、少なくとも本標本の設備利用パターンは、「浴室が暖かいため不要」という理由や、セントラル暖房による単純な排他的代替だけでは説明しにくかった。</w:t>
      </w:r>
    </w:p>
    <w:p>
      <w:pPr>
        <w:pStyle w:val="BodyText"/>
      </w:pPr>
      <w:r>
        <w:rPr>
          <w:rFonts w:hint="eastAsia" w:ascii="Times New Roman" w:hAnsi="Times New Roman" w:eastAsia="Yu Mincho"/>
          <w:sz w:val="24"/>
        </w:rPr>
        <w:t xml:space="preserve">本研究には限界がある。理由1「既に十分暖かいので必要がない」は、それ自体が寒さ体感に関する判断を含む項目である。このため、寒さ体感群間の「不要」の割合差を独立した所見として解釈することはできない。「不要」を選択した者のうち3人は理由2-7のいずれかも選択しており、「不要」と「障壁あり」は相互排他的ではない。また、横断調査であるため、寒さ体感別の障壁回答割合から、障壁の認識と寒さ体感の前後関係は判断できない。逆に、寒さを感じる者ほど障壁を認識し、該当する理由を選択しやすかった可能性もある。標本は便宜抽出であり、五所川原市および青森県全体を代表するものではない。自己申告に伴う想起誤差や回答誤差が生じ得るほか、断熱性能、築年、所有形態などによる交絡も残る。さらに、セントラル暖房が浴室や脱衣所を実際に暖めていたかは確認しておらず、入浴中の事故の発生も調査していない。以上から、青森県全体における浴室暖房乾燥機とセントラル暖房の代替関係、暖房設備による寒さ体感の改善効果、および暖房設備と入浴中の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うち、費用または住宅・設置上の制約を回答した者が観察された。寒冷地の浴室対策を検討する際には、設備の必要性だけでなく、導入・使用を妨げる具体的制約と住宅の暖房構成を把握することも、今後の検討課題とな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ascii="Times New Roman" w:hAnsi="Times New Roman" w:eastAsia="Yu Mincho"/>
          <w:sz w:val="24"/>
        </w:rPr>
        <w:t xml:space="preserve">Kiyohara K, Nishiyama C, Hayashida S, et </w:t>
      </w:r>
      <w:r>
        <w:rPr>
          <w:rFonts w:hint="eastAsia" w:ascii="Times New Roman" w:hAnsi="Times New Roman" w:eastAsia="Yu Mincho"/>
          <w:sz w:val="24"/>
        </w:rPr>
        <w:t xml:space="preserve">al：Characteristics</w:t>
      </w:r>
      <w:r>
        <w:rPr>
          <w:rFonts w:ascii="Times New Roman" w:hAnsi="Times New Roman" w:eastAsia="Yu Mincho"/>
          <w:sz w:val="24"/>
        </w:rPr>
        <w:t xml:space="preserve"> and outcomes of bath-related out-of-hospital cardiac arrest in </w:t>
      </w:r>
      <w:r>
        <w:rPr>
          <w:rFonts w:hint="eastAsia" w:ascii="Times New Roman" w:hAnsi="Times New Roman" w:eastAsia="Yu Mincho"/>
          <w:sz w:val="24"/>
        </w:rPr>
        <w:t xml:space="preserve">Japan．Circ</w:t>
      </w:r>
      <w:r>
        <w:rPr>
          <w:rFonts w:ascii="Times New Roman" w:hAnsi="Times New Roman" w:eastAsia="Yu Mincho"/>
          <w:sz w:val="24"/>
        </w:rPr>
        <w:t xml:space="preserve"> J </w:t>
      </w:r>
      <w:r>
        <w:rPr>
          <w:rFonts w:hint="eastAsia" w:ascii="Times New Roman" w:hAnsi="Times New Roman" w:eastAsia="Yu Mincho"/>
          <w:sz w:val="24"/>
        </w:rPr>
        <w:t xml:space="preserve">80：1564-1570，2016．doi:10.1253/circj.CJ-16-0241</w:t>
      </w:r>
    </w:p>
    <w:p>
      <w:pPr>
        <w:pStyle w:val="Compact"/>
        <w:numPr>
          <w:ilvl w:val="0"/>
          <w:numId w:val="1002"/>
        </w:numPr>
      </w:pPr>
      <w:r>
        <w:rPr>
          <w:rFonts w:hint="eastAsia" w:ascii="Times New Roman" w:hAnsi="Times New Roman" w:eastAsia="Yu Mincho"/>
          <w:sz w:val="24"/>
        </w:rPr>
        <w:t xml:space="preserve">消費者庁：冬季に多発する入浴中の事故に御注意ください！―11月26日は「いい風呂」の日―．2018．https://www.caa.go.jp/policies/policy/consumer_safety/caution/caution_009/pdf/caution_009_181121_0001.pdf</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by perceived bathroom coldness group.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145 respondents who answered that item. Counts and percentages were described by perceived coldness group. Results: Overall, 66/147 respondents (44.9%) reported bathroom coldness scores of 5-7. In a multiple-response item among 112 respondents who did not use or had not installed a bathroom heater-dryer, 66 (58.9%) reported cost-related or housing/installation-related constraints, whereas 31 (27.7%) selected that heating was unnecessary. Cost-related or housing/installation-related constraints were reported by 51/62 respondents (82.3%) in the coldness 5-7 group and 15/50 (30.0%) in the coldness 1-4 group. Central heating was used by 28/145 respondents (19.3%), of whom 19/28 also used a bathroom heater-dryer for heating. Conclusions: Within this convenience sample, some respondents perceived their bathrooms as cold while reporting cost-related or installation-related constraints. Concurrent use of central heating and bathroom heater-dryers was observed in 19/28 central heating users, indicating that a simple mutually exclusive substitution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11cba43b7ef8015f7c003b4a8a865ce93ab5a29"/>
    <w:p>
      <w:pPr>
        <w:pStyle w:val="Heading3"/>
      </w:pPr>
      <w:r>
        <w:rPr>
          <w:rFonts w:ascii="Times New Roman" w:hAnsi="Times New Roman" w:eastAsia="Yu Mincho"/>
          <w:sz w:val="24"/>
        </w:rPr>
        <w:t xml:space="preserve">Table 1. Characteristics and heating equipment use in the analysis samples</w:t>
      </w:r>
    </w:p>
    <w:tbl>
      <w:tblPr>
        <w:tblStyle w:val="Table"/>
        <w:tblW w:type="dxa" w:w="8504"/>
        <w:jc w:val="center"/>
        <w:tblLayout w:type="fixed"/>
        <w:tblLook w:firstRow="1" w:lastRow="0" w:firstColumn="0" w:lastColumn="0" w:noHBand="0" w:noVBand="0" w:val="0020"/>
        <w:tblBorders>
          <w:top w:val="nil"/>
          <w:left w:val="nil"/>
          <w:bottom w:val="nil"/>
          <w:right w:val="nil"/>
          <w:insideH w:val="nil"/>
          <w:insideV w:val="nil"/>
        </w:tblBorders>
      </w:tblPr>
      <w:tblGrid>
        <w:gridCol w:w="1247"/>
        <w:gridCol w:w="2041"/>
        <w:gridCol w:w="964"/>
        <w:gridCol w:w="1247"/>
        <w:gridCol w:w="2041"/>
        <w:gridCol w:w="964"/>
      </w:tblGrid>
      <w:tr>
        <w:trPr>
          <w:tblHeader w:val="on"/>
          <w:tblHeader w:val="true"/>
          <w:cantSplit/>
        </w:trPr>
        <w:tc>
          <w:tcPr>
            <w:tcW w:type="dxa" w:w="1247"/>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85"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c>
          <w:tcPr>
            <w:tcW w:type="dxa" w:w="1247"/>
            <w:vAlign w:val="top"/>
            <w:tcMar>
              <w:top w:w="28" w:type="dxa"/>
              <w:right w:w="28" w:type="dxa"/>
              <w:bottom w:w="28" w:type="dxa"/>
              <w:left w:w="85"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Characteristic</w:t>
            </w:r>
          </w:p>
        </w:tc>
        <w:tc>
          <w:tcPr>
            <w:tcW w:type="dxa" w:w="2041"/>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left"/>
            </w:pPr>
            <w:r>
              <w:rPr>
                <w:rFonts w:ascii="Times New Roman" w:hAnsi="Times New Roman" w:eastAsia="Yu Mincho"/>
                <w:sz w:val="18"/>
              </w:rPr>
              <w:t xml:space="preserve">Category</w:t>
            </w:r>
          </w:p>
        </w:tc>
        <w:tc>
          <w:tcPr>
            <w:tcW w:type="dxa" w:w="964"/>
            <w:vAlign w:val="top"/>
            <w:tcMar>
              <w:top w:w="28" w:type="dxa"/>
              <w:right w:w="28" w:type="dxa"/>
              <w:bottom w:w="28" w:type="dxa"/>
              <w:left w:w="28" w:type="dxa"/>
            </w:tcMar>
            <w:tcBorders>
              <w:top w:val="single" w:sz="8" w:space="0" w:color="000000"/>
              <w:bottom w:val="single" w:sz="8" w:space="0" w:color="000000"/>
            </w:tcBorders>
          </w:tcPr>
          <w:p>
            <w:pPr>
              <w:pStyle w:val="Compact"/>
              <w:spacing w:line="240" w:lineRule="auto" w:after="0" w:before="0"/>
              <w:jc w:val="right"/>
            </w:pPr>
            <w:r>
              <w:rPr>
                <w:rFonts w:ascii="Times New Roman" w:hAnsi="Times New Roman" w:eastAsia="Yu Mincho"/>
                <w:sz w:val="18"/>
              </w:rPr>
              <w:t xml:space="preserve">n (%)</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18-49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32 (21.8)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window</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Double window/double glazing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111 (75.5)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50-59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25 (17.0)</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Single glazing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26 (17.7)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60-69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 window</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 (4.8)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≥70 years</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29 (19.7)</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3 (2.0)</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Housing type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Detached house</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132 (89.8)</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Bathroom heater-dryer</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Installed and used for heating</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35 (23.8)</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Apartment/condominium</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15 (10.2)</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Installed but not used for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13 (8.8)</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Building age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&lt;30 years</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62 (42.2)</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Not installed</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99 (67.3)</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≥30 years</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77 (52.4)</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Central heating</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Used 24 hours</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16 (11.0)</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Unknown</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Used for limited hours</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12 (8.3)</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Tenure</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Owner-occupied</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130 (88.4)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Not used</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117 (80.7)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Rented</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16 (10.9)</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9</w:t>
            </w:r>
          </w:p>
        </w:tc>
      </w:tr>
      <w:tr>
        <w:trPr>
          <w:cantSplit/>
        </w:trPr>
        <w:tc>
          <w:tcPr>
            <w:tcW w:type="dxa" w:w="1247"/>
            <w:vAlign w:val="top"/>
            <w:tcMar>
              <w:top w:w="28" w:type="dxa"/>
              <w:right w:w="28" w:type="dxa"/>
              <w:bottom w:w="28" w:type="dxa"/>
              <w:left w:w="28"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85"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1 (0.7)</w:t>
            </w:r>
          </w:p>
        </w:tc>
        <w:tc>
          <w:tcPr>
            <w:tcW w:type="dxa" w:w="1247"/>
            <w:vAlign w:val="top"/>
            <w:tcMar>
              <w:top w:w="28" w:type="dxa"/>
              <w:right w:w="28" w:type="dxa"/>
              <w:bottom w:w="28" w:type="dxa"/>
              <w:left w:w="85"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Other equipment used to heat the dressing room or bathroom</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Stove</w:t>
            </w:r>
          </w:p>
        </w:tc>
        <w:tc>
          <w:tcPr>
            <w:tcW w:type="dxa" w:w="964"/>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63 (42.9)</w:t>
            </w:r>
          </w:p>
        </w:tc>
      </w:tr>
      <w:tr>
        <w:trPr>
          <w:cantSplit/>
        </w:trPr>
        <w:tc>
          <w:tcPr>
            <w:tcW w:type="dxa" w:w="1247"/>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b/>
                <w:sz w:val="18"/>
              </w:rPr>
              <w:t xml:space="preserve">Winter bathing frequency</w:t>
            </w:r>
          </w:p>
        </w:tc>
        <w:tc>
          <w:tcPr>
            <w:tcW w:type="dxa" w:w="2041"/>
            <w:vAlign w:val="top"/>
            <w:tcMar>
              <w:top w:w="28" w:type="dxa"/>
              <w:right w:w="28" w:type="dxa"/>
              <w:bottom w:w="28" w:type="dxa"/>
              <w:left w:w="28" w:type="dxa"/>
            </w:tcMar>
            <w:tcBorders>
              <w:top w:val="single" w:sz="4" w:space="0" w:color="B7B7B7"/>
              <w:bottom w:val="nil"/>
            </w:tcBorders>
          </w:tcPr>
          <w:p>
            <w:pPr>
              <w:pStyle w:val="Compact"/>
              <w:keepNext/>
              <w:spacing w:line="240" w:lineRule="auto" w:after="0" w:before="0"/>
              <w:jc w:val="left"/>
            </w:pPr>
            <w:r>
              <w:rPr>
                <w:rFonts w:ascii="Times New Roman" w:hAnsi="Times New Roman" w:eastAsia="Yu Mincho"/>
                <w:sz w:val="18"/>
              </w:rPr>
              <w:t xml:space="preserve">Daily</w:t>
            </w:r>
          </w:p>
        </w:tc>
        <w:tc>
          <w:tcPr>
            <w:tcW w:type="dxa" w:w="964"/>
            <w:vAlign w:val="top"/>
            <w:tcMar>
              <w:top w:w="28" w:type="dxa"/>
              <w:right w:w="85" w:type="dxa"/>
              <w:bottom w:w="28" w:type="dxa"/>
              <w:left w:w="28" w:type="dxa"/>
            </w:tcMar>
            <w:tcBorders>
              <w:top w:val="single" w:sz="4" w:space="0" w:color="B7B7B7"/>
              <w:bottom w:val="nil"/>
            </w:tcBorders>
          </w:tcPr>
          <w:p>
            <w:pPr>
              <w:pStyle w:val="Compact"/>
              <w:keepNext/>
              <w:spacing w:line="240" w:lineRule="auto" w:after="0" w:before="0"/>
              <w:jc w:val="right"/>
            </w:pPr>
            <w:r>
              <w:rPr>
                <w:rFonts w:ascii="Times New Roman" w:hAnsi="Times New Roman" w:eastAsia="Yu Mincho"/>
                <w:sz w:val="18"/>
              </w:rPr>
              <w:t xml:space="preserve">94 (63.9)</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Air conditioner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15 (10.2)</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4-6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36 (24.5)</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Floor heating other than central heating</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times/week</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10 (6.8)</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Other</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4 (2.7)</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1-3 times/month</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2 (1.4)</w:t>
            </w:r>
          </w:p>
        </w:tc>
        <w:tc>
          <w:tcPr>
            <w:tcW w:type="dxa" w:w="1247"/>
            <w:vAlign w:val="top"/>
            <w:tcMar>
              <w:top w:w="28" w:type="dxa"/>
              <w:right w:w="28" w:type="dxa"/>
              <w:bottom w:w="28" w:type="dxa"/>
              <w:left w:w="85"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None</w:t>
            </w:r>
          </w:p>
        </w:tc>
        <w:tc>
          <w:tcPr>
            <w:tcW w:type="dxa" w:w="964"/>
            <w:vAlign w:val="top"/>
            <w:tcMar>
              <w:top w:w="28" w:type="dxa"/>
              <w:right w:w="28"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61 (41.5)</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r>
              <w:rPr>
                <w:rFonts w:ascii="Times New Roman" w:hAnsi="Times New Roman" w:eastAsia="Yu Mincho"/>
                <w:sz w:val="18"/>
              </w:rPr>
              <w:t xml:space="preserve">Almost never</w:t>
            </w: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r>
              <w:rPr>
                <w:rFonts w:ascii="Times New Roman" w:hAnsi="Times New Roman" w:eastAsia="Yu Mincho"/>
                <w:sz w:val="18"/>
              </w:rPr>
              <w:t xml:space="preserve">5 (3.4)</w:t>
            </w:r>
          </w:p>
        </w:tc>
        <w:tc>
          <w:tcPr>
            <w:tcW w:type="dxa" w:w="1247"/>
            <w:vAlign w:val="top"/>
            <w:tcMar>
              <w:top w:w="28" w:type="dxa"/>
              <w:right w:w="28" w:type="dxa"/>
              <w:bottom w:w="28" w:type="dxa"/>
              <w:left w:w="85" w:type="dxa"/>
            </w:tcMar>
            <w:tcBorders>
              <w:top w:val="nil"/>
              <w:bottom w:val="nil"/>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spacing w:line="240" w:lineRule="auto" w:after="0" w:before="0"/>
              <w:jc w:val="left"/>
            </w:pPr>
            <w:r>
              <w:rPr>
                <w:rFonts w:ascii="Times New Roman" w:hAnsi="Times New Roman" w:eastAsia="Yu Mincho"/>
                <w:sz w:val="18"/>
              </w:rPr>
              <w:t xml:space="preserve">Missing</w:t>
            </w:r>
          </w:p>
        </w:tc>
        <w:tc>
          <w:tcPr>
            <w:tcW w:type="dxa" w:w="964"/>
            <w:vAlign w:val="top"/>
            <w:tcMar>
              <w:top w:w="28" w:type="dxa"/>
              <w:right w:w="28" w:type="dxa"/>
              <w:bottom w:w="28" w:type="dxa"/>
              <w:left w:w="28" w:type="dxa"/>
            </w:tcMar>
            <w:tcBorders>
              <w:top w:val="nil"/>
              <w:bottom w:val="nil"/>
            </w:tcBorders>
          </w:tcPr>
          <w:p>
            <w:pPr>
              <w:pStyle w:val="Compact"/>
              <w:spacing w:line="240" w:lineRule="auto" w:after="0" w:before="0"/>
              <w:jc w:val="right"/>
            </w:pPr>
            <w:r>
              <w:rPr>
                <w:rFonts w:ascii="Times New Roman" w:hAnsi="Times New Roman" w:eastAsia="Yu Mincho"/>
                <w:sz w:val="18"/>
              </w:rPr>
              <w:t xml:space="preserve">8 (5.4)</w:t>
            </w:r>
          </w:p>
        </w:tc>
      </w:tr>
      <w:tr>
        <w:trPr>
          <w:cantSplit/>
        </w:trPr>
        <w:tc>
          <w:tcPr>
            <w:tcW w:type="dxa" w:w="1247"/>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2041"/>
            <w:vAlign w:val="top"/>
            <w:tcMar>
              <w:top w:w="28" w:type="dxa"/>
              <w:right w:w="28" w:type="dxa"/>
              <w:bottom w:w="28" w:type="dxa"/>
              <w:left w:w="28" w:type="dxa"/>
            </w:tcMar>
            <w:tcBorders>
              <w:top w:val="nil"/>
              <w:bottom w:val="nil"/>
            </w:tcBorders>
          </w:tcPr>
          <w:p>
            <w:pPr>
              <w:pStyle w:val="Compact"/>
              <w:keepNext/>
              <w:spacing w:line="240" w:lineRule="auto" w:after="0" w:before="0"/>
              <w:jc w:val="left"/>
            </w:pPr>
          </w:p>
        </w:tc>
        <w:tc>
          <w:tcPr>
            <w:tcW w:type="dxa" w:w="964"/>
            <w:vAlign w:val="top"/>
            <w:tcMar>
              <w:top w:w="28" w:type="dxa"/>
              <w:right w:w="85" w:type="dxa"/>
              <w:bottom w:w="28" w:type="dxa"/>
              <w:left w:w="28" w:type="dxa"/>
            </w:tcMar>
            <w:tcBorders>
              <w:top w:val="nil"/>
              <w:bottom w:val="nil"/>
            </w:tcBorders>
          </w:tcPr>
          <w:p>
            <w:pPr>
              <w:pStyle w:val="Compact"/>
              <w:keepNex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nil"/>
            </w:tcBorders>
          </w:tcPr>
          <w:p>
            <w:pPr>
              <w:pStyle w:val="Compact"/>
              <w:spacing w:line="240" w:lineRule="auto" w:after="0" w:before="0"/>
              <w:jc w:val="left"/>
            </w:pPr>
            <w:r>
              <w:rPr>
                <w:rFonts w:ascii="Times New Roman" w:hAnsi="Times New Roman" w:eastAsia="Yu Mincho"/>
                <w:b/>
                <w:sz w:val="18"/>
              </w:rPr>
              <w:t xml:space="preserve">Perceived bathroom coldness</w:t>
            </w:r>
          </w:p>
        </w:tc>
        <w:tc>
          <w:tcPr>
            <w:tcW w:type="dxa" w:w="2041"/>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left"/>
            </w:pPr>
            <w:r>
              <w:rPr>
                <w:rFonts w:ascii="Times New Roman" w:hAnsi="Times New Roman" w:eastAsia="Yu Mincho"/>
                <w:sz w:val="18"/>
              </w:rPr>
              <w:t xml:space="preserve">Score 5-7</w:t>
            </w:r>
          </w:p>
        </w:tc>
        <w:tc>
          <w:tcPr>
            <w:tcW w:type="dxa" w:w="964"/>
            <w:vAlign w:val="top"/>
            <w:tcMar>
              <w:top w:w="28" w:type="dxa"/>
              <w:right w:w="28" w:type="dxa"/>
              <w:bottom w:w="28" w:type="dxa"/>
              <w:left w:w="28" w:type="dxa"/>
            </w:tcMar>
            <w:tcBorders>
              <w:top w:val="single" w:sz="4" w:space="0" w:color="B7B7B7"/>
              <w:bottom w:val="nil"/>
            </w:tcBorders>
          </w:tcPr>
          <w:p>
            <w:pPr>
              <w:pStyle w:val="Compact"/>
              <w:spacing w:line="240" w:lineRule="auto" w:after="0" w:before="0"/>
              <w:jc w:val="right"/>
            </w:pPr>
            <w:r>
              <w:rPr>
                <w:rFonts w:ascii="Times New Roman" w:hAnsi="Times New Roman" w:eastAsia="Yu Mincho"/>
                <w:sz w:val="18"/>
              </w:rPr>
              <w:t xml:space="preserve">66 (44.9)</w:t>
            </w:r>
          </w:p>
        </w:tc>
      </w:tr>
      <w:tr>
        <w:trPr>
          <w:cantSplit/>
        </w:trPr>
        <w:tc>
          <w:tcPr>
            <w:tcW w:type="dxa" w:w="1247"/>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2041"/>
            <w:vAlign w:val="top"/>
            <w:tcMar>
              <w:top w:w="28" w:type="dxa"/>
              <w:right w:w="28" w:type="dxa"/>
              <w:bottom w:w="28" w:type="dxa"/>
              <w:left w:w="28" w:type="dxa"/>
            </w:tcMar>
            <w:tcBorders>
              <w:top w:val="nil"/>
              <w:bottom w:val="single" w:sz="8" w:space="0" w:color="000000"/>
            </w:tcBorders>
          </w:tcPr>
          <w:p>
            <w:pPr>
              <w:pStyle w:val="Compact"/>
              <w:spacing w:line="240" w:lineRule="auto" w:after="0" w:before="0"/>
              <w:jc w:val="left"/>
            </w:pPr>
          </w:p>
        </w:tc>
        <w:tc>
          <w:tcPr>
            <w:tcW w:type="dxa" w:w="964"/>
            <w:vAlign w:val="top"/>
            <w:tcMar>
              <w:top w:w="28" w:type="dxa"/>
              <w:right w:w="85" w:type="dxa"/>
              <w:bottom w:w="28" w:type="dxa"/>
              <w:left w:w="28" w:type="dxa"/>
            </w:tcMar>
            <w:tcBorders>
              <w:top w:val="nil"/>
              <w:bottom w:val="single" w:sz="8" w:space="0" w:color="000000"/>
            </w:tcBorders>
          </w:tcPr>
          <w:p>
            <w:pPr>
              <w:pStyle w:val="Compact"/>
              <w:spacing w:line="240" w:lineRule="auto" w:after="0" w:before="0"/>
              <w:jc w:val="right"/>
            </w:pPr>
          </w:p>
        </w:tc>
        <w:tc>
          <w:tcPr>
            <w:tcW w:type="dxa" w:w="1247"/>
            <w:vAlign w:val="top"/>
            <w:tcMar>
              <w:top w:w="28" w:type="dxa"/>
              <w:right w:w="28" w:type="dxa"/>
              <w:bottom w:w="28" w:type="dxa"/>
              <w:left w:w="85"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b/>
                <w:sz w:val="18"/>
              </w:rPr>
              <w:t xml:space="preserve">Perceived dressing-room coldness</w:t>
            </w:r>
          </w:p>
        </w:tc>
        <w:tc>
          <w:tcPr>
            <w:tcW w:type="dxa" w:w="2041"/>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left"/>
            </w:pPr>
            <w:r>
              <w:rPr>
                <w:rFonts w:ascii="Times New Roman" w:hAnsi="Times New Roman" w:eastAsia="Yu Mincho"/>
                <w:sz w:val="18"/>
              </w:rPr>
              <w:t xml:space="preserve">Score 5-7</w:t>
            </w:r>
          </w:p>
        </w:tc>
        <w:tc>
          <w:tcPr>
            <w:tcW w:type="dxa" w:w="964"/>
            <w:vAlign w:val="top"/>
            <w:tcMar>
              <w:top w:w="28" w:type="dxa"/>
              <w:right w:w="28" w:type="dxa"/>
              <w:bottom w:w="28" w:type="dxa"/>
              <w:left w:w="28" w:type="dxa"/>
            </w:tcMar>
            <w:tcBorders>
              <w:top w:val="single" w:sz="4" w:space="0" w:color="B7B7B7"/>
              <w:bottom w:val="single" w:sz="8" w:space="0" w:color="000000"/>
            </w:tcBorders>
          </w:tcPr>
          <w:p>
            <w:pPr>
              <w:pStyle w:val="Compact"/>
              <w:spacing w:line="240" w:lineRule="auto" w:after="0" w:before="0"/>
              <w:jc w:val="right"/>
            </w:pPr>
            <w:r>
              <w:rPr>
                <w:rFonts w:ascii="Times New Roman" w:hAnsi="Times New Roman" w:eastAsia="Yu Mincho"/>
                <w:sz w:val="18"/>
              </w:rPr>
              <w:t xml:space="preserve">77 (52.4)</w:t>
            </w:r>
          </w:p>
        </w:tc>
      </w:tr>
    </w:tbl>
    <w:p>
      <w:pPr>
        <w:pStyle w:val="BodyText"/>
        <w:keepLines/>
        <w:spacing w:line="240" w:lineRule="auto" w:before="60" w:after="0"/>
      </w:pPr>
      <w:r>
        <w:rPr>
          <w:rFonts w:ascii="Times New Roman" w:hAnsi="Times New Roman" w:eastAsia="Yu Mincho"/>
          <w:sz w:val="18"/>
        </w:rPr>
        <w:t xml:space="preserve">Values are n (%). Percentages for central heating use were calculated among 145 respondents with non-missing data; 9 of 154 returned questionnaires had missing data and are shown separately. Percentages for all other characteristics use all 147 respondents in the primary analysis as the denominator. Other equipment used to heat the dressing room or bathroom, excluding the bathroom heater-dryer and central heating, was a multiple-response item; therefore, percentages do not sum to 100%, and missing responses are shown separately. Coldness scores ranged from 1 (very warm) to 7 (very cold); only the score 5-7 group is shown for each coldness item.</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5b16f371837f14f7d32a43ed5d18d04ada7a77e"/>
    <w:p>
      <w:pPr>
        <w:pStyle w:val="Heading3"/>
      </w:pPr>
      <w:r>
        <w:rPr>
          <w:rFonts w:ascii="Times New Roman" w:hAnsi="Times New Roman" w:eastAsia="Yu Mincho"/>
          <w:sz w:val="24"/>
        </w:rPr>
        <w:t xml:space="preserve">Figure 1. Reasons for non-installation or non-use of a bathroom heater-dryer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left and right panels show the coldness 1-4 group (n=50) and the coldness 5-7 group (n=62), respectively, using the same scale and bar style. Reasons were collected as multiple responses; therefore, percentages do not sum to 100%. “No need” (reason 1) indicates “already warm enough; therefore, no bathroom heater-dryer is needed.” Cost-related or housing/installation-related constraints comprise reasons 2-5; cost-related reasons comprise reasons 2-3; and housing/installation-related reasons comprise reasons 4-5. Cost-related and housing/installation-related categories were not mutually exclusive; therefore, their counts should not be summed to obtain the combined category. Bars show the observed n/N (%) within each group. Confidence intervals are not shown; between-group differences and p values were not calculated.</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334000" cy="2553566"/>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334000" cy="2553566"/>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2026-08-13T05:34:59Z</dcterms:created>
  <dcterms:modified xsi:type="dcterms:W3CDTF">2026-08-13T05:34:59Z</dcterms:modified>
</cp:coreProperties>
</file>

<file path=docProps/custom.xml><?xml version="1.0" encoding="utf-8"?>
<Properties xmlns="http://schemas.openxmlformats.org/officeDocument/2006/custom-properties" xmlns:vt="http://schemas.openxmlformats.org/officeDocument/2006/docPropsVTypes"/>
</file>