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では、費用または住宅・設置制約を66人（58.9%）、不要を31人（27.7%）が回答した。費用または住宅・設置制約を回答した者は、浴室寒さ5-7群で51/62人（82.3%）、寒さ1-4群で15/50人（30.0%）であった。セントラル暖房使用者は28/140人（20.0%）で、そのうち19/28人が浴室暖房乾燥機も使用していた。結論：便宜抽出標本内で、浴室を寒いと感じながら費用または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寒冷期に増加する入浴事故の防止は、公衆衛生上の重要な課題である[1]。前報では、浴室暖房乾燥機設置率が高いほど、W65「浴槽内での溺死及び溺水」およびW66「浴槽への転落による溺死及び溺水」の死亡数が少ないという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[2]。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質問紙は200部を準備し、190部を配布した。154部を回収し、回収率は154/190（81.1%）であった。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-5のいずれかを選択した者を「費用・住宅設置制約」、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費用・住宅設置制約、費用系、住宅・設置制約系、理由2-7のいずれか、および不要の5分類について、寒さ2群別に人数と割合を記述した。このうち、費用・住宅設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1に示した。群間差、調整回帰およびp値による評価は行わなかった。解析にはPython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費用・住宅設置制約を選択した者は66人（58.9%）、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では、費用・住宅設置制約を51/62人（82.3%）、費用系を31/62人（50.0%）、住宅・設置制約系を21/62人（33.9%）、理由2-7のいずれかを53/62人（85.5%）、不要を4/62人（6.5%）が選択した。寒さ1-4群では、それぞれ15/50人（30.0%）、10/50人（20.0%）、6/50人（12.0%）、16/50人（32.0%）、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った。このような回答が観察されたことから、浴室の寒さ対策を検討する際には、設備の必要性に関する周知に加えて、使用費、設置費および住宅側の工事制約を把握する必要性が示唆された。</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[2]。また、北海道では、浴室の寒さや室間温度差が他地域より小さいことが報告されている[3,4]。これらの知見を踏まえ、前報では、寒冷地においてセントラル暖房を含む全館暖房が浴室暖房乾燥機を代替し得る可能性に言及した[2]。本調査では、セントラル暖房使用者は28/140人であり、そのうち浴室寒さ5-7群が2人いた。また、19人は浴室暖房乾燥機も使用していた。こうした観察事実から、少なくとも本標本で観察された浴室暖房乾燥機の不使用・未設置および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寒さ体感の評価と定義上重なり、「不要」と理由2-7の両方を選択した者も3人いたため、「不要」と「障壁あり」は相互排他的ではない。寒さ体感別に示した割合は因果効果を意味せず、寒さを感じる者ほど制約を認識・回答しやすいという逆方向の解釈も可能である。また、本調査は便宜抽出による自己申告調査であり、五所川原市や青森県を代表せず、想起・回答誤差を伴う。断熱性能、築年、所有形態などによる交絡も残り、セントラル暖房が浴室や脱衣所まで実際に暖めていたかは確認していない。室温および健康アウトカムも測定していないため、青森県全体での両設備の代替関係、暖房設備による寒さの改善効果、入浴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2551"/>
        <w:gridCol w:w="4252"/>
        <w:gridCol w:w="1701"/>
      </w:tblGrid>
      <w:tr>
        <w:trPr>
          <w:tblHeader w:val="on"/>
          <w:tblHeader w:val="true"/>
          <w:cantSplit/>
        </w:trPr>
        <w:tc>
          <w:tcPr>
            <w:tcW w:type="dxa" w:w="2551"/>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4252"/>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1701"/>
            <w:vAlign w:val="top"/>
            <w:tcMar>
              <w:top w:w="28" w:type="dxa"/>
              <w:right w:w="85" w:type="dxa"/>
              <w:bottom w:w="28" w:type="dxa"/>
              <w:left w:w="85"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18-49 years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50-59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60-69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≥70 years</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Detached house</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Apartment/condominium</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&lt;30 years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≥30 years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Unknown</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Tenure</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Owner-occupied</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Rented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Winter bathing frequency</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Daily</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4-6 times/week</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1-3 times/week</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1-3 times/month</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Almost never</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5 (3.4)</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Double window/double glazing</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Single glazing</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No window</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Unknown/missing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heater-dryer</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Installed and used</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Installed but not used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Not installed</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Used 24 hours</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Used for limited hours</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(8.2)</w:t>
            </w:r>
          </w:p>
        </w:tc>
      </w:tr>
      <w:tr>
        <w:trPr>
          <w:cantSplit/>
        </w:trPr>
        <w:tc>
          <w:tcPr>
            <w:tcW w:type="dxa" w:w="2551"/>
            <w:vAlign w:val="top"/>
            <w:tcMar>
              <w:top w:w="28" w:type="dxa"/>
              <w:right w:w="85" w:type="dxa"/>
              <w:bottom w:w="28" w:type="dxa"/>
              <w:left w:w="85" w:type="dxa"/>
            </w:tcMar>
            <w:tcBorders>
              <w:top w:val="nil"/>
              <w:bottom w:val="nil"/>
            </w:tcBorders>
          </w:tcPr>
          <w:p>
            <w:pPr>
              <w:pStyle w:val="Compact"/>
              <w:keepNex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keepNext/>
              <w:spacing w:line="240" w:lineRule="auto" w:after="0" w:before="0"/>
              <w:ind w:left="142"/>
              <w:jc w:val="left"/>
            </w:pPr>
            <w:r>
              <w:rPr>
                <w:rFonts w:ascii="Times New Roman" w:hAnsi="Times New Roman" w:eastAsia="Yu Mincho"/>
                <w:sz w:val="18"/>
              </w:rPr>
              <w:t xml:space="preserve">Not used</w:t>
            </w:r>
          </w:p>
        </w:tc>
        <w:tc>
          <w:tcPr>
            <w:tcW w:type="dxa" w:w="1701"/>
            <w:vAlign w:val="top"/>
            <w:tcMar>
              <w:top w:w="28" w:type="dxa"/>
              <w:right w:w="85" w:type="dxa"/>
              <w:bottom w:w="28" w:type="dxa"/>
              <w:left w:w="85"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112 (76.2)</w:t>
            </w:r>
          </w:p>
        </w:tc>
      </w:tr>
      <w:tr>
        <w:trPr>
          <w:cantSplit/>
        </w:trPr>
        <w:tc>
          <w:tcPr>
            <w:tcW w:type="dxa" w:w="2551"/>
            <w:vAlign w:val="top"/>
            <w:tcMar>
              <w:top w:w="28" w:type="dxa"/>
              <w:right w:w="85" w:type="dxa"/>
              <w:bottom w:w="28" w:type="dxa"/>
              <w:left w:w="85" w:type="dxa"/>
            </w:tcMar>
            <w:tcBorders>
              <w:top w:val="nil"/>
              <w:bottom w:val="nil"/>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nil"/>
            </w:tcBorders>
          </w:tcPr>
          <w:p>
            <w:pPr>
              <w:pStyle w:val="Compact"/>
              <w:spacing w:line="240" w:lineRule="auto" w:after="0" w:before="0"/>
              <w:ind w:left="142"/>
              <w:jc w:val="left"/>
            </w:pPr>
            <w:r>
              <w:rPr>
                <w:rFonts w:ascii="Times New Roman" w:hAnsi="Times New Roman" w:eastAsia="Yu Mincho"/>
                <w:sz w:val="18"/>
              </w:rPr>
              <w:t xml:space="preserve">Missing</w:t>
            </w:r>
          </w:p>
        </w:tc>
        <w:tc>
          <w:tcPr>
            <w:tcW w:type="dxa" w:w="1701"/>
            <w:vAlign w:val="top"/>
            <w:tcMar>
              <w:top w:w="28" w:type="dxa"/>
              <w:right w:w="85" w:type="dxa"/>
              <w:bottom w:w="28" w:type="dxa"/>
              <w:left w:w="85"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7 (4.8)</w:t>
            </w:r>
          </w:p>
        </w:tc>
      </w:tr>
      <w:tr>
        <w:trPr>
          <w:cantSplit/>
        </w:trPr>
        <w:tc>
          <w:tcPr>
            <w:tcW w:type="dxa" w:w="255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Perceived coldness</w:t>
            </w:r>
          </w:p>
        </w:tc>
        <w:tc>
          <w:tcPr>
            <w:tcW w:type="dxa" w:w="4252"/>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ind w:left="142"/>
              <w:jc w:val="left"/>
            </w:pPr>
            <w:r>
              <w:rPr>
                <w:rFonts w:ascii="Times New Roman" w:hAnsi="Times New Roman" w:eastAsia="Yu Mincho"/>
                <w:sz w:val="18"/>
              </w:rPr>
              <w:t xml:space="preserve">Bathroom score 5-7</w:t>
            </w:r>
          </w:p>
        </w:tc>
        <w:tc>
          <w:tcPr>
            <w:tcW w:type="dxa" w:w="1701"/>
            <w:vAlign w:val="top"/>
            <w:tcMar>
              <w:top w:w="28" w:type="dxa"/>
              <w:right w:w="85" w:type="dxa"/>
              <w:bottom w:w="28" w:type="dxa"/>
              <w:left w:w="85"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66 (44.9)</w:t>
            </w:r>
          </w:p>
        </w:tc>
      </w:tr>
      <w:tr>
        <w:trPr>
          <w:cantSplit/>
        </w:trPr>
        <w:tc>
          <w:tcPr>
            <w:tcW w:type="dxa" w:w="2551"/>
            <w:vAlign w:val="top"/>
            <w:tcMar>
              <w:top w:w="28" w:type="dxa"/>
              <w:right w:w="85" w:type="dxa"/>
              <w:bottom w:w="28" w:type="dxa"/>
              <w:left w:w="85" w:type="dxa"/>
            </w:tcMar>
            <w:tcBorders>
              <w:top w:val="nil"/>
              <w:bottom w:val="single" w:sz="8" w:space="0" w:color="000000"/>
            </w:tcBorders>
          </w:tcPr>
          <w:p>
            <w:pPr>
              <w:pStyle w:val="Compact"/>
              <w:spacing w:line="240" w:lineRule="auto" w:after="0" w:before="0"/>
              <w:jc w:val="left"/>
            </w:pPr>
          </w:p>
        </w:tc>
        <w:tc>
          <w:tcPr>
            <w:tcW w:type="dxa" w:w="4252"/>
            <w:vAlign w:val="top"/>
            <w:tcMar>
              <w:top w:w="28" w:type="dxa"/>
              <w:right w:w="85" w:type="dxa"/>
              <w:bottom w:w="28" w:type="dxa"/>
              <w:left w:w="85" w:type="dxa"/>
            </w:tcMar>
            <w:tcBorders>
              <w:top w:val="nil"/>
              <w:bottom w:val="single" w:sz="8" w:space="0" w:color="000000"/>
            </w:tcBorders>
          </w:tcPr>
          <w:p>
            <w:pPr>
              <w:pStyle w:val="Compact"/>
              <w:spacing w:line="240" w:lineRule="auto" w:after="0" w:before="0"/>
              <w:ind w:left="142"/>
              <w:jc w:val="left"/>
            </w:pPr>
            <w:r>
              <w:rPr>
                <w:rFonts w:ascii="Times New Roman" w:hAnsi="Times New Roman" w:eastAsia="Yu Mincho"/>
                <w:sz w:val="18"/>
              </w:rPr>
              <w:t xml:space="preserve">Dressing-room score 5-7</w:t>
            </w:r>
          </w:p>
        </w:tc>
        <w:tc>
          <w:tcPr>
            <w:tcW w:type="dxa" w:w="1701"/>
            <w:vAlign w:val="top"/>
            <w:tcMar>
              <w:top w:w="28" w:type="dxa"/>
              <w:right w:w="85" w:type="dxa"/>
              <w:bottom w:w="28" w:type="dxa"/>
              <w:left w:w="85" w:type="dxa"/>
            </w:tcMar>
            <w:tcBorders>
              <w:top w:val="nil"/>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5b16f371837f14f7d32a43ed5d18d04ada7a77e"/>
    <w:p>
      <w:pPr>
        <w:pStyle w:val="Heading3"/>
      </w:pPr>
      <w:r>
        <w:rPr>
          <w:rFonts w:ascii="Times New Roman" w:hAnsi="Times New Roman" w:eastAsia="Yu Mincho"/>
          <w:sz w:val="24"/>
        </w:rPr>
        <w:t xml:space="preserve">Figure 1. Reasons for non-installation or non-use of a bathroom heater-dryer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Cost-related or housing/installation-related constraints comprise reasons 2-5; cost-related reasons comprise reasons 2-3; and housing/installation-related reasons comprise reasons 4-5.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2570543"/>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2570543"/>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2026-08-10T01:12:06Z</dcterms:created>
  <dcterms:modified xsi:type="dcterms:W3CDTF">2026-08-10T01:12:06Z</dcterms:modified>
</cp:coreProperties>
</file>

<file path=docProps/custom.xml><?xml version="1.0" encoding="utf-8"?>
<Properties xmlns="http://schemas.openxmlformats.org/officeDocument/2006/custom-properties" xmlns:vt="http://schemas.openxmlformats.org/officeDocument/2006/docPropsVTypes"/>
</file>