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各割合の95%CIはWilson法で算出し、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承認を確認し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[2]。また、北海道では、浴室の寒さや室間温度差が他地域より小さいことが報告されている[3,4]。これらの知見を踏まえ、前報では、寒冷地においてセントラル暖房を含む全館暖房が浴室暖房乾燥機を代替し得る可能性に言及した[2]。本調査では、セントラル暖房使用者は28/140人であり、そのうち浴室寒さ5-7群が2人いた。また、19人は浴室暖房乾燥機も使用していた。こうした観察事実から、少なくとも本標本で観察された浴室暖房乾燥機の不使用・未設置および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auto" w:w="0"/>
        <w:tblLook w:firstRow="1" w:lastRow="0" w:firstColumn="0" w:lastColumn="0" w:noHBand="0" w:noVBand="0" w:val="0020"/>
      </w:tblPr>
      <w:tblGrid>
        <w:gridCol w:w="2640"/>
        <w:gridCol w:w="2640"/>
        <w:gridCol w:w="2640"/>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Characteristic</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 (%)</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 (21.8)</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 (17.0)</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 (41.5)</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 (19.7)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 (89.8)</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 (10.2)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 (42.2)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 (52.4)</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 (5.4)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 (88.4)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 (0.7)</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Daily</w:t>
            </w:r>
          </w:p>
        </w:tc>
        <w:tc>
          <w:tcPr>
            <w:vAlign w:val="center"/>
          </w:tcPr>
          <w:p>
            <w:pPr>
              <w:pStyle w:val="Compact"/>
              <w:spacing w:line="240" w:lineRule="auto" w:after="0"/>
              <w:jc w:val="right"/>
            </w:pPr>
            <w:r>
              <w:rPr>
                <w:rFonts w:ascii="Times New Roman" w:hAnsi="Times New Roman" w:eastAsia="Yu Mincho"/>
                <w:sz w:val="18"/>
              </w:rPr>
              <w:t xml:space="preserve">94 (63.9)</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4-6 times/week</w:t>
            </w:r>
          </w:p>
        </w:tc>
        <w:tc>
          <w:tcPr>
            <w:vAlign w:val="center"/>
          </w:tcPr>
          <w:p>
            <w:pPr>
              <w:pStyle w:val="Compact"/>
              <w:spacing w:line="240" w:lineRule="auto" w:after="0"/>
              <w:jc w:val="right"/>
            </w:pPr>
            <w:r>
              <w:rPr>
                <w:rFonts w:ascii="Times New Roman" w:hAnsi="Times New Roman" w:eastAsia="Yu Mincho"/>
                <w:sz w:val="18"/>
              </w:rPr>
              <w:t xml:space="preserve">36 (24.5)</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times/week</w:t>
            </w:r>
          </w:p>
        </w:tc>
        <w:tc>
          <w:tcPr>
            <w:vAlign w:val="center"/>
          </w:tcPr>
          <w:p>
            <w:pPr>
              <w:pStyle w:val="Compact"/>
              <w:spacing w:line="240" w:lineRule="auto" w:after="0"/>
              <w:jc w:val="right"/>
            </w:pPr>
            <w:r>
              <w:rPr>
                <w:rFonts w:ascii="Times New Roman" w:hAnsi="Times New Roman" w:eastAsia="Yu Mincho"/>
                <w:sz w:val="18"/>
              </w:rPr>
              <w:t xml:space="preserve">10 (6.8)</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times/month</w:t>
            </w:r>
          </w:p>
        </w:tc>
        <w:tc>
          <w:tcPr>
            <w:vAlign w:val="center"/>
          </w:tcPr>
          <w:p>
            <w:pPr>
              <w:pStyle w:val="Compact"/>
              <w:spacing w:line="240" w:lineRule="auto" w:after="0"/>
              <w:jc w:val="right"/>
            </w:pPr>
            <w:r>
              <w:rPr>
                <w:rFonts w:ascii="Times New Roman" w:hAnsi="Times New Roman" w:eastAsia="Yu Mincho"/>
                <w:sz w:val="18"/>
              </w:rPr>
              <w:t xml:space="preserve">2 (1.4)</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Almost never</w:t>
            </w:r>
          </w:p>
        </w:tc>
        <w:tc>
          <w:tcPr>
            <w:vAlign w:val="center"/>
          </w:tcPr>
          <w:p>
            <w:pPr>
              <w:pStyle w:val="Compact"/>
              <w:spacing w:line="240" w:lineRule="auto" w:after="0"/>
              <w:jc w:val="right"/>
            </w:pPr>
            <w:r>
              <w:rPr>
                <w:rFonts w:ascii="Times New Roman" w:hAnsi="Times New Roman" w:eastAsia="Yu Mincho"/>
                <w:sz w:val="18"/>
              </w:rPr>
              <w:t xml:space="preserve">5 (3.4)</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 (75.5)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 (17.7)</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 (2.0)</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 (23.8)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 (8.8)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 (67.3)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 (8.2)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 (76.2)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 (44.9)</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 (52.4)</w:t>
            </w:r>
          </w:p>
        </w:tc>
      </w:tr>
    </w:tbl>
    <w:p>
      <w:pPr>
        <w:pStyle w:val="BodyText"/>
      </w:pPr>
      <w:r>
        <w:rPr>
          <w:rFonts w:ascii="Times New Roman" w:hAnsi="Times New Roman" w:eastAsia="Yu Mincho"/>
          <w:sz w:val="24"/>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0ab4bd3df955986c91b583f2d5a0dc190ac02ea"/>
    <w:p>
      <w:pPr>
        <w:pStyle w:val="Heading3"/>
      </w:pPr>
      <w:r>
        <w:rPr>
          <w:rFonts w:ascii="Times New Roman" w:hAnsi="Times New Roman" w:eastAsia="Yu Mincho"/>
          <w:sz w:val="24"/>
        </w:rPr>
        <w:t xml:space="preserve">Figure 1. Reasons for non-installation or non-use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coldness 5-7 and coldness 1-4 groups included 62 and 50 respondents, respectively. Reasons were collected as multiple responses. Cost-related or housing/installation-related constraints comprise reasons 2-5; cost-related reasons comprise reasons 2-3; housing/installation-related reasons comprise reasons 4-5; and any prespecified constraint comprises reasons 2-7. Group proportions are shown as n/N (%) with Wilson 95% confidence intervals.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3343840"/>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334384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2026-08-07T07:07:55Z</dcterms:created>
  <dcterms:modified xsi:type="dcterms:W3CDTF">2026-08-07T07:07:55Z</dcterms:modified>
</cp:coreProperties>
</file>

<file path=docProps/custom.xml><?xml version="1.0" encoding="utf-8"?>
<Properties xmlns="http://schemas.openxmlformats.org/officeDocument/2006/custom-properties" xmlns:vt="http://schemas.openxmlformats.org/officeDocument/2006/docPropsVTypes"/>
</file>