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五所川原市での質問紙調査における浴室暖房乾燥機の未設置未使用理由と浴室の寒さ体感"/>
    <w:p>
      <w:pPr>
        <w:pStyle w:val="Heading1"/>
      </w:pPr>
      <w:r>
        <w:rPr>
          <w:rFonts w:hint="eastAsia" w:ascii="Times New Roman" w:hAnsi="Times New Roman" w:eastAsia="Yu Mincho"/>
          <w:sz w:val="24"/>
        </w:rPr>
        <w:t xml:space="preserve">五所川原市での質問紙調査における浴室暖房乾燥機の未設置・未使用理由と浴室の寒さ体感</w:t>
      </w:r>
    </w:p>
    <w:bookmarkStart w:id="9" w:name="title-page"/>
    <w:p>
      <w:pPr>
        <w:pStyle w:val="Heading2"/>
      </w:pPr>
      <w:r>
        <w:rPr>
          <w:rFonts w:ascii="Times New Roman" w:hAnsi="Times New Roman" w:eastAsia="Yu Mincho"/>
          <w:sz w:val="24"/>
        </w:rPr>
        <w:t xml:space="preserve">Title Page</w:t>
      </w:r>
    </w:p>
    <w:p>
      <w:pPr>
        <w:pStyle w:val="Compact"/>
        <w:numPr>
          <w:ilvl w:val="0"/>
          <w:numId w:val="1001"/>
        </w:numPr>
      </w:pPr>
      <w:r>
        <w:rPr>
          <w:rFonts w:hint="eastAsia" w:ascii="Times New Roman" w:hAnsi="Times New Roman" w:eastAsia="Yu Mincho"/>
          <w:sz w:val="24"/>
        </w:rPr>
        <w:t xml:space="preserve">論文種別:</w:t>
      </w:r>
      <w:r>
        <w:rPr>
          <w:rFonts w:ascii="Times New Roman" w:hAnsi="Times New Roman" w:eastAsia="Yu Mincho"/>
          <w:sz w:val="24"/>
        </w:rPr>
        <w:t xml:space="preserve"> </w:t>
      </w:r>
      <w:r>
        <w:rPr>
          <w:rFonts w:hint="eastAsia" w:ascii="Times New Roman" w:hAnsi="Times New Roman" w:eastAsia="Yu Mincho"/>
          <w:sz w:val="24"/>
        </w:rPr>
        <w:t xml:space="preserve">短報</w:t>
      </w:r>
    </w:p>
    <w:p>
      <w:pPr>
        <w:pStyle w:val="Compact"/>
        <w:numPr>
          <w:ilvl w:val="0"/>
          <w:numId w:val="1001"/>
        </w:numPr>
      </w:pPr>
      <w:r>
        <w:rPr>
          <w:rFonts w:hint="eastAsia" w:ascii="Times New Roman" w:hAnsi="Times New Roman" w:eastAsia="Yu Mincho"/>
          <w:sz w:val="24"/>
        </w:rPr>
        <w:t xml:space="preserve">和文題名:</w:t>
      </w:r>
      <w:r>
        <w:rPr>
          <w:rFonts w:ascii="Times New Roman" w:hAnsi="Times New Roman" w:eastAsia="Yu Mincho"/>
          <w:sz w:val="24"/>
        </w:rPr>
        <w:t xml:space="preserve"> </w:t>
      </w:r>
      <w:r>
        <w:rPr>
          <w:rFonts w:hint="eastAsia" w:ascii="Times New Roman" w:hAnsi="Times New Roman" w:eastAsia="Yu Mincho"/>
          <w:sz w:val="24"/>
        </w:rPr>
        <w:t xml:space="preserve">五所川原市での質問紙調査における浴室暖房乾燥機の未設置・未使用理由と浴室の寒さ体感</w:t>
      </w:r>
    </w:p>
    <w:p>
      <w:pPr>
        <w:pStyle w:val="Compact"/>
        <w:numPr>
          <w:ilvl w:val="0"/>
          <w:numId w:val="1001"/>
        </w:numPr>
      </w:pPr>
      <w:r>
        <w:rPr>
          <w:rFonts w:hint="eastAsia" w:ascii="Times New Roman" w:hAnsi="Times New Roman" w:eastAsia="Yu Mincho"/>
          <w:sz w:val="24"/>
        </w:rPr>
        <w:t xml:space="preserve">著者:</w:t>
      </w:r>
      <w:r>
        <w:rPr>
          <w:rFonts w:ascii="Times New Roman" w:hAnsi="Times New Roman" w:eastAsia="Yu Mincho"/>
          <w:sz w:val="24"/>
        </w:rPr>
        <w:t xml:space="preserve"> </w:t>
      </w:r>
      <w:r>
        <w:rPr>
          <w:rFonts w:hint="eastAsia" w:ascii="Times New Roman" w:hAnsi="Times New Roman" w:eastAsia="Yu Mincho"/>
          <w:sz w:val="24"/>
        </w:rPr>
        <w:t xml:space="preserve">［著者名を入力］</w:t>
      </w:r>
    </w:p>
    <w:p>
      <w:pPr>
        <w:pStyle w:val="Compact"/>
        <w:numPr>
          <w:ilvl w:val="0"/>
          <w:numId w:val="1001"/>
        </w:numPr>
      </w:pPr>
      <w:r>
        <w:rPr>
          <w:rFonts w:hint="eastAsia" w:ascii="Times New Roman" w:hAnsi="Times New Roman" w:eastAsia="Yu Mincho"/>
          <w:sz w:val="24"/>
        </w:rPr>
        <w:t xml:space="preserve">所属:</w:t>
      </w:r>
      <w:r>
        <w:rPr>
          <w:rFonts w:ascii="Times New Roman" w:hAnsi="Times New Roman" w:eastAsia="Yu Mincho"/>
          <w:sz w:val="24"/>
        </w:rPr>
        <w:t xml:space="preserve"> </w:t>
      </w:r>
      <w:r>
        <w:rPr>
          <w:rFonts w:hint="eastAsia" w:ascii="Times New Roman" w:hAnsi="Times New Roman" w:eastAsia="Yu Mincho"/>
          <w:sz w:val="24"/>
        </w:rPr>
        <w:t xml:space="preserve">［所属を入力］</w:t>
      </w:r>
    </w:p>
    <w:p>
      <w:pPr>
        <w:pStyle w:val="Compact"/>
        <w:numPr>
          <w:ilvl w:val="0"/>
          <w:numId w:val="1001"/>
        </w:numPr>
      </w:pPr>
      <w:r>
        <w:rPr>
          <w:rFonts w:hint="eastAsia" w:ascii="Times New Roman" w:hAnsi="Times New Roman" w:eastAsia="Yu Mincho"/>
          <w:sz w:val="24"/>
        </w:rPr>
        <w:t xml:space="preserve">責任著者:</w:t>
      </w:r>
      <w:r>
        <w:rPr>
          <w:rFonts w:ascii="Times New Roman" w:hAnsi="Times New Roman" w:eastAsia="Yu Mincho"/>
          <w:sz w:val="24"/>
        </w:rPr>
        <w:t xml:space="preserve"> </w:t>
      </w:r>
      <w:r>
        <w:rPr>
          <w:rFonts w:hint="eastAsia" w:ascii="Times New Roman" w:hAnsi="Times New Roman" w:eastAsia="Yu Mincho"/>
          <w:sz w:val="24"/>
        </w:rPr>
        <w:t xml:space="preserve">［氏名、所属、住所、電子メールアドレスを入力］</w:t>
      </w:r>
    </w:p>
    <w:p>
      <w:pPr>
        <w:pStyle w:val="Compact"/>
        <w:numPr>
          <w:ilvl w:val="0"/>
          <w:numId w:val="1001"/>
        </w:numPr>
      </w:pPr>
      <w:r>
        <w:rPr>
          <w:rFonts w:ascii="Times New Roman" w:hAnsi="Times New Roman" w:eastAsia="Yu Mincho"/>
          <w:sz w:val="24"/>
        </w:rPr>
        <w:t xml:space="preserve">ランニングタイトル: </w:t>
      </w:r>
      <w:r>
        <w:rPr>
          <w:rFonts w:hint="eastAsia" w:ascii="Times New Roman" w:hAnsi="Times New Roman" w:eastAsia="Yu Mincho"/>
          <w:sz w:val="24"/>
        </w:rPr>
        <w:t xml:space="preserve">五所川原市における浴室暖房の障壁</w:t>
      </w:r>
    </w:p>
    <w:bookmarkEnd w:id="9"/>
    <w:bookmarkStart w:id="10" w:name="和文抄録"/>
    <w:p>
      <w:pPr>
        <w:pStyle w:val="Heading2"/>
      </w:pPr>
      <w:r>
        <w:rPr>
          <w:rFonts w:hint="eastAsia" w:ascii="Times New Roman" w:hAnsi="Times New Roman" w:eastAsia="Yu Mincho"/>
          <w:sz w:val="24"/>
        </w:rPr>
        <w:t xml:space="preserve">和文抄録</w:t>
      </w:r>
    </w:p>
    <w:p>
      <w:pPr>
        <w:pStyle w:val="FirstParagraph"/>
      </w:pPr>
      <w:r>
        <w:rPr>
          <w:rFonts w:hint="eastAsia" w:ascii="Times New Roman" w:hAnsi="Times New Roman" w:eastAsia="Yu Mincho"/>
          <w:sz w:val="24"/>
        </w:rPr>
        <w:t xml:space="preserve">目的：前報の探索的解析で低い浴室暖房乾燥機設置率かつ高い標準化死亡比の寒冷県候補となった青森県において、浴室暖房乾燥機の未設置・未使用理由を浴室寒さ体感別に主に記述し、セントラル暖房の使用および浴室暖房乾燥機との併用を副次的に記述する。方法：2026年3月11日-4月30日に五所川原市内で無記名の横断質問紙調査を行った。190部を配布し154部を回収した。主要解析は147人、セントラル暖房別解析は140人を対象とし、寒さ体感群別に人数と割合を記述した。結果：浴室寒さ5-7群は66/147人（44.9%）であった。浴室暖房乾燥機の不使用者112人では、費用または住宅・設置制約を66人（58.9%）、不要を31人（27.7%）が回答した。費用または住宅・設置制約を回答した者は、浴室寒さ5-7群で51/62人（82.3%）、寒さ1-4群で15/50人（30.0%）であった。セントラル暖房使用者は28/140人（20.0%）で、そのうち19/28人が浴室暖房乾燥機も使用していた。結論：便宜抽出標本内で、浴室を寒いと感じながら費用または設置上の制約を回答した者が観察された。セントラル暖房使用者28人中19人に浴室暖房乾燥機との併用が観察され、単純な排他的代替だけでは本標本の設備利用パターンを説明しにくかった。</w:t>
      </w:r>
    </w:p>
    <w:p>
      <w:pPr>
        <w:pStyle w:val="BodyText"/>
      </w:pPr>
      <w:r>
        <w:rPr>
          <w:rFonts w:hint="eastAsia" w:ascii="Times New Roman" w:hAnsi="Times New Roman" w:eastAsia="Yu Mincho"/>
          <w:sz w:val="24"/>
        </w:rPr>
        <w:t xml:space="preserve">キーワード：浴室暖房乾燥機、浴室寒さ、住環境、導入障壁、寒冷地</w:t>
      </w:r>
    </w:p>
    <w:bookmarkEnd w:id="10"/>
    <w:bookmarkStart w:id="11" w:name="i-はじめに"/>
    <w:p>
      <w:pPr>
        <w:pStyle w:val="Heading2"/>
      </w:pPr>
      <w:r>
        <w:rPr>
          <w:rFonts w:ascii="Times New Roman" w:hAnsi="Times New Roman" w:eastAsia="Yu Mincho"/>
          <w:sz w:val="24"/>
        </w:rPr>
        <w:t xml:space="preserve">I はじめに</w:t>
      </w:r>
    </w:p>
    <w:p>
      <w:pPr>
        <w:pStyle w:val="FirstParagraph"/>
      </w:pPr>
      <w:r>
        <w:rPr>
          <w:rFonts w:hint="eastAsia" w:ascii="Times New Roman" w:hAnsi="Times New Roman" w:eastAsia="Yu Mincho"/>
          <w:sz w:val="24"/>
        </w:rPr>
        <w:t xml:space="preserve">本邦において、冬季に多発する入浴中の事故の防止は、公衆衛生上の重要な課題である[1,2]。前報では、浴室暖房乾燥機設置率が高いほど、W65「浴槽内での溺死及び溺水」およびW66「浴槽への転落による溺死及び溺水」の死亡数が少ないという方向の関連が、非寒冷県よりも寒冷県で強い可能性が示唆された[3]。探索的サブ解析では、浴室暖房乾燥機設置率が低く、標準化死亡比（SMR;</w:t>
      </w:r>
      <w:r>
        <w:rPr>
          <w:rFonts w:ascii="Times New Roman" w:hAnsi="Times New Roman" w:eastAsia="Yu Mincho"/>
          <w:sz w:val="24"/>
        </w:rPr>
        <w:t xml:space="preserve"> </w:t>
      </w:r>
      <w:r>
        <w:rPr>
          <w:rFonts w:hint="eastAsia" w:ascii="Times New Roman" w:hAnsi="Times New Roman" w:eastAsia="Yu Mincho"/>
          <w:sz w:val="24"/>
        </w:rPr>
        <w:t xml:space="preserve">観測死亡数/期待死亡数）が高い寒冷県の1つとして、青森県が抽出された[3]。しかし、既存の広域集計からは、青森県における低設置率の背景、浴室の寒さ体感、および暖房設備の使用実態を把握することはできなかった。</w:t>
      </w:r>
    </w:p>
    <w:p>
      <w:pPr>
        <w:pStyle w:val="BodyText"/>
      </w:pPr>
      <w:r>
        <w:rPr>
          <w:rFonts w:hint="eastAsia" w:ascii="Times New Roman" w:hAnsi="Times New Roman" w:eastAsia="Yu Mincho"/>
          <w:sz w:val="24"/>
        </w:rPr>
        <w:t xml:space="preserve">そこで本研究では、青森県五所川原市内で配布した質問紙の便宜抽出標本を用い、浴室暖房乾燥機を設置していない、または使用していない回答者が挙げた理由の内訳を、浴室の寒さ体感別に記述することを目的とした。副次的に、セントラル暖房の使用状況および浴室暖房乾燥機との併用状況を記述した。</w:t>
      </w:r>
    </w:p>
    <w:bookmarkEnd w:id="11"/>
    <w:bookmarkStart w:id="16" w:name="ii-方法"/>
    <w:p>
      <w:pPr>
        <w:pStyle w:val="Heading2"/>
      </w:pPr>
      <w:r>
        <w:rPr>
          <w:rFonts w:ascii="Times New Roman" w:hAnsi="Times New Roman" w:eastAsia="Yu Mincho"/>
          <w:sz w:val="24"/>
        </w:rPr>
        <w:t xml:space="preserve">II </w:t>
      </w:r>
      <w:r>
        <w:rPr>
          <w:rFonts w:hint="eastAsia" w:ascii="Times New Roman" w:hAnsi="Times New Roman" w:eastAsia="Yu Mincho"/>
          <w:sz w:val="24"/>
        </w:rPr>
        <w:t xml:space="preserve">方法</w:t>
      </w:r>
    </w:p>
    <w:bookmarkStart w:id="12" w:name="研究デザインと対象"/>
    <w:p>
      <w:pPr>
        <w:pStyle w:val="Heading3"/>
      </w:pPr>
      <w:r>
        <w:rPr>
          <w:rFonts w:ascii="Times New Roman" w:hAnsi="Times New Roman" w:eastAsia="Yu Mincho"/>
          <w:sz w:val="24"/>
        </w:rPr>
        <w:t xml:space="preserve">1. </w:t>
      </w:r>
      <w:r>
        <w:rPr>
          <w:rFonts w:hint="eastAsia" w:ascii="Times New Roman" w:hAnsi="Times New Roman" w:eastAsia="Yu Mincho"/>
          <w:sz w:val="24"/>
        </w:rPr>
        <w:t xml:space="preserve">研究デザインと対象</w:t>
      </w:r>
    </w:p>
    <w:p>
      <w:pPr>
        <w:pStyle w:val="FirstParagraph"/>
      </w:pPr>
      <w:r>
        <w:rPr>
          <w:rFonts w:hint="eastAsia" w:ascii="Times New Roman" w:hAnsi="Times New Roman" w:eastAsia="Yu Mincho"/>
          <w:sz w:val="24"/>
        </w:rPr>
        <w:t xml:space="preserve">無記名自記式質問紙による横断研究を実施した。調査期間は2026年3月11日-4月30日で、五所川原市内の現地協力者1名の協力を得た。標本は便宜抽出であり、無作為抽出ではなかった。回答者の氏名、住所および連絡先は取得しなかった。</w:t>
      </w:r>
    </w:p>
    <w:p>
      <w:pPr>
        <w:pStyle w:val="BodyText"/>
      </w:pPr>
      <w:r>
        <w:rPr>
          <w:rFonts w:hint="eastAsia" w:ascii="Times New Roman" w:hAnsi="Times New Roman" w:eastAsia="Yu Mincho"/>
          <w:sz w:val="24"/>
        </w:rPr>
        <w:t xml:space="preserve">質問紙は200部を準備し、190部を配布した。154部を回収し、回収率は154/190（81.1%）であった。</w:t>
      </w:r>
    </w:p>
    <w:bookmarkEnd w:id="12"/>
    <w:bookmarkStart w:id="13" w:name="調査項目と変数"/>
    <w:p>
      <w:pPr>
        <w:pStyle w:val="Heading3"/>
      </w:pPr>
      <w:r>
        <w:rPr>
          <w:rFonts w:ascii="Times New Roman" w:hAnsi="Times New Roman" w:eastAsia="Yu Mincho"/>
          <w:sz w:val="24"/>
        </w:rPr>
        <w:t xml:space="preserve">2. </w:t>
      </w:r>
      <w:r>
        <w:rPr>
          <w:rFonts w:hint="eastAsia" w:ascii="Times New Roman" w:hAnsi="Times New Roman" w:eastAsia="Yu Mincho"/>
          <w:sz w:val="24"/>
        </w:rPr>
        <w:t xml:space="preserve">調査項目と変数</w:t>
      </w:r>
    </w:p>
    <w:p>
      <w:pPr>
        <w:pStyle w:val="FirstParagraph"/>
      </w:pPr>
      <w:r>
        <w:rPr>
          <w:rFonts w:hint="eastAsia" w:ascii="Times New Roman" w:hAnsi="Times New Roman" w:eastAsia="Yu Mincho"/>
          <w:sz w:val="24"/>
        </w:rPr>
        <w:t xml:space="preserve">回答者の基本属性、住宅条件、冬季の自宅入浴頻度、暖房設備、ならびに冬季の脱衣所および浴室の寒さ体感を尋ねた。浴室暖房乾燥機の回答肢は「設置して使用」「設置しているが未使用」「未設置」とし、後二者を合わせて「不使用者」と定義した。不使用者には未設置・未使用理由を複数回答で尋ねた。質問票では、セントラル暖房を「1か所の熱源で作った温水を配管で各室へ送り、パネルヒーター、ファンコンベクターまたは床暖房などで住宅全体を暖める方式」と説明し、使用状況を「24時間使用」「時間限定使用」「不使用」で尋ねた。</w:t>
      </w:r>
    </w:p>
    <w:p>
      <w:pPr>
        <w:pStyle w:val="BodyText"/>
      </w:pPr>
      <w:r>
        <w:rPr>
          <w:rFonts w:hint="eastAsia" w:ascii="Times New Roman" w:hAnsi="Times New Roman" w:eastAsia="Yu Mincho"/>
          <w:sz w:val="24"/>
        </w:rPr>
        <w:t xml:space="preserve">これらの理由のうち、理由1「既に十分暖かいので必要がない」を「不要」とした。理由2「電気代が気になる」と理由3「設置費用が高い」を「費用系」、理由4「住宅の構造上、設置が難しい」と理由5「賃貸で工事できない」を「住宅・設置制約系」、理由6「使い方がわからない」と理由7「故障中で使えない」を「使用方法・故障系」とした。理由2-5のいずれかを選択した者を「費用・住宅設置制約」、理由2-7のいずれかを選択した者を「障壁あり」とした。理由8は「その他」とした。複数回答であるため、「不要」と「障壁あり」の重複、および障壁分類間の重複を許容した。</w:t>
      </w:r>
    </w:p>
    <w:p>
      <w:pPr>
        <w:pStyle w:val="BodyText"/>
      </w:pPr>
      <w:r>
        <w:rPr>
          <w:rFonts w:hint="eastAsia" w:ascii="Times New Roman" w:hAnsi="Times New Roman" w:eastAsia="Yu Mincho"/>
          <w:sz w:val="24"/>
        </w:rPr>
        <w:t xml:space="preserve">冬季の寒さ体感は、1「非常に暖かい」、4「どちらでもない」、7「非常に寒い」を両端と中立点とする7件法で尋ねた。事前に定めた区分により5-7を寒さ5-7群、1-4を寒さ1-4群とした。セントラル暖房は24時間使用または時間限定使用を「使用」、不使用を「不使用」とした。</w:t>
      </w:r>
    </w:p>
    <w:bookmarkEnd w:id="13"/>
    <w:bookmarkStart w:id="14" w:name="解析対象と統計解析"/>
    <w:p>
      <w:pPr>
        <w:pStyle w:val="Heading3"/>
      </w:pPr>
      <w:r>
        <w:rPr>
          <w:rFonts w:ascii="Times New Roman" w:hAnsi="Times New Roman" w:eastAsia="Yu Mincho"/>
          <w:sz w:val="24"/>
        </w:rPr>
        <w:t xml:space="preserve">3. </w:t>
      </w:r>
      <w:r>
        <w:rPr>
          <w:rFonts w:hint="eastAsia" w:ascii="Times New Roman" w:hAnsi="Times New Roman" w:eastAsia="Yu Mincho"/>
          <w:sz w:val="24"/>
        </w:rPr>
        <w:t xml:space="preserve">解析対象と統計解析</w:t>
      </w:r>
    </w:p>
    <w:p>
      <w:pPr>
        <w:pStyle w:val="FirstParagraph"/>
      </w:pPr>
      <w:r>
        <w:rPr>
          <w:rFonts w:hint="eastAsia" w:ascii="Times New Roman" w:hAnsi="Times New Roman" w:eastAsia="Yu Mincho"/>
          <w:sz w:val="24"/>
        </w:rPr>
        <w:t xml:space="preserve">154部のうち、浴室暖房乾燥機の設置・使用状況が無回答の3部と、不使用者のうち理由が無回答の4部を除いた147部を主要解析対象とした。このうち不使用者112部を理由解析の対象とした。浴室暖房乾燥機を使用しながら理由欄にも回答した4部は、使用状況を原回答のまま扱い、理由解析には含めなかった。セントラル暖房別解析は同項目が無回答の7部を除く140部とした。各解析には利用可能例を用い、欠測値の補完は行わなかった。</w:t>
      </w:r>
    </w:p>
    <w:p>
      <w:pPr>
        <w:pStyle w:val="BodyText"/>
      </w:pPr>
      <w:r>
        <w:rPr>
          <w:rFonts w:hint="eastAsia" w:ascii="Times New Roman" w:hAnsi="Times New Roman" w:eastAsia="Yu Mincho"/>
          <w:sz w:val="24"/>
        </w:rPr>
        <w:t xml:space="preserve">カテゴリ変数は人数と割合で示した。未設置・未使用理由は、費用・住宅設置制約、費用系、住宅・設置制約系、理由2-7のいずれか、および不要の5分類について、寒さ2群別に人数と割合を記述した。このうち、費用・住宅設置制約、費用系、住宅・設置制約系および不要の4分類をFig.</w:t>
      </w:r>
      <w:r>
        <w:rPr>
          <w:rFonts w:ascii="Times New Roman" w:hAnsi="Times New Roman" w:eastAsia="Yu Mincho"/>
          <w:sz w:val="24"/>
        </w:rPr>
        <w:t xml:space="preserve"> </w:t>
      </w:r>
      <w:r>
        <w:rPr>
          <w:rFonts w:hint="eastAsia" w:ascii="Times New Roman" w:hAnsi="Times New Roman" w:eastAsia="Yu Mincho"/>
          <w:sz w:val="24"/>
        </w:rPr>
        <w:t xml:space="preserve">1に示した。群間差、調整回帰およびp値による評価は行わなかった。解析にはPython</w:t>
      </w:r>
      <w:r>
        <w:rPr>
          <w:rFonts w:ascii="Times New Roman" w:hAnsi="Times New Roman" w:eastAsia="Yu Mincho"/>
          <w:sz w:val="24"/>
        </w:rPr>
        <w:t xml:space="preserve"> 3.11.3、pandas 2.2.3およびmatplotlib </w:t>
      </w:r>
      <w:r>
        <w:rPr>
          <w:rFonts w:hint="eastAsia" w:ascii="Times New Roman" w:hAnsi="Times New Roman" w:eastAsia="Yu Mincho"/>
          <w:sz w:val="24"/>
        </w:rPr>
        <w:t xml:space="preserve">3.10.8を用いた。</w:t>
      </w:r>
    </w:p>
    <w:bookmarkEnd w:id="14"/>
    <w:bookmarkStart w:id="15" w:name="倫理的配慮"/>
    <w:p>
      <w:pPr>
        <w:pStyle w:val="Heading3"/>
      </w:pPr>
      <w:r>
        <w:rPr>
          <w:rFonts w:ascii="Times New Roman" w:hAnsi="Times New Roman" w:eastAsia="Yu Mincho"/>
          <w:sz w:val="24"/>
        </w:rPr>
        <w:t xml:space="preserve">4. </w:t>
      </w:r>
      <w:r>
        <w:rPr>
          <w:rFonts w:hint="eastAsia" w:ascii="Times New Roman" w:hAnsi="Times New Roman" w:eastAsia="Yu Mincho"/>
          <w:sz w:val="24"/>
        </w:rPr>
        <w:t xml:space="preserve">倫理的配慮</w:t>
      </w:r>
    </w:p>
    <w:p>
      <w:pPr>
        <w:pStyle w:val="FirstParagraph"/>
      </w:pPr>
      <w:r>
        <w:rPr>
          <w:rFonts w:hint="eastAsia" w:ascii="Times New Roman" w:hAnsi="Times New Roman" w:eastAsia="Yu Mincho"/>
          <w:sz w:val="24"/>
        </w:rPr>
        <w:t xml:space="preserve">回答は任意かつ無記名とし、調査の目的、回答の拒否または中断によって不利益が生じないこと、ならびにデータの利用・保管の方法を質問紙の表紙に記載した。回答済み質問紙の提出をもって研究参加への同意とした。本研究は日本温泉気候物理医学会倫理審査会の承認を受けた後に調査を開始した（承認日2026年3月11日、承認番号Onki26-01）。</w:t>
      </w:r>
    </w:p>
    <w:bookmarkEnd w:id="15"/>
    <w:bookmarkEnd w:id="16"/>
    <w:bookmarkStart w:id="20" w:name="iii-結果"/>
    <w:p>
      <w:pPr>
        <w:pStyle w:val="Heading2"/>
      </w:pPr>
      <w:r>
        <w:rPr>
          <w:rFonts w:ascii="Times New Roman" w:hAnsi="Times New Roman" w:eastAsia="Yu Mincho"/>
          <w:sz w:val="24"/>
        </w:rPr>
        <w:t xml:space="preserve">III </w:t>
      </w:r>
      <w:r>
        <w:rPr>
          <w:rFonts w:hint="eastAsia" w:ascii="Times New Roman" w:hAnsi="Times New Roman" w:eastAsia="Yu Mincho"/>
          <w:sz w:val="24"/>
        </w:rPr>
        <w:t xml:space="preserve">結果</w:t>
      </w:r>
    </w:p>
    <w:bookmarkStart w:id="17" w:name="回答者と住環境"/>
    <w:p>
      <w:pPr>
        <w:pStyle w:val="Heading3"/>
      </w:pPr>
      <w:r>
        <w:rPr>
          <w:rFonts w:ascii="Times New Roman" w:hAnsi="Times New Roman" w:eastAsia="Yu Mincho"/>
          <w:sz w:val="24"/>
        </w:rPr>
        <w:t xml:space="preserve">1. </w:t>
      </w:r>
      <w:r>
        <w:rPr>
          <w:rFonts w:hint="eastAsia" w:ascii="Times New Roman" w:hAnsi="Times New Roman" w:eastAsia="Yu Mincho"/>
          <w:sz w:val="24"/>
        </w:rPr>
        <w:t xml:space="preserve">回答者と住環境</w:t>
      </w:r>
    </w:p>
    <w:p>
      <w:pPr>
        <w:pStyle w:val="FirstParagraph"/>
      </w:pPr>
      <w:r>
        <w:rPr>
          <w:rFonts w:hint="eastAsia" w:ascii="Times New Roman" w:hAnsi="Times New Roman" w:eastAsia="Yu Mincho"/>
          <w:sz w:val="24"/>
        </w:rPr>
        <w:t xml:space="preserve">解析対象147人の年齢は18-49歳32人（21.8%）、50-59歳25人（17.0%）、60-69歳61人（41.5%）、70歳以上29人（19.7%）であった。一戸建て132人（89.8%）、持家130人（88.4%）、築30年以上77人（52.4%）であった。浴室寒さ5-7群は66人（44.9%）、脱衣所寒さ5-7群は77人（52.4%）であった（Table</w:t>
      </w:r>
      <w:r>
        <w:rPr>
          <w:rFonts w:ascii="Times New Roman" w:hAnsi="Times New Roman" w:eastAsia="Yu Mincho"/>
          <w:sz w:val="24"/>
        </w:rPr>
        <w:t xml:space="preserve"> </w:t>
      </w:r>
      <w:r>
        <w:rPr>
          <w:rFonts w:hint="eastAsia" w:ascii="Times New Roman" w:hAnsi="Times New Roman" w:eastAsia="Yu Mincho"/>
          <w:sz w:val="24"/>
        </w:rPr>
        <w:t xml:space="preserve">1）。</w:t>
      </w:r>
    </w:p>
    <w:p>
      <w:pPr>
        <w:pStyle w:val="BodyText"/>
      </w:pPr>
      <w:r>
        <w:rPr>
          <w:rFonts w:ascii="Times New Roman" w:hAnsi="Times New Roman" w:eastAsia="Yu Mincho"/>
          <w:sz w:val="24"/>
        </w:rPr>
        <w:t xml:space="preserve">&lt;Table 1 here&gt;</w:t>
      </w:r>
    </w:p>
    <w:bookmarkEnd w:id="17"/>
    <w:bookmarkStart w:id="18" w:name="暖房設備の利用状況"/>
    <w:p>
      <w:pPr>
        <w:pStyle w:val="Heading3"/>
      </w:pPr>
      <w:r>
        <w:rPr>
          <w:rFonts w:ascii="Times New Roman" w:hAnsi="Times New Roman" w:eastAsia="Yu Mincho"/>
          <w:sz w:val="24"/>
        </w:rPr>
        <w:t xml:space="preserve">2. </w:t>
      </w:r>
      <w:r>
        <w:rPr>
          <w:rFonts w:hint="eastAsia" w:ascii="Times New Roman" w:hAnsi="Times New Roman" w:eastAsia="Yu Mincho"/>
          <w:sz w:val="24"/>
        </w:rPr>
        <w:t xml:space="preserve">暖房設備の利用状況</w:t>
      </w:r>
    </w:p>
    <w:p>
      <w:pPr>
        <w:pStyle w:val="FirstParagraph"/>
      </w:pPr>
      <w:r>
        <w:rPr>
          <w:rFonts w:hint="eastAsia" w:ascii="Times New Roman" w:hAnsi="Times New Roman" w:eastAsia="Yu Mincho"/>
          <w:sz w:val="24"/>
        </w:rPr>
        <w:t xml:space="preserve">浴室暖房乾燥機は、設置して使用35人（23.8%）、設置しているが未使用13人（8.8%）、未設置99人（67.3%）であった。セントラル暖房の使用状況に回答した140人のうち、使用者は28人（20.0%）で、浴室寒さ5-7群は2/28人（7.1%）であった。使用者のうち19/28人（67.9%）は浴室暖房乾燥機も使用していた。</w:t>
      </w:r>
    </w:p>
    <w:bookmarkEnd w:id="18"/>
    <w:bookmarkStart w:id="19" w:name="浴室暖房乾燥機の未設置未使用理由と浴室寒さ"/>
    <w:p>
      <w:pPr>
        <w:pStyle w:val="Heading3"/>
      </w:pPr>
      <w:r>
        <w:rPr>
          <w:rFonts w:ascii="Times New Roman" w:hAnsi="Times New Roman" w:eastAsia="Yu Mincho"/>
          <w:sz w:val="24"/>
        </w:rPr>
        <w:t xml:space="preserve">3. </w:t>
      </w:r>
      <w:r>
        <w:rPr>
          <w:rFonts w:hint="eastAsia" w:ascii="Times New Roman" w:hAnsi="Times New Roman" w:eastAsia="Yu Mincho"/>
          <w:sz w:val="24"/>
        </w:rPr>
        <w:t xml:space="preserve">浴室暖房乾燥機の未設置・未使用理由と浴室寒さ</w:t>
      </w:r>
    </w:p>
    <w:p>
      <w:pPr>
        <w:pStyle w:val="FirstParagraph"/>
      </w:pPr>
      <w:r>
        <w:rPr>
          <w:rFonts w:hint="eastAsia" w:ascii="Times New Roman" w:hAnsi="Times New Roman" w:eastAsia="Yu Mincho"/>
          <w:sz w:val="24"/>
        </w:rPr>
        <w:t xml:space="preserve">不使用者112人のうち、費用・住宅設置制約を選択した者は66人（58.9%）、理由2-7のいずれかを選択した者は69人（61.6%）、不要は31人（27.7%）であった。理由8「その他」は17人（15.2%）で、この理由のみを選択した者は15人（13.4%）であった。不要と理由2-7の両方を選択した者は3人であった。</w:t>
      </w:r>
    </w:p>
    <w:p>
      <w:pPr>
        <w:pStyle w:val="BodyText"/>
      </w:pPr>
      <w:r>
        <w:rPr>
          <w:rFonts w:hint="eastAsia" w:ascii="Times New Roman" w:hAnsi="Times New Roman" w:eastAsia="Yu Mincho"/>
          <w:sz w:val="24"/>
        </w:rPr>
        <w:t xml:space="preserve">寒さ5-7群では、費用・住宅設置制約を51/62人（82.3%）、費用系を31/62人（50.0%）、住宅・設置制約系を21/62人（33.9%）、理由2-7のいずれかを53/62人（85.5%）、不要を4/62人（6.5%）が選択した。寒さ1-4群では、それぞれ15/50人（30.0%）、10/50人（20.0%）、6/50人（12.0%）、16/50人（32.0%）、27/50人（54.0%）であった（Fig.</w:t>
      </w:r>
      <w:r>
        <w:rPr>
          <w:rFonts w:ascii="Times New Roman" w:hAnsi="Times New Roman" w:eastAsia="Yu Mincho"/>
          <w:sz w:val="24"/>
        </w:rPr>
        <w:t xml:space="preserve"> </w:t>
      </w:r>
      <w:r>
        <w:rPr>
          <w:rFonts w:hint="eastAsia" w:ascii="Times New Roman" w:hAnsi="Times New Roman" w:eastAsia="Yu Mincho"/>
          <w:sz w:val="24"/>
        </w:rPr>
        <w:t xml:space="preserve">1）。</w:t>
      </w:r>
    </w:p>
    <w:p>
      <w:pPr>
        <w:pStyle w:val="BodyText"/>
      </w:pPr>
      <w:r>
        <w:rPr>
          <w:rFonts w:ascii="Times New Roman" w:hAnsi="Times New Roman" w:eastAsia="Yu Mincho"/>
          <w:sz w:val="24"/>
        </w:rPr>
        <w:t xml:space="preserve">&lt;Fig. 1 here&gt;</w:t>
      </w:r>
    </w:p>
    <w:bookmarkEnd w:id="19"/>
    <w:bookmarkEnd w:id="20"/>
    <w:bookmarkStart w:id="21" w:name="iv-考察"/>
    <w:p>
      <w:pPr>
        <w:pStyle w:val="Heading2"/>
      </w:pPr>
      <w:r>
        <w:rPr>
          <w:rFonts w:ascii="Times New Roman" w:hAnsi="Times New Roman" w:eastAsia="Yu Mincho"/>
          <w:sz w:val="24"/>
        </w:rPr>
        <w:t xml:space="preserve">IV </w:t>
      </w:r>
      <w:r>
        <w:rPr>
          <w:rFonts w:hint="eastAsia" w:ascii="Times New Roman" w:hAnsi="Times New Roman" w:eastAsia="Yu Mincho"/>
          <w:sz w:val="24"/>
        </w:rPr>
        <w:t xml:space="preserve">考察</w:t>
      </w:r>
    </w:p>
    <w:p>
      <w:pPr>
        <w:pStyle w:val="FirstParagraph"/>
      </w:pPr>
      <w:r>
        <w:rPr>
          <w:rFonts w:hint="eastAsia" w:ascii="Times New Roman" w:hAnsi="Times New Roman" w:eastAsia="Yu Mincho"/>
          <w:sz w:val="24"/>
        </w:rPr>
        <w:t xml:space="preserve">本調査の主要所見は、浴室を寒いと感じる不使用者62人のうち、51人（82.3%）が費用系または住宅・設置制約系の理由を選択したことである。内訳は費用系31人、住宅・設置制約系21人であった。このような回答が観察されたことから、浴室の寒さ対策を検討する際には、設備の必要性に関する周知に加えて、使用費、設置費および住宅側の工事制約を把握する必要性が示唆された。</w:t>
      </w:r>
    </w:p>
    <w:p>
      <w:pPr>
        <w:pStyle w:val="BodyText"/>
      </w:pPr>
      <w:r>
        <w:rPr>
          <w:rFonts w:hint="eastAsia" w:ascii="Times New Roman" w:hAnsi="Times New Roman" w:eastAsia="Yu Mincho"/>
          <w:sz w:val="24"/>
        </w:rPr>
        <w:t xml:space="preserve">前報において、環境省「令和5年度家庭部門のCO2排出実態統計調査」の公開表を用いて集計したセントラル暖房使用率は、北海道地域で24.6%であり、他地域の0.4-4.0%より高かった[3]。北海道では浴室の寒さや室間温度差も他地域より小さく[4,5]、前報では、セントラル暖房を含む全館暖房が浴室暖房乾燥機を代替し得る可能性に言及した[3]。一方、青森県では、重臣らが入浴中心肺停止の多さと寒冷期の脱衣場・浴室内低温を報告しているものの[6]、浴室周辺の寒さ・室間温度差を県単位で示した報告や、浴室暖房乾燥機・セントラル暖房の設置・使用実態を調べた報告は、今回確認した公開情報の範囲では見当たらなかった。この情報不足を踏まえて実施した本調査では、セントラル暖房使用者28/140人のうち、浴室寒さ5-7群は2人で、19人が浴室暖房乾燥機も使用していた。こうした観察事実から、少なくとも本標本の設備利用パターンは、「浴室が暖かいため不要」という理由や、セントラル暖房による単純な排他的代替だけでは説明しにくかった。</w:t>
      </w:r>
    </w:p>
    <w:p>
      <w:pPr>
        <w:pStyle w:val="BodyText"/>
      </w:pPr>
      <w:r>
        <w:rPr>
          <w:rFonts w:hint="eastAsia" w:ascii="Times New Roman" w:hAnsi="Times New Roman" w:eastAsia="Yu Mincho"/>
          <w:sz w:val="24"/>
        </w:rPr>
        <w:t xml:space="preserve">本研究には限界がある。理由1「既に十分暖かいので必要がない」は、それ自体が寒さ体感に関する判断を含む項目である。このため、寒さ体感群間の「不要」の割合差を独立した所見として解釈することはできない。「不要」を選択した者のうち3人は理由2-7のいずれかも選択しており、「不要」と「障壁あり」は相互排他的ではない。また、横断調査であるため、寒さ体感別の障壁回答割合から、障壁の認識と寒さ体感の前後関係は判断できない。逆に、寒さを感じる者ほど障壁を認識し、該当する理由を選択しやすかった可能性もある。標本は便宜抽出であり、五所川原市および青森県全体を代表するものではない。自己申告に伴う想起誤差や回答誤差が生じ得るほか、断熱性能、築年、所有形態などによる交絡も残る。さらに、セントラル暖房が浴室や脱衣所を実際に暖めていたかは確認しておらず、入浴中の事故の発生も調査していない。以上から、青森県全体における浴室暖房乾燥機とセントラル暖房の代替関係、暖房設備による寒さ体感の改善効果、および暖房設備と入浴中の事故との関連は評価できない。</w:t>
      </w:r>
    </w:p>
    <w:bookmarkEnd w:id="21"/>
    <w:bookmarkStart w:id="22" w:name="v-結論"/>
    <w:p>
      <w:pPr>
        <w:pStyle w:val="Heading2"/>
      </w:pPr>
      <w:r>
        <w:rPr>
          <w:rFonts w:ascii="Times New Roman" w:hAnsi="Times New Roman" w:eastAsia="Yu Mincho"/>
          <w:sz w:val="24"/>
        </w:rPr>
        <w:t xml:space="preserve">V </w:t>
      </w:r>
      <w:r>
        <w:rPr>
          <w:rFonts w:hint="eastAsia" w:ascii="Times New Roman" w:hAnsi="Times New Roman" w:eastAsia="Yu Mincho"/>
          <w:sz w:val="24"/>
        </w:rPr>
        <w:t xml:space="preserve">結論</w:t>
      </w:r>
    </w:p>
    <w:p>
      <w:pPr>
        <w:pStyle w:val="FirstParagraph"/>
      </w:pPr>
      <w:r>
        <w:rPr>
          <w:rFonts w:hint="eastAsia" w:ascii="Times New Roman" w:hAnsi="Times New Roman" w:eastAsia="Yu Mincho"/>
          <w:sz w:val="24"/>
        </w:rPr>
        <w:t xml:space="preserve">五所川原市内の便宜抽出標本では、浴室を寒いと感じる浴室暖房乾燥機の不使用者のうち、費用または住宅・設置上の制約を回答した者が観察された。寒冷地の浴室対策を検討する際には、設備の必要性だけでなく、導入・使用を妨げる具体的制約と住宅の暖房構成を把握する必要がある。</w:t>
      </w:r>
    </w:p>
    <w:bookmarkEnd w:id="22"/>
    <w:bookmarkStart w:id="23" w:name="謝辞"/>
    <w:p>
      <w:pPr>
        <w:pStyle w:val="Heading2"/>
      </w:pPr>
      <w:r>
        <w:rPr>
          <w:rFonts w:hint="eastAsia" w:ascii="Times New Roman" w:hAnsi="Times New Roman" w:eastAsia="Yu Mincho"/>
          <w:sz w:val="24"/>
        </w:rPr>
        <w:t xml:space="preserve">謝辞</w:t>
      </w:r>
    </w:p>
    <w:p>
      <w:pPr>
        <w:pStyle w:val="FirstParagraph"/>
      </w:pPr>
      <w:r>
        <w:rPr>
          <w:rFonts w:hint="eastAsia" w:ascii="Times New Roman" w:hAnsi="Times New Roman" w:eastAsia="Yu Mincho"/>
          <w:sz w:val="24"/>
        </w:rPr>
        <w:t xml:space="preserve">本調査に回答いただいた皆様、ならびに質問紙の配布・回収に協力いただいた現地協力者に深謝する。</w:t>
      </w:r>
    </w:p>
    <w:bookmarkEnd w:id="23"/>
    <w:bookmarkStart w:id="24" w:name="利益相反"/>
    <w:p>
      <w:pPr>
        <w:pStyle w:val="Heading2"/>
      </w:pPr>
      <w:r>
        <w:rPr>
          <w:rFonts w:hint="eastAsia" w:ascii="Times New Roman" w:hAnsi="Times New Roman" w:eastAsia="Yu Mincho"/>
          <w:sz w:val="24"/>
        </w:rPr>
        <w:t xml:space="preserve">利益相反</w:t>
      </w:r>
    </w:p>
    <w:p>
      <w:pPr>
        <w:pStyle w:val="FirstParagraph"/>
      </w:pPr>
      <w:r>
        <w:rPr>
          <w:rFonts w:hint="eastAsia" w:ascii="Times New Roman" w:hAnsi="Times New Roman" w:eastAsia="Yu Mincho"/>
          <w:sz w:val="24"/>
        </w:rPr>
        <w:t xml:space="preserve">開示すべき利益相反はない。本研究は実施責任者の自己負担で行われ、外部研究費の提供を受けていない。</w:t>
      </w:r>
    </w:p>
    <w:bookmarkEnd w:id="24"/>
    <w:bookmarkStart w:id="25" w:name="引用文献"/>
    <w:p>
      <w:pPr>
        <w:pStyle w:val="Heading2"/>
      </w:pPr>
      <w:r>
        <w:rPr>
          <w:rFonts w:hint="eastAsia" w:ascii="Times New Roman" w:hAnsi="Times New Roman" w:eastAsia="Yu Mincho"/>
          <w:sz w:val="24"/>
        </w:rPr>
        <w:t xml:space="preserve">引用文献</w:t>
      </w:r>
    </w:p>
    <w:p>
      <w:pPr>
        <w:pStyle w:val="Compact"/>
        <w:numPr>
          <w:ilvl w:val="0"/>
          <w:numId w:val="1002"/>
        </w:numPr>
      </w:pPr>
      <w:r>
        <w:rPr>
          <w:rFonts w:ascii="Times New Roman" w:hAnsi="Times New Roman" w:eastAsia="Yu Mincho"/>
          <w:sz w:val="24"/>
        </w:rPr>
        <w:t xml:space="preserve">Kiyohara K, Nishiyama C, Hayashida S, et </w:t>
      </w:r>
      <w:r>
        <w:rPr>
          <w:rFonts w:hint="eastAsia" w:ascii="Times New Roman" w:hAnsi="Times New Roman" w:eastAsia="Yu Mincho"/>
          <w:sz w:val="24"/>
        </w:rPr>
        <w:t xml:space="preserve">al：Characteristics</w:t>
      </w:r>
      <w:r>
        <w:rPr>
          <w:rFonts w:ascii="Times New Roman" w:hAnsi="Times New Roman" w:eastAsia="Yu Mincho"/>
          <w:sz w:val="24"/>
        </w:rPr>
        <w:t xml:space="preserve"> and outcomes of bath-related out-of-hospital cardiac arrest in </w:t>
      </w:r>
      <w:r>
        <w:rPr>
          <w:rFonts w:hint="eastAsia" w:ascii="Times New Roman" w:hAnsi="Times New Roman" w:eastAsia="Yu Mincho"/>
          <w:sz w:val="24"/>
        </w:rPr>
        <w:t xml:space="preserve">Japan．Circ</w:t>
      </w:r>
      <w:r>
        <w:rPr>
          <w:rFonts w:ascii="Times New Roman" w:hAnsi="Times New Roman" w:eastAsia="Yu Mincho"/>
          <w:sz w:val="24"/>
        </w:rPr>
        <w:t xml:space="preserve"> J </w:t>
      </w:r>
      <w:r>
        <w:rPr>
          <w:rFonts w:hint="eastAsia" w:ascii="Times New Roman" w:hAnsi="Times New Roman" w:eastAsia="Yu Mincho"/>
          <w:sz w:val="24"/>
        </w:rPr>
        <w:t xml:space="preserve">80：1564-1570，2016．doi:10.1253/circj.CJ-16-0241</w:t>
      </w:r>
    </w:p>
    <w:p>
      <w:pPr>
        <w:pStyle w:val="Compact"/>
        <w:numPr>
          <w:ilvl w:val="0"/>
          <w:numId w:val="1002"/>
        </w:numPr>
      </w:pPr>
      <w:r>
        <w:rPr>
          <w:rFonts w:hint="eastAsia" w:ascii="Times New Roman" w:hAnsi="Times New Roman" w:eastAsia="Yu Mincho"/>
          <w:sz w:val="24"/>
        </w:rPr>
        <w:t xml:space="preserve">消費者庁：冬季に多発する入浴中の事故に御注意ください！―11月26日は「いい風呂」の日―．2018．https://www.caa.go.jp/policies/policy/consumer_safety/caution/caution_009/pdf/caution_009_181121_0001.pdf</w:t>
      </w:r>
    </w:p>
    <w:p>
      <w:pPr>
        <w:pStyle w:val="Compact"/>
        <w:numPr>
          <w:ilvl w:val="0"/>
          <w:numId w:val="1002"/>
        </w:numPr>
      </w:pPr>
      <w:r>
        <w:rPr>
          <w:rFonts w:hint="eastAsia" w:ascii="Times New Roman" w:hAnsi="Times New Roman" w:eastAsia="Yu Mincho"/>
          <w:sz w:val="24"/>
        </w:rPr>
        <w:t xml:space="preserve">野城聡志：寒冷地における浴室暖房乾燥機設置率と浴槽内での溺死及び溺水の関連：生態学的パネル解析．日本温泉気候物理医学会雑誌</w:t>
      </w:r>
      <w:r>
        <w:rPr>
          <w:rFonts w:ascii="Times New Roman" w:hAnsi="Times New Roman" w:eastAsia="Yu Mincho"/>
          <w:sz w:val="24"/>
        </w:rPr>
        <w:t xml:space="preserve"> </w:t>
      </w:r>
      <w:r>
        <w:rPr>
          <w:rFonts w:hint="eastAsia" w:ascii="Times New Roman" w:hAnsi="Times New Roman" w:eastAsia="Yu Mincho"/>
          <w:sz w:val="24"/>
        </w:rPr>
        <w:t xml:space="preserve">89：66-76，2026．doi:10.11390/onki.2376</w:t>
      </w:r>
    </w:p>
    <w:p>
      <w:pPr>
        <w:pStyle w:val="Compact"/>
        <w:numPr>
          <w:ilvl w:val="0"/>
          <w:numId w:val="1002"/>
        </w:numPr>
      </w:pPr>
      <w:r>
        <w:rPr>
          <w:rFonts w:hint="eastAsia" w:ascii="Times New Roman" w:hAnsi="Times New Roman" w:eastAsia="Yu Mincho"/>
          <w:sz w:val="24"/>
        </w:rPr>
        <w:t xml:space="preserve">八塚春子，井上隆，前真之，森勇樹：浴室設備と冬期における入浴・浴室温熱環境の実態把握―インターネット調査による地域・建築形態・築年数の検討．日本建築学会環境系論文集</w:t>
      </w:r>
      <w:r>
        <w:rPr>
          <w:rFonts w:ascii="Times New Roman" w:hAnsi="Times New Roman" w:eastAsia="Yu Mincho"/>
          <w:sz w:val="24"/>
        </w:rPr>
        <w:t xml:space="preserve"> </w:t>
      </w:r>
      <w:r>
        <w:rPr>
          <w:rFonts w:hint="eastAsia" w:ascii="Times New Roman" w:hAnsi="Times New Roman" w:eastAsia="Yu Mincho"/>
          <w:sz w:val="24"/>
        </w:rPr>
        <w:t xml:space="preserve">78：489-496，2013．doi:10.3130/aije.78.489</w:t>
      </w:r>
    </w:p>
    <w:p>
      <w:pPr>
        <w:pStyle w:val="Compact"/>
        <w:numPr>
          <w:ilvl w:val="0"/>
          <w:numId w:val="1002"/>
        </w:numPr>
      </w:pPr>
      <w:r>
        <w:rPr>
          <w:rFonts w:hint="eastAsia" w:ascii="Times New Roman" w:hAnsi="Times New Roman" w:eastAsia="Yu Mincho"/>
          <w:sz w:val="24"/>
        </w:rPr>
        <w:t xml:space="preserve">大中忠勝，高崎裕治，栃原裕，他：冬期における浴室温熱環境の全国調査．人間と生活環境</w:t>
      </w:r>
      <w:r>
        <w:rPr>
          <w:rFonts w:ascii="Times New Roman" w:hAnsi="Times New Roman" w:eastAsia="Yu Mincho"/>
          <w:sz w:val="24"/>
        </w:rPr>
        <w:t xml:space="preserve"> </w:t>
      </w:r>
      <w:r>
        <w:rPr>
          <w:rFonts w:hint="eastAsia" w:ascii="Times New Roman" w:hAnsi="Times New Roman" w:eastAsia="Yu Mincho"/>
          <w:sz w:val="24"/>
        </w:rPr>
        <w:t xml:space="preserve">14：11-16，2007．doi:10.24538/jhesj.14.1_11</w:t>
      </w:r>
    </w:p>
    <w:p>
      <w:pPr>
        <w:pStyle w:val="Compact"/>
        <w:numPr>
          <w:ilvl w:val="0"/>
          <w:numId w:val="1002"/>
        </w:numPr>
      </w:pPr>
      <w:r>
        <w:rPr>
          <w:rFonts w:hint="eastAsia" w:ascii="Times New Roman" w:hAnsi="Times New Roman" w:eastAsia="Yu Mincho"/>
          <w:sz w:val="24"/>
        </w:rPr>
        <w:t xml:space="preserve">重臣宗伯，佐藤ワカナ，柴田繁啓，他：高齢者の入浴中心肺停止と地域性．蘇生</w:t>
      </w:r>
      <w:r>
        <w:rPr>
          <w:rFonts w:ascii="Times New Roman" w:hAnsi="Times New Roman" w:eastAsia="Yu Mincho"/>
          <w:sz w:val="24"/>
        </w:rPr>
        <w:t xml:space="preserve"> </w:t>
      </w:r>
      <w:r>
        <w:rPr>
          <w:rFonts w:hint="eastAsia" w:ascii="Times New Roman" w:hAnsi="Times New Roman" w:eastAsia="Yu Mincho"/>
          <w:sz w:val="24"/>
        </w:rPr>
        <w:t xml:space="preserve">20：145-148，2001．doi:10.11414/jjreanimatology1983.20.145</w:t>
      </w:r>
    </w:p>
    <w:bookmarkEnd w:id="25"/>
    <w:bookmarkStart w:id="26" w:name="english-title"/>
    <w:p>
      <w:pPr>
        <w:pStyle w:val="Heading2"/>
        <w:pageBreakBefore/>
      </w:pPr>
      <w:r>
        <w:rPr>
          <w:rFonts w:ascii="Times New Roman" w:hAnsi="Times New Roman" w:eastAsia="Yu Mincho"/>
          <w:sz w:val="24"/>
        </w:rPr>
        <w:t xml:space="preserve">English Title</w:t>
      </w:r>
    </w:p>
    <w:p>
      <w:pPr>
        <w:pStyle w:val="FirstParagraph"/>
      </w:pPr>
      <w:r>
        <w:rPr>
          <w:rFonts w:ascii="Times New Roman" w:hAnsi="Times New Roman" w:eastAsia="Yu Mincho"/>
          <w:sz w:val="24"/>
        </w:rPr>
        <w:t xml:space="preserve">Reasons for Non-installation or Non-use of Bathroom Heater-Dryers and Perceived Bathroom Coldness in a Questionnaire Survey in Goshogawara City, Japan</w:t>
      </w:r>
    </w:p>
    <w:p>
      <w:pPr>
        <w:pStyle w:val="Compact"/>
        <w:numPr>
          <w:ilvl w:val="0"/>
          <w:numId w:val="1003"/>
        </w:numPr>
      </w:pPr>
      <w:r>
        <w:rPr>
          <w:rFonts w:ascii="Times New Roman" w:hAnsi="Times New Roman" w:eastAsia="Yu Mincho"/>
          <w:sz w:val="24"/>
        </w:rPr>
        <w:t xml:space="preserve">Authors: [Enter author names in Roman letters]</w:t>
      </w:r>
    </w:p>
    <w:p>
      <w:pPr>
        <w:pStyle w:val="Compact"/>
        <w:numPr>
          <w:ilvl w:val="0"/>
          <w:numId w:val="1003"/>
        </w:numPr>
      </w:pPr>
      <w:r>
        <w:rPr>
          <w:rFonts w:ascii="Times New Roman" w:hAnsi="Times New Roman" w:eastAsia="Yu Mincho"/>
          <w:sz w:val="24"/>
        </w:rPr>
        <w:t xml:space="preserve">Affiliations: [Enter affiliations in English]</w:t>
      </w:r>
    </w:p>
    <w:p>
      <w:pPr>
        <w:pStyle w:val="Compact"/>
        <w:numPr>
          <w:ilvl w:val="0"/>
          <w:numId w:val="1003"/>
        </w:numPr>
      </w:pPr>
      <w:r>
        <w:rPr>
          <w:rFonts w:ascii="Times New Roman" w:hAnsi="Times New Roman" w:eastAsia="Yu Mincho"/>
          <w:sz w:val="24"/>
        </w:rPr>
        <w:t xml:space="preserve">Corresponding author: [Enter name, affiliation, postal address, telephone number, and email address]</w:t>
      </w:r>
    </w:p>
    <w:bookmarkEnd w:id="26"/>
    <w:bookmarkStart w:id="27" w:name="english-abstract"/>
    <w:p>
      <w:pPr>
        <w:pStyle w:val="Heading2"/>
      </w:pPr>
      <w:r>
        <w:rPr>
          <w:rFonts w:ascii="Times New Roman" w:hAnsi="Times New Roman" w:eastAsia="Yu Mincho"/>
          <w:sz w:val="24"/>
        </w:rPr>
        <w:t xml:space="preserve">English Abstract</w:t>
      </w:r>
    </w:p>
    <w:p>
      <w:pPr>
        <w:pStyle w:val="FirstParagraph"/>
        <w:spacing w:line="480" w:lineRule="auto"/>
      </w:pPr>
      <w:r>
        <w:rPr>
          <w:rFonts w:ascii="Times New Roman" w:hAnsi="Times New Roman" w:eastAsia="Yu Mincho"/>
          <w:sz w:val="24"/>
        </w:rPr>
        <w:t xml:space="preserve">Objective: Following an exploratory ecological analysis that identified Aomori as a candidate cold prefecture with a low bathroom heater-dryer installation rate and a high standardized mortality ratio, we primarily described reasons for non-installation or non-use by perceived bathroom coldness group. Secondarily, we described central heating use and concurrent bathroom heater-dryer use. Methods: We conducted an anonymous cross-sectional questionnaire survey in Goshogawara City, Japan, from March 11 to April 30, 2026. Of 190 questionnaires distributed, 154 were returned. The primary analysis included 147 respondents, and the central heating analysis included 140 respondents. Counts and percentages were described by perceived coldness group. Results: Overall, 66/147 respondents (44.9%) reported bathroom coldness scores of 5-7. Among 112 respondents who did not use or had not installed a bathroom heater-dryer, 66 (58.9%) reported cost-related or housing/installation-related constraints, whereas 31 (27.7%) selected that heating was unnecessary. Cost-related or housing/installation-related constraints were reported by 51/62 respondents (82.3%) in the coldness 5-7 group and 15/50 (30.0%) in the coldness 1-4 group. Central heating was used by 28/140 respondents (20.0%), of whom 19/28 also used a bathroom heater-dryer. Conclusions: Within this convenience sample, some respondents perceived their bathrooms as cold while reporting cost-related or installation-related constraints. Concurrent use of central heating and bathroom heater-dryers was observed in 19/28 central heating users, indicating that a simple mutually exclusive substitution alone did not explain the equipment-use pattern in this sample. These findings do not estimate citywide prevalence or establish effects of heating equipment on coldness or bathing-related health outcomes.</w:t>
      </w:r>
    </w:p>
    <w:p>
      <w:pPr>
        <w:pStyle w:val="BodyText"/>
        <w:spacing w:line="480" w:lineRule="auto"/>
      </w:pPr>
      <w:r>
        <w:rPr>
          <w:rFonts w:ascii="Times New Roman" w:hAnsi="Times New Roman" w:eastAsia="Yu Mincho"/>
          <w:sz w:val="24"/>
        </w:rPr>
        <w:t xml:space="preserve">English keywords: bathroom heater-dryer; bathroom coldness; residential environment; adoption barriers; cold climate</w:t>
      </w:r>
    </w:p>
    <w:bookmarkEnd w:id="27"/>
    <w:bookmarkStart w:id="29" w:name="tables"/>
    <w:p>
      <w:pPr>
        <w:pStyle w:val="Heading2"/>
        <w:pageBreakBefore/>
      </w:pPr>
      <w:r>
        <w:rPr>
          <w:rFonts w:ascii="Times New Roman" w:hAnsi="Times New Roman" w:eastAsia="Yu Mincho"/>
          <w:sz w:val="24"/>
        </w:rPr>
        <w:t xml:space="preserve">Tables</w:t>
      </w:r>
    </w:p>
    <w:bookmarkStart w:id="28" w:name="Xddc380cd39eb8ce6f8a1e7e6c0373e37308fd83"/>
    <w:p>
      <w:pPr>
        <w:pStyle w:val="Heading3"/>
      </w:pPr>
      <w:r>
        <w:rPr>
          <w:rFonts w:ascii="Times New Roman" w:hAnsi="Times New Roman" w:eastAsia="Yu Mincho"/>
          <w:sz w:val="24"/>
        </w:rPr>
        <w:t xml:space="preserve">Table 1. Characteristics of respondents (n=147)</w:t>
      </w:r>
    </w:p>
    <w:tbl>
      <w:tblPr>
        <w:tblStyle w:val="Table"/>
        <w:tblW w:type="dxa" w:w="8504"/>
        <w:jc w:val="center"/>
        <w:tblLayout w:type="fixed"/>
        <w:tblLook w:firstRow="1" w:lastRow="0" w:firstColumn="0" w:lastColumn="0" w:noHBand="0" w:noVBand="0" w:val="0020"/>
        <w:tblBorders>
          <w:top w:val="nil"/>
          <w:left w:val="nil"/>
          <w:bottom w:val="nil"/>
          <w:right w:val="nil"/>
          <w:insideH w:val="nil"/>
          <w:insideV w:val="nil"/>
        </w:tblBorders>
      </w:tblPr>
      <w:tblGrid>
        <w:gridCol w:w="2551"/>
        <w:gridCol w:w="4252"/>
        <w:gridCol w:w="1701"/>
      </w:tblGrid>
      <w:tr>
        <w:trPr>
          <w:tblHeader w:val="on"/>
          <w:tblHeader w:val="true"/>
          <w:cantSplit/>
        </w:trPr>
        <w:tc>
          <w:tcPr>
            <w:tcW w:type="dxa" w:w="2551"/>
            <w:vAlign w:val="top"/>
            <w:tcMar>
              <w:top w:w="28" w:type="dxa"/>
              <w:right w:w="85" w:type="dxa"/>
              <w:bottom w:w="28" w:type="dxa"/>
              <w:left w:w="85" w:type="dxa"/>
            </w:tcMar>
            <w:tcBorders>
              <w:top w:val="single" w:sz="8" w:space="0" w:color="000000"/>
              <w:bottom w:val="single" w:sz="8" w:space="0" w:color="000000"/>
            </w:tcBorders>
          </w:tcPr>
          <w:p>
            <w:pPr>
              <w:pStyle w:val="Compact"/>
              <w:spacing w:line="240" w:lineRule="auto" w:after="0" w:before="0"/>
              <w:jc w:val="left"/>
            </w:pPr>
            <w:r>
              <w:rPr>
                <w:rFonts w:ascii="Times New Roman" w:hAnsi="Times New Roman" w:eastAsia="Yu Mincho"/>
                <w:sz w:val="18"/>
              </w:rPr>
              <w:t xml:space="preserve">Characteristic</w:t>
            </w:r>
          </w:p>
        </w:tc>
        <w:tc>
          <w:tcPr>
            <w:tcW w:type="dxa" w:w="4252"/>
            <w:vAlign w:val="top"/>
            <w:tcMar>
              <w:top w:w="28" w:type="dxa"/>
              <w:right w:w="85" w:type="dxa"/>
              <w:bottom w:w="28" w:type="dxa"/>
              <w:left w:w="85" w:type="dxa"/>
            </w:tcMar>
            <w:tcBorders>
              <w:top w:val="single" w:sz="8" w:space="0" w:color="000000"/>
              <w:bottom w:val="single" w:sz="8" w:space="0" w:color="000000"/>
            </w:tcBorders>
          </w:tcPr>
          <w:p>
            <w:pPr>
              <w:pStyle w:val="Compact"/>
              <w:spacing w:line="240" w:lineRule="auto" w:after="0" w:before="0"/>
              <w:jc w:val="left"/>
            </w:pPr>
            <w:r>
              <w:rPr>
                <w:rFonts w:ascii="Times New Roman" w:hAnsi="Times New Roman" w:eastAsia="Yu Mincho"/>
                <w:sz w:val="18"/>
              </w:rPr>
              <w:t xml:space="preserve">Category</w:t>
            </w:r>
          </w:p>
        </w:tc>
        <w:tc>
          <w:tcPr>
            <w:tcW w:type="dxa" w:w="1701"/>
            <w:vAlign w:val="top"/>
            <w:tcMar>
              <w:top w:w="28" w:type="dxa"/>
              <w:right w:w="85" w:type="dxa"/>
              <w:bottom w:w="28" w:type="dxa"/>
              <w:left w:w="85" w:type="dxa"/>
            </w:tcMar>
            <w:tcBorders>
              <w:top w:val="single" w:sz="8" w:space="0" w:color="000000"/>
              <w:bottom w:val="single" w:sz="8" w:space="0" w:color="000000"/>
            </w:tcBorders>
          </w:tcPr>
          <w:p>
            <w:pPr>
              <w:pStyle w:val="Compact"/>
              <w:spacing w:line="240" w:lineRule="auto" w:after="0" w:before="0"/>
              <w:jc w:val="right"/>
            </w:pPr>
            <w:r>
              <w:rPr>
                <w:rFonts w:ascii="Times New Roman" w:hAnsi="Times New Roman" w:eastAsia="Yu Mincho"/>
                <w:sz w:val="18"/>
              </w:rPr>
              <w:t xml:space="preserve">n (%)</w:t>
            </w:r>
          </w:p>
        </w:tc>
      </w:tr>
      <w:tr>
        <w:trPr>
          <w:cantSplit/>
        </w:trPr>
        <w:tc>
          <w:tcPr>
            <w:tcW w:type="dxa" w:w="255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Age</w:t>
            </w:r>
          </w:p>
        </w:tc>
        <w:tc>
          <w:tcPr>
            <w:tcW w:type="dxa" w:w="4252"/>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ind w:left="142"/>
              <w:jc w:val="left"/>
            </w:pPr>
            <w:r>
              <w:rPr>
                <w:rFonts w:ascii="Times New Roman" w:hAnsi="Times New Roman" w:eastAsia="Yu Mincho"/>
                <w:sz w:val="18"/>
              </w:rPr>
              <w:t xml:space="preserve">18-49 years</w:t>
            </w:r>
          </w:p>
        </w:tc>
        <w:tc>
          <w:tcPr>
            <w:tcW w:type="dxa" w:w="170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32 (21.8)</w:t>
            </w:r>
          </w:p>
        </w:tc>
      </w:tr>
      <w:tr>
        <w:trPr>
          <w:cantSplit/>
        </w:trPr>
        <w:tc>
          <w:tcPr>
            <w:tcW w:type="dxa" w:w="2551"/>
            <w:vAlign w:val="top"/>
            <w:tcMar>
              <w:top w:w="28" w:type="dxa"/>
              <w:right w:w="85" w:type="dxa"/>
              <w:bottom w:w="28" w:type="dxa"/>
              <w:left w:w="85" w:type="dxa"/>
            </w:tcMar>
            <w:tcBorders>
              <w:top w:val="nil"/>
              <w:bottom w:val="nil"/>
            </w:tcBorders>
          </w:tcPr>
          <w:p>
            <w:pPr>
              <w:pStyle w:val="Compact"/>
              <w:keepNex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keepNext/>
              <w:spacing w:line="240" w:lineRule="auto" w:after="0" w:before="0"/>
              <w:ind w:left="142"/>
              <w:jc w:val="left"/>
            </w:pPr>
            <w:r>
              <w:rPr>
                <w:rFonts w:ascii="Times New Roman" w:hAnsi="Times New Roman" w:eastAsia="Yu Mincho"/>
                <w:sz w:val="18"/>
              </w:rPr>
              <w:t xml:space="preserve">50-59 years</w:t>
            </w:r>
          </w:p>
        </w:tc>
        <w:tc>
          <w:tcPr>
            <w:tcW w:type="dxa" w:w="1701"/>
            <w:vAlign w:val="top"/>
            <w:tcMar>
              <w:top w:w="28" w:type="dxa"/>
              <w:right w:w="85" w:type="dxa"/>
              <w:bottom w:w="28" w:type="dxa"/>
              <w:left w:w="85"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25 (17.0)</w:t>
            </w:r>
          </w:p>
        </w:tc>
      </w:tr>
      <w:tr>
        <w:trPr>
          <w:cantSplit/>
        </w:trPr>
        <w:tc>
          <w:tcPr>
            <w:tcW w:type="dxa" w:w="2551"/>
            <w:vAlign w:val="top"/>
            <w:tcMar>
              <w:top w:w="28" w:type="dxa"/>
              <w:right w:w="85" w:type="dxa"/>
              <w:bottom w:w="28" w:type="dxa"/>
              <w:left w:w="85" w:type="dxa"/>
            </w:tcMar>
            <w:tcBorders>
              <w:top w:val="nil"/>
              <w:bottom w:val="nil"/>
            </w:tcBorders>
          </w:tcPr>
          <w:p>
            <w:pPr>
              <w:pStyle w:val="Compact"/>
              <w:keepNex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keepNext/>
              <w:spacing w:line="240" w:lineRule="auto" w:after="0" w:before="0"/>
              <w:ind w:left="142"/>
              <w:jc w:val="left"/>
            </w:pPr>
            <w:r>
              <w:rPr>
                <w:rFonts w:ascii="Times New Roman" w:hAnsi="Times New Roman" w:eastAsia="Yu Mincho"/>
                <w:sz w:val="18"/>
              </w:rPr>
              <w:t xml:space="preserve">60-69 years</w:t>
            </w:r>
          </w:p>
        </w:tc>
        <w:tc>
          <w:tcPr>
            <w:tcW w:type="dxa" w:w="1701"/>
            <w:vAlign w:val="top"/>
            <w:tcMar>
              <w:top w:w="28" w:type="dxa"/>
              <w:right w:w="85" w:type="dxa"/>
              <w:bottom w:w="28" w:type="dxa"/>
              <w:left w:w="85"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61 (41.5)</w:t>
            </w:r>
          </w:p>
        </w:tc>
      </w:tr>
      <w:tr>
        <w:trPr>
          <w:cantSplit/>
        </w:trPr>
        <w:tc>
          <w:tcPr>
            <w:tcW w:type="dxa" w:w="2551"/>
            <w:vAlign w:val="top"/>
            <w:tcMar>
              <w:top w:w="28" w:type="dxa"/>
              <w:right w:w="85" w:type="dxa"/>
              <w:bottom w:w="28" w:type="dxa"/>
              <w:left w:w="85" w:type="dxa"/>
            </w:tcMar>
            <w:tcBorders>
              <w:top w:val="nil"/>
              <w:bottom w:val="nil"/>
            </w:tcBorders>
          </w:tcPr>
          <w:p>
            <w:pPr>
              <w:pStyle w:val="Compac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spacing w:line="240" w:lineRule="auto" w:after="0" w:before="0"/>
              <w:ind w:left="142"/>
              <w:jc w:val="left"/>
            </w:pPr>
            <w:r>
              <w:rPr>
                <w:rFonts w:ascii="Times New Roman" w:hAnsi="Times New Roman" w:eastAsia="Yu Mincho"/>
                <w:sz w:val="18"/>
              </w:rPr>
              <w:t xml:space="preserve">≥70 years</w:t>
            </w:r>
          </w:p>
        </w:tc>
        <w:tc>
          <w:tcPr>
            <w:tcW w:type="dxa" w:w="1701"/>
            <w:vAlign w:val="top"/>
            <w:tcMar>
              <w:top w:w="28" w:type="dxa"/>
              <w:right w:w="85" w:type="dxa"/>
              <w:bottom w:w="28" w:type="dxa"/>
              <w:left w:w="85"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29 (19.7)</w:t>
            </w:r>
          </w:p>
        </w:tc>
      </w:tr>
      <w:tr>
        <w:trPr>
          <w:cantSplit/>
        </w:trPr>
        <w:tc>
          <w:tcPr>
            <w:tcW w:type="dxa" w:w="255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Housing type</w:t>
            </w:r>
          </w:p>
        </w:tc>
        <w:tc>
          <w:tcPr>
            <w:tcW w:type="dxa" w:w="4252"/>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ind w:left="142"/>
              <w:jc w:val="left"/>
            </w:pPr>
            <w:r>
              <w:rPr>
                <w:rFonts w:ascii="Times New Roman" w:hAnsi="Times New Roman" w:eastAsia="Yu Mincho"/>
                <w:sz w:val="18"/>
              </w:rPr>
              <w:t xml:space="preserve">Detached house</w:t>
            </w:r>
          </w:p>
        </w:tc>
        <w:tc>
          <w:tcPr>
            <w:tcW w:type="dxa" w:w="170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132 (89.8)</w:t>
            </w:r>
          </w:p>
        </w:tc>
      </w:tr>
      <w:tr>
        <w:trPr>
          <w:cantSplit/>
        </w:trPr>
        <w:tc>
          <w:tcPr>
            <w:tcW w:type="dxa" w:w="2551"/>
            <w:vAlign w:val="top"/>
            <w:tcMar>
              <w:top w:w="28" w:type="dxa"/>
              <w:right w:w="85" w:type="dxa"/>
              <w:bottom w:w="28" w:type="dxa"/>
              <w:left w:w="85" w:type="dxa"/>
            </w:tcMar>
            <w:tcBorders>
              <w:top w:val="nil"/>
              <w:bottom w:val="nil"/>
            </w:tcBorders>
          </w:tcPr>
          <w:p>
            <w:pPr>
              <w:pStyle w:val="Compac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spacing w:line="240" w:lineRule="auto" w:after="0" w:before="0"/>
              <w:ind w:left="142"/>
              <w:jc w:val="left"/>
            </w:pPr>
            <w:r>
              <w:rPr>
                <w:rFonts w:ascii="Times New Roman" w:hAnsi="Times New Roman" w:eastAsia="Yu Mincho"/>
                <w:sz w:val="18"/>
              </w:rPr>
              <w:t xml:space="preserve">Apartment/condominium</w:t>
            </w:r>
          </w:p>
        </w:tc>
        <w:tc>
          <w:tcPr>
            <w:tcW w:type="dxa" w:w="1701"/>
            <w:vAlign w:val="top"/>
            <w:tcMar>
              <w:top w:w="28" w:type="dxa"/>
              <w:right w:w="85" w:type="dxa"/>
              <w:bottom w:w="28" w:type="dxa"/>
              <w:left w:w="85"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15 (10.2)</w:t>
            </w:r>
          </w:p>
        </w:tc>
      </w:tr>
      <w:tr>
        <w:trPr>
          <w:cantSplit/>
        </w:trPr>
        <w:tc>
          <w:tcPr>
            <w:tcW w:type="dxa" w:w="255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Building age</w:t>
            </w:r>
          </w:p>
        </w:tc>
        <w:tc>
          <w:tcPr>
            <w:tcW w:type="dxa" w:w="4252"/>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ind w:left="142"/>
              <w:jc w:val="left"/>
            </w:pPr>
            <w:r>
              <w:rPr>
                <w:rFonts w:ascii="Times New Roman" w:hAnsi="Times New Roman" w:eastAsia="Yu Mincho"/>
                <w:sz w:val="18"/>
              </w:rPr>
              <w:t xml:space="preserve">&lt;30 years</w:t>
            </w:r>
          </w:p>
        </w:tc>
        <w:tc>
          <w:tcPr>
            <w:tcW w:type="dxa" w:w="170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62 (42.2)</w:t>
            </w:r>
          </w:p>
        </w:tc>
      </w:tr>
      <w:tr>
        <w:trPr>
          <w:cantSplit/>
        </w:trPr>
        <w:tc>
          <w:tcPr>
            <w:tcW w:type="dxa" w:w="2551"/>
            <w:vAlign w:val="top"/>
            <w:tcMar>
              <w:top w:w="28" w:type="dxa"/>
              <w:right w:w="85" w:type="dxa"/>
              <w:bottom w:w="28" w:type="dxa"/>
              <w:left w:w="85" w:type="dxa"/>
            </w:tcMar>
            <w:tcBorders>
              <w:top w:val="nil"/>
              <w:bottom w:val="nil"/>
            </w:tcBorders>
          </w:tcPr>
          <w:p>
            <w:pPr>
              <w:pStyle w:val="Compact"/>
              <w:keepNex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keepNext/>
              <w:spacing w:line="240" w:lineRule="auto" w:after="0" w:before="0"/>
              <w:ind w:left="142"/>
              <w:jc w:val="left"/>
            </w:pPr>
            <w:r>
              <w:rPr>
                <w:rFonts w:ascii="Times New Roman" w:hAnsi="Times New Roman" w:eastAsia="Yu Mincho"/>
                <w:sz w:val="18"/>
              </w:rPr>
              <w:t xml:space="preserve">≥30 years</w:t>
            </w:r>
          </w:p>
        </w:tc>
        <w:tc>
          <w:tcPr>
            <w:tcW w:type="dxa" w:w="1701"/>
            <w:vAlign w:val="top"/>
            <w:tcMar>
              <w:top w:w="28" w:type="dxa"/>
              <w:right w:w="85" w:type="dxa"/>
              <w:bottom w:w="28" w:type="dxa"/>
              <w:left w:w="85"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77 (52.4)</w:t>
            </w:r>
          </w:p>
        </w:tc>
      </w:tr>
      <w:tr>
        <w:trPr>
          <w:cantSplit/>
        </w:trPr>
        <w:tc>
          <w:tcPr>
            <w:tcW w:type="dxa" w:w="2551"/>
            <w:vAlign w:val="top"/>
            <w:tcMar>
              <w:top w:w="28" w:type="dxa"/>
              <w:right w:w="85" w:type="dxa"/>
              <w:bottom w:w="28" w:type="dxa"/>
              <w:left w:w="85" w:type="dxa"/>
            </w:tcMar>
            <w:tcBorders>
              <w:top w:val="nil"/>
              <w:bottom w:val="nil"/>
            </w:tcBorders>
          </w:tcPr>
          <w:p>
            <w:pPr>
              <w:pStyle w:val="Compac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spacing w:line="240" w:lineRule="auto" w:after="0" w:before="0"/>
              <w:ind w:left="142"/>
              <w:jc w:val="left"/>
            </w:pPr>
            <w:r>
              <w:rPr>
                <w:rFonts w:ascii="Times New Roman" w:hAnsi="Times New Roman" w:eastAsia="Yu Mincho"/>
                <w:sz w:val="18"/>
              </w:rPr>
              <w:t xml:space="preserve">Unknown</w:t>
            </w:r>
          </w:p>
        </w:tc>
        <w:tc>
          <w:tcPr>
            <w:tcW w:type="dxa" w:w="1701"/>
            <w:vAlign w:val="top"/>
            <w:tcMar>
              <w:top w:w="28" w:type="dxa"/>
              <w:right w:w="85" w:type="dxa"/>
              <w:bottom w:w="28" w:type="dxa"/>
              <w:left w:w="85"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8 (5.4)</w:t>
            </w:r>
          </w:p>
        </w:tc>
      </w:tr>
      <w:tr>
        <w:trPr>
          <w:cantSplit/>
        </w:trPr>
        <w:tc>
          <w:tcPr>
            <w:tcW w:type="dxa" w:w="255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Tenure</w:t>
            </w:r>
          </w:p>
        </w:tc>
        <w:tc>
          <w:tcPr>
            <w:tcW w:type="dxa" w:w="4252"/>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ind w:left="142"/>
              <w:jc w:val="left"/>
            </w:pPr>
            <w:r>
              <w:rPr>
                <w:rFonts w:ascii="Times New Roman" w:hAnsi="Times New Roman" w:eastAsia="Yu Mincho"/>
                <w:sz w:val="18"/>
              </w:rPr>
              <w:t xml:space="preserve">Owner-occupied</w:t>
            </w:r>
          </w:p>
        </w:tc>
        <w:tc>
          <w:tcPr>
            <w:tcW w:type="dxa" w:w="170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130 (88.4)</w:t>
            </w:r>
          </w:p>
        </w:tc>
      </w:tr>
      <w:tr>
        <w:trPr>
          <w:cantSplit/>
        </w:trPr>
        <w:tc>
          <w:tcPr>
            <w:tcW w:type="dxa" w:w="2551"/>
            <w:vAlign w:val="top"/>
            <w:tcMar>
              <w:top w:w="28" w:type="dxa"/>
              <w:right w:w="85" w:type="dxa"/>
              <w:bottom w:w="28" w:type="dxa"/>
              <w:left w:w="85" w:type="dxa"/>
            </w:tcMar>
            <w:tcBorders>
              <w:top w:val="nil"/>
              <w:bottom w:val="nil"/>
            </w:tcBorders>
          </w:tcPr>
          <w:p>
            <w:pPr>
              <w:pStyle w:val="Compact"/>
              <w:keepNex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keepNext/>
              <w:spacing w:line="240" w:lineRule="auto" w:after="0" w:before="0"/>
              <w:ind w:left="142"/>
              <w:jc w:val="left"/>
            </w:pPr>
            <w:r>
              <w:rPr>
                <w:rFonts w:ascii="Times New Roman" w:hAnsi="Times New Roman" w:eastAsia="Yu Mincho"/>
                <w:sz w:val="18"/>
              </w:rPr>
              <w:t xml:space="preserve">Rented</w:t>
            </w:r>
          </w:p>
        </w:tc>
        <w:tc>
          <w:tcPr>
            <w:tcW w:type="dxa" w:w="1701"/>
            <w:vAlign w:val="top"/>
            <w:tcMar>
              <w:top w:w="28" w:type="dxa"/>
              <w:right w:w="85" w:type="dxa"/>
              <w:bottom w:w="28" w:type="dxa"/>
              <w:left w:w="85"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16 (10.9)</w:t>
            </w:r>
          </w:p>
        </w:tc>
      </w:tr>
      <w:tr>
        <w:trPr>
          <w:cantSplit/>
        </w:trPr>
        <w:tc>
          <w:tcPr>
            <w:tcW w:type="dxa" w:w="2551"/>
            <w:vAlign w:val="top"/>
            <w:tcMar>
              <w:top w:w="28" w:type="dxa"/>
              <w:right w:w="85" w:type="dxa"/>
              <w:bottom w:w="28" w:type="dxa"/>
              <w:left w:w="85" w:type="dxa"/>
            </w:tcMar>
            <w:tcBorders>
              <w:top w:val="nil"/>
              <w:bottom w:val="nil"/>
            </w:tcBorders>
          </w:tcPr>
          <w:p>
            <w:pPr>
              <w:pStyle w:val="Compac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spacing w:line="240" w:lineRule="auto" w:after="0" w:before="0"/>
              <w:ind w:left="142"/>
              <w:jc w:val="left"/>
            </w:pPr>
            <w:r>
              <w:rPr>
                <w:rFonts w:ascii="Times New Roman" w:hAnsi="Times New Roman" w:eastAsia="Yu Mincho"/>
                <w:sz w:val="18"/>
              </w:rPr>
              <w:t xml:space="preserve">Missing</w:t>
            </w:r>
          </w:p>
        </w:tc>
        <w:tc>
          <w:tcPr>
            <w:tcW w:type="dxa" w:w="1701"/>
            <w:vAlign w:val="top"/>
            <w:tcMar>
              <w:top w:w="28" w:type="dxa"/>
              <w:right w:w="85" w:type="dxa"/>
              <w:bottom w:w="28" w:type="dxa"/>
              <w:left w:w="85"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1 (0.7)</w:t>
            </w:r>
          </w:p>
        </w:tc>
      </w:tr>
      <w:tr>
        <w:trPr>
          <w:cantSplit/>
        </w:trPr>
        <w:tc>
          <w:tcPr>
            <w:tcW w:type="dxa" w:w="255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Winter bathing frequency</w:t>
            </w:r>
          </w:p>
        </w:tc>
        <w:tc>
          <w:tcPr>
            <w:tcW w:type="dxa" w:w="4252"/>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ind w:left="142"/>
              <w:jc w:val="left"/>
            </w:pPr>
            <w:r>
              <w:rPr>
                <w:rFonts w:ascii="Times New Roman" w:hAnsi="Times New Roman" w:eastAsia="Yu Mincho"/>
                <w:sz w:val="18"/>
              </w:rPr>
              <w:t xml:space="preserve">Daily</w:t>
            </w:r>
          </w:p>
        </w:tc>
        <w:tc>
          <w:tcPr>
            <w:tcW w:type="dxa" w:w="170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94 (63.9)</w:t>
            </w:r>
          </w:p>
        </w:tc>
      </w:tr>
      <w:tr>
        <w:trPr>
          <w:cantSplit/>
        </w:trPr>
        <w:tc>
          <w:tcPr>
            <w:tcW w:type="dxa" w:w="2551"/>
            <w:vAlign w:val="top"/>
            <w:tcMar>
              <w:top w:w="28" w:type="dxa"/>
              <w:right w:w="85" w:type="dxa"/>
              <w:bottom w:w="28" w:type="dxa"/>
              <w:left w:w="85" w:type="dxa"/>
            </w:tcMar>
            <w:tcBorders>
              <w:top w:val="nil"/>
              <w:bottom w:val="nil"/>
            </w:tcBorders>
          </w:tcPr>
          <w:p>
            <w:pPr>
              <w:pStyle w:val="Compact"/>
              <w:keepNex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keepNext/>
              <w:spacing w:line="240" w:lineRule="auto" w:after="0" w:before="0"/>
              <w:ind w:left="142"/>
              <w:jc w:val="left"/>
            </w:pPr>
            <w:r>
              <w:rPr>
                <w:rFonts w:ascii="Times New Roman" w:hAnsi="Times New Roman" w:eastAsia="Yu Mincho"/>
                <w:sz w:val="18"/>
              </w:rPr>
              <w:t xml:space="preserve">4-6 times/week</w:t>
            </w:r>
          </w:p>
        </w:tc>
        <w:tc>
          <w:tcPr>
            <w:tcW w:type="dxa" w:w="1701"/>
            <w:vAlign w:val="top"/>
            <w:tcMar>
              <w:top w:w="28" w:type="dxa"/>
              <w:right w:w="85" w:type="dxa"/>
              <w:bottom w:w="28" w:type="dxa"/>
              <w:left w:w="85"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36 (24.5)</w:t>
            </w:r>
          </w:p>
        </w:tc>
      </w:tr>
      <w:tr>
        <w:trPr>
          <w:cantSplit/>
        </w:trPr>
        <w:tc>
          <w:tcPr>
            <w:tcW w:type="dxa" w:w="2551"/>
            <w:vAlign w:val="top"/>
            <w:tcMar>
              <w:top w:w="28" w:type="dxa"/>
              <w:right w:w="85" w:type="dxa"/>
              <w:bottom w:w="28" w:type="dxa"/>
              <w:left w:w="85" w:type="dxa"/>
            </w:tcMar>
            <w:tcBorders>
              <w:top w:val="nil"/>
              <w:bottom w:val="nil"/>
            </w:tcBorders>
          </w:tcPr>
          <w:p>
            <w:pPr>
              <w:pStyle w:val="Compact"/>
              <w:keepNex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keepNext/>
              <w:spacing w:line="240" w:lineRule="auto" w:after="0" w:before="0"/>
              <w:ind w:left="142"/>
              <w:jc w:val="left"/>
            </w:pPr>
            <w:r>
              <w:rPr>
                <w:rFonts w:ascii="Times New Roman" w:hAnsi="Times New Roman" w:eastAsia="Yu Mincho"/>
                <w:sz w:val="18"/>
              </w:rPr>
              <w:t xml:space="preserve">1-3 times/week</w:t>
            </w:r>
          </w:p>
        </w:tc>
        <w:tc>
          <w:tcPr>
            <w:tcW w:type="dxa" w:w="1701"/>
            <w:vAlign w:val="top"/>
            <w:tcMar>
              <w:top w:w="28" w:type="dxa"/>
              <w:right w:w="85" w:type="dxa"/>
              <w:bottom w:w="28" w:type="dxa"/>
              <w:left w:w="85"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10 (6.8)</w:t>
            </w:r>
          </w:p>
        </w:tc>
      </w:tr>
      <w:tr>
        <w:trPr>
          <w:cantSplit/>
        </w:trPr>
        <w:tc>
          <w:tcPr>
            <w:tcW w:type="dxa" w:w="2551"/>
            <w:vAlign w:val="top"/>
            <w:tcMar>
              <w:top w:w="28" w:type="dxa"/>
              <w:right w:w="85" w:type="dxa"/>
              <w:bottom w:w="28" w:type="dxa"/>
              <w:left w:w="85" w:type="dxa"/>
            </w:tcMar>
            <w:tcBorders>
              <w:top w:val="nil"/>
              <w:bottom w:val="nil"/>
            </w:tcBorders>
          </w:tcPr>
          <w:p>
            <w:pPr>
              <w:pStyle w:val="Compact"/>
              <w:keepNex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keepNext/>
              <w:spacing w:line="240" w:lineRule="auto" w:after="0" w:before="0"/>
              <w:ind w:left="142"/>
              <w:jc w:val="left"/>
            </w:pPr>
            <w:r>
              <w:rPr>
                <w:rFonts w:ascii="Times New Roman" w:hAnsi="Times New Roman" w:eastAsia="Yu Mincho"/>
                <w:sz w:val="18"/>
              </w:rPr>
              <w:t xml:space="preserve">1-3 times/month</w:t>
            </w:r>
          </w:p>
        </w:tc>
        <w:tc>
          <w:tcPr>
            <w:tcW w:type="dxa" w:w="1701"/>
            <w:vAlign w:val="top"/>
            <w:tcMar>
              <w:top w:w="28" w:type="dxa"/>
              <w:right w:w="85" w:type="dxa"/>
              <w:bottom w:w="28" w:type="dxa"/>
              <w:left w:w="85"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2 (1.4)</w:t>
            </w:r>
          </w:p>
        </w:tc>
      </w:tr>
      <w:tr>
        <w:trPr>
          <w:cantSplit/>
        </w:trPr>
        <w:tc>
          <w:tcPr>
            <w:tcW w:type="dxa" w:w="2551"/>
            <w:vAlign w:val="top"/>
            <w:tcMar>
              <w:top w:w="28" w:type="dxa"/>
              <w:right w:w="85" w:type="dxa"/>
              <w:bottom w:w="28" w:type="dxa"/>
              <w:left w:w="85" w:type="dxa"/>
            </w:tcMar>
            <w:tcBorders>
              <w:top w:val="nil"/>
              <w:bottom w:val="nil"/>
            </w:tcBorders>
          </w:tcPr>
          <w:p>
            <w:pPr>
              <w:pStyle w:val="Compac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spacing w:line="240" w:lineRule="auto" w:after="0" w:before="0"/>
              <w:ind w:left="142"/>
              <w:jc w:val="left"/>
            </w:pPr>
            <w:r>
              <w:rPr>
                <w:rFonts w:ascii="Times New Roman" w:hAnsi="Times New Roman" w:eastAsia="Yu Mincho"/>
                <w:sz w:val="18"/>
              </w:rPr>
              <w:t xml:space="preserve">Almost never</w:t>
            </w:r>
          </w:p>
        </w:tc>
        <w:tc>
          <w:tcPr>
            <w:tcW w:type="dxa" w:w="1701"/>
            <w:vAlign w:val="top"/>
            <w:tcMar>
              <w:top w:w="28" w:type="dxa"/>
              <w:right w:w="85" w:type="dxa"/>
              <w:bottom w:w="28" w:type="dxa"/>
              <w:left w:w="85"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5 (3.4)</w:t>
            </w:r>
          </w:p>
        </w:tc>
      </w:tr>
      <w:tr>
        <w:trPr>
          <w:cantSplit/>
        </w:trPr>
        <w:tc>
          <w:tcPr>
            <w:tcW w:type="dxa" w:w="255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Bathroom window</w:t>
            </w:r>
          </w:p>
        </w:tc>
        <w:tc>
          <w:tcPr>
            <w:tcW w:type="dxa" w:w="4252"/>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ind w:left="142"/>
              <w:jc w:val="left"/>
            </w:pPr>
            <w:r>
              <w:rPr>
                <w:rFonts w:ascii="Times New Roman" w:hAnsi="Times New Roman" w:eastAsia="Yu Mincho"/>
                <w:sz w:val="18"/>
              </w:rPr>
              <w:t xml:space="preserve">Double window/double glazing</w:t>
            </w:r>
          </w:p>
        </w:tc>
        <w:tc>
          <w:tcPr>
            <w:tcW w:type="dxa" w:w="170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111 (75.5)</w:t>
            </w:r>
          </w:p>
        </w:tc>
      </w:tr>
      <w:tr>
        <w:trPr>
          <w:cantSplit/>
        </w:trPr>
        <w:tc>
          <w:tcPr>
            <w:tcW w:type="dxa" w:w="2551"/>
            <w:vAlign w:val="top"/>
            <w:tcMar>
              <w:top w:w="28" w:type="dxa"/>
              <w:right w:w="85" w:type="dxa"/>
              <w:bottom w:w="28" w:type="dxa"/>
              <w:left w:w="85" w:type="dxa"/>
            </w:tcMar>
            <w:tcBorders>
              <w:top w:val="nil"/>
              <w:bottom w:val="nil"/>
            </w:tcBorders>
          </w:tcPr>
          <w:p>
            <w:pPr>
              <w:pStyle w:val="Compact"/>
              <w:keepNex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keepNext/>
              <w:spacing w:line="240" w:lineRule="auto" w:after="0" w:before="0"/>
              <w:ind w:left="142"/>
              <w:jc w:val="left"/>
            </w:pPr>
            <w:r>
              <w:rPr>
                <w:rFonts w:ascii="Times New Roman" w:hAnsi="Times New Roman" w:eastAsia="Yu Mincho"/>
                <w:sz w:val="18"/>
              </w:rPr>
              <w:t xml:space="preserve">Single glazing</w:t>
            </w:r>
          </w:p>
        </w:tc>
        <w:tc>
          <w:tcPr>
            <w:tcW w:type="dxa" w:w="1701"/>
            <w:vAlign w:val="top"/>
            <w:tcMar>
              <w:top w:w="28" w:type="dxa"/>
              <w:right w:w="85" w:type="dxa"/>
              <w:bottom w:w="28" w:type="dxa"/>
              <w:left w:w="85"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26 (17.7)</w:t>
            </w:r>
          </w:p>
        </w:tc>
      </w:tr>
      <w:tr>
        <w:trPr>
          <w:cantSplit/>
        </w:trPr>
        <w:tc>
          <w:tcPr>
            <w:tcW w:type="dxa" w:w="2551"/>
            <w:vAlign w:val="top"/>
            <w:tcMar>
              <w:top w:w="28" w:type="dxa"/>
              <w:right w:w="85" w:type="dxa"/>
              <w:bottom w:w="28" w:type="dxa"/>
              <w:left w:w="85" w:type="dxa"/>
            </w:tcMar>
            <w:tcBorders>
              <w:top w:val="nil"/>
              <w:bottom w:val="nil"/>
            </w:tcBorders>
          </w:tcPr>
          <w:p>
            <w:pPr>
              <w:pStyle w:val="Compact"/>
              <w:keepNex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keepNext/>
              <w:spacing w:line="240" w:lineRule="auto" w:after="0" w:before="0"/>
              <w:ind w:left="142"/>
              <w:jc w:val="left"/>
            </w:pPr>
            <w:r>
              <w:rPr>
                <w:rFonts w:ascii="Times New Roman" w:hAnsi="Times New Roman" w:eastAsia="Yu Mincho"/>
                <w:sz w:val="18"/>
              </w:rPr>
              <w:t xml:space="preserve">No window</w:t>
            </w:r>
          </w:p>
        </w:tc>
        <w:tc>
          <w:tcPr>
            <w:tcW w:type="dxa" w:w="1701"/>
            <w:vAlign w:val="top"/>
            <w:tcMar>
              <w:top w:w="28" w:type="dxa"/>
              <w:right w:w="85" w:type="dxa"/>
              <w:bottom w:w="28" w:type="dxa"/>
              <w:left w:w="85"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7 (4.8)</w:t>
            </w:r>
          </w:p>
        </w:tc>
      </w:tr>
      <w:tr>
        <w:trPr>
          <w:cantSplit/>
        </w:trPr>
        <w:tc>
          <w:tcPr>
            <w:tcW w:type="dxa" w:w="2551"/>
            <w:vAlign w:val="top"/>
            <w:tcMar>
              <w:top w:w="28" w:type="dxa"/>
              <w:right w:w="85" w:type="dxa"/>
              <w:bottom w:w="28" w:type="dxa"/>
              <w:left w:w="85" w:type="dxa"/>
            </w:tcMar>
            <w:tcBorders>
              <w:top w:val="nil"/>
              <w:bottom w:val="nil"/>
            </w:tcBorders>
          </w:tcPr>
          <w:p>
            <w:pPr>
              <w:pStyle w:val="Compac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spacing w:line="240" w:lineRule="auto" w:after="0" w:before="0"/>
              <w:ind w:left="142"/>
              <w:jc w:val="left"/>
            </w:pPr>
            <w:r>
              <w:rPr>
                <w:rFonts w:ascii="Times New Roman" w:hAnsi="Times New Roman" w:eastAsia="Yu Mincho"/>
                <w:sz w:val="18"/>
              </w:rPr>
              <w:t xml:space="preserve">Unknown/missing</w:t>
            </w:r>
          </w:p>
        </w:tc>
        <w:tc>
          <w:tcPr>
            <w:tcW w:type="dxa" w:w="1701"/>
            <w:vAlign w:val="top"/>
            <w:tcMar>
              <w:top w:w="28" w:type="dxa"/>
              <w:right w:w="85" w:type="dxa"/>
              <w:bottom w:w="28" w:type="dxa"/>
              <w:left w:w="85"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3 (2.0)</w:t>
            </w:r>
          </w:p>
        </w:tc>
      </w:tr>
      <w:tr>
        <w:trPr>
          <w:cantSplit/>
        </w:trPr>
        <w:tc>
          <w:tcPr>
            <w:tcW w:type="dxa" w:w="255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Bathroom heater-dryer</w:t>
            </w:r>
          </w:p>
        </w:tc>
        <w:tc>
          <w:tcPr>
            <w:tcW w:type="dxa" w:w="4252"/>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ind w:left="142"/>
              <w:jc w:val="left"/>
            </w:pPr>
            <w:r>
              <w:rPr>
                <w:rFonts w:ascii="Times New Roman" w:hAnsi="Times New Roman" w:eastAsia="Yu Mincho"/>
                <w:sz w:val="18"/>
              </w:rPr>
              <w:t xml:space="preserve">Installed and used</w:t>
            </w:r>
          </w:p>
        </w:tc>
        <w:tc>
          <w:tcPr>
            <w:tcW w:type="dxa" w:w="170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35 (23.8)</w:t>
            </w:r>
          </w:p>
        </w:tc>
      </w:tr>
      <w:tr>
        <w:trPr>
          <w:cantSplit/>
        </w:trPr>
        <w:tc>
          <w:tcPr>
            <w:tcW w:type="dxa" w:w="2551"/>
            <w:vAlign w:val="top"/>
            <w:tcMar>
              <w:top w:w="28" w:type="dxa"/>
              <w:right w:w="85" w:type="dxa"/>
              <w:bottom w:w="28" w:type="dxa"/>
              <w:left w:w="85" w:type="dxa"/>
            </w:tcMar>
            <w:tcBorders>
              <w:top w:val="nil"/>
              <w:bottom w:val="nil"/>
            </w:tcBorders>
          </w:tcPr>
          <w:p>
            <w:pPr>
              <w:pStyle w:val="Compact"/>
              <w:keepNex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keepNext/>
              <w:spacing w:line="240" w:lineRule="auto" w:after="0" w:before="0"/>
              <w:ind w:left="142"/>
              <w:jc w:val="left"/>
            </w:pPr>
            <w:r>
              <w:rPr>
                <w:rFonts w:ascii="Times New Roman" w:hAnsi="Times New Roman" w:eastAsia="Yu Mincho"/>
                <w:sz w:val="18"/>
              </w:rPr>
              <w:t xml:space="preserve">Installed but not used</w:t>
            </w:r>
          </w:p>
        </w:tc>
        <w:tc>
          <w:tcPr>
            <w:tcW w:type="dxa" w:w="1701"/>
            <w:vAlign w:val="top"/>
            <w:tcMar>
              <w:top w:w="28" w:type="dxa"/>
              <w:right w:w="85" w:type="dxa"/>
              <w:bottom w:w="28" w:type="dxa"/>
              <w:left w:w="85"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13 (8.8)</w:t>
            </w:r>
          </w:p>
        </w:tc>
      </w:tr>
      <w:tr>
        <w:trPr>
          <w:cantSplit/>
        </w:trPr>
        <w:tc>
          <w:tcPr>
            <w:tcW w:type="dxa" w:w="2551"/>
            <w:vAlign w:val="top"/>
            <w:tcMar>
              <w:top w:w="28" w:type="dxa"/>
              <w:right w:w="85" w:type="dxa"/>
              <w:bottom w:w="28" w:type="dxa"/>
              <w:left w:w="85" w:type="dxa"/>
            </w:tcMar>
            <w:tcBorders>
              <w:top w:val="nil"/>
              <w:bottom w:val="nil"/>
            </w:tcBorders>
          </w:tcPr>
          <w:p>
            <w:pPr>
              <w:pStyle w:val="Compac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spacing w:line="240" w:lineRule="auto" w:after="0" w:before="0"/>
              <w:ind w:left="142"/>
              <w:jc w:val="left"/>
            </w:pPr>
            <w:r>
              <w:rPr>
                <w:rFonts w:ascii="Times New Roman" w:hAnsi="Times New Roman" w:eastAsia="Yu Mincho"/>
                <w:sz w:val="18"/>
              </w:rPr>
              <w:t xml:space="preserve">Not installed</w:t>
            </w:r>
          </w:p>
        </w:tc>
        <w:tc>
          <w:tcPr>
            <w:tcW w:type="dxa" w:w="1701"/>
            <w:vAlign w:val="top"/>
            <w:tcMar>
              <w:top w:w="28" w:type="dxa"/>
              <w:right w:w="85" w:type="dxa"/>
              <w:bottom w:w="28" w:type="dxa"/>
              <w:left w:w="85"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99 (67.3)</w:t>
            </w:r>
          </w:p>
        </w:tc>
      </w:tr>
      <w:tr>
        <w:trPr>
          <w:cantSplit/>
        </w:trPr>
        <w:tc>
          <w:tcPr>
            <w:tcW w:type="dxa" w:w="255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Central heating</w:t>
            </w:r>
          </w:p>
        </w:tc>
        <w:tc>
          <w:tcPr>
            <w:tcW w:type="dxa" w:w="4252"/>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ind w:left="142"/>
              <w:jc w:val="left"/>
            </w:pPr>
            <w:r>
              <w:rPr>
                <w:rFonts w:ascii="Times New Roman" w:hAnsi="Times New Roman" w:eastAsia="Yu Mincho"/>
                <w:sz w:val="18"/>
              </w:rPr>
              <w:t xml:space="preserve">Used 24 hours</w:t>
            </w:r>
          </w:p>
        </w:tc>
        <w:tc>
          <w:tcPr>
            <w:tcW w:type="dxa" w:w="170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16 (10.9)</w:t>
            </w:r>
          </w:p>
        </w:tc>
      </w:tr>
      <w:tr>
        <w:trPr>
          <w:cantSplit/>
        </w:trPr>
        <w:tc>
          <w:tcPr>
            <w:tcW w:type="dxa" w:w="2551"/>
            <w:vAlign w:val="top"/>
            <w:tcMar>
              <w:top w:w="28" w:type="dxa"/>
              <w:right w:w="85" w:type="dxa"/>
              <w:bottom w:w="28" w:type="dxa"/>
              <w:left w:w="85" w:type="dxa"/>
            </w:tcMar>
            <w:tcBorders>
              <w:top w:val="nil"/>
              <w:bottom w:val="nil"/>
            </w:tcBorders>
          </w:tcPr>
          <w:p>
            <w:pPr>
              <w:pStyle w:val="Compact"/>
              <w:keepNex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keepNext/>
              <w:spacing w:line="240" w:lineRule="auto" w:after="0" w:before="0"/>
              <w:ind w:left="142"/>
              <w:jc w:val="left"/>
            </w:pPr>
            <w:r>
              <w:rPr>
                <w:rFonts w:ascii="Times New Roman" w:hAnsi="Times New Roman" w:eastAsia="Yu Mincho"/>
                <w:sz w:val="18"/>
              </w:rPr>
              <w:t xml:space="preserve">Used for limited hours</w:t>
            </w:r>
          </w:p>
        </w:tc>
        <w:tc>
          <w:tcPr>
            <w:tcW w:type="dxa" w:w="1701"/>
            <w:vAlign w:val="top"/>
            <w:tcMar>
              <w:top w:w="28" w:type="dxa"/>
              <w:right w:w="85" w:type="dxa"/>
              <w:bottom w:w="28" w:type="dxa"/>
              <w:left w:w="85"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12 (8.2)</w:t>
            </w:r>
          </w:p>
        </w:tc>
      </w:tr>
      <w:tr>
        <w:trPr>
          <w:cantSplit/>
        </w:trPr>
        <w:tc>
          <w:tcPr>
            <w:tcW w:type="dxa" w:w="2551"/>
            <w:vAlign w:val="top"/>
            <w:tcMar>
              <w:top w:w="28" w:type="dxa"/>
              <w:right w:w="85" w:type="dxa"/>
              <w:bottom w:w="28" w:type="dxa"/>
              <w:left w:w="85" w:type="dxa"/>
            </w:tcMar>
            <w:tcBorders>
              <w:top w:val="nil"/>
              <w:bottom w:val="nil"/>
            </w:tcBorders>
          </w:tcPr>
          <w:p>
            <w:pPr>
              <w:pStyle w:val="Compact"/>
              <w:keepNex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keepNext/>
              <w:spacing w:line="240" w:lineRule="auto" w:after="0" w:before="0"/>
              <w:ind w:left="142"/>
              <w:jc w:val="left"/>
            </w:pPr>
            <w:r>
              <w:rPr>
                <w:rFonts w:ascii="Times New Roman" w:hAnsi="Times New Roman" w:eastAsia="Yu Mincho"/>
                <w:sz w:val="18"/>
              </w:rPr>
              <w:t xml:space="preserve">Not used</w:t>
            </w:r>
          </w:p>
        </w:tc>
        <w:tc>
          <w:tcPr>
            <w:tcW w:type="dxa" w:w="1701"/>
            <w:vAlign w:val="top"/>
            <w:tcMar>
              <w:top w:w="28" w:type="dxa"/>
              <w:right w:w="85" w:type="dxa"/>
              <w:bottom w:w="28" w:type="dxa"/>
              <w:left w:w="85"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112 (76.2)</w:t>
            </w:r>
          </w:p>
        </w:tc>
      </w:tr>
      <w:tr>
        <w:trPr>
          <w:cantSplit/>
        </w:trPr>
        <w:tc>
          <w:tcPr>
            <w:tcW w:type="dxa" w:w="2551"/>
            <w:vAlign w:val="top"/>
            <w:tcMar>
              <w:top w:w="28" w:type="dxa"/>
              <w:right w:w="85" w:type="dxa"/>
              <w:bottom w:w="28" w:type="dxa"/>
              <w:left w:w="85" w:type="dxa"/>
            </w:tcMar>
            <w:tcBorders>
              <w:top w:val="nil"/>
              <w:bottom w:val="nil"/>
            </w:tcBorders>
          </w:tcPr>
          <w:p>
            <w:pPr>
              <w:pStyle w:val="Compact"/>
              <w:spacing w:line="240" w:lineRule="auto" w:after="0" w:before="0"/>
              <w:jc w:val="left"/>
            </w:pPr>
          </w:p>
        </w:tc>
        <w:tc>
          <w:tcPr>
            <w:tcW w:type="dxa" w:w="4252"/>
            <w:vAlign w:val="top"/>
            <w:tcMar>
              <w:top w:w="28" w:type="dxa"/>
              <w:right w:w="85" w:type="dxa"/>
              <w:bottom w:w="28" w:type="dxa"/>
              <w:left w:w="85" w:type="dxa"/>
            </w:tcMar>
            <w:tcBorders>
              <w:top w:val="nil"/>
              <w:bottom w:val="nil"/>
            </w:tcBorders>
          </w:tcPr>
          <w:p>
            <w:pPr>
              <w:pStyle w:val="Compact"/>
              <w:spacing w:line="240" w:lineRule="auto" w:after="0" w:before="0"/>
              <w:ind w:left="142"/>
              <w:jc w:val="left"/>
            </w:pPr>
            <w:r>
              <w:rPr>
                <w:rFonts w:ascii="Times New Roman" w:hAnsi="Times New Roman" w:eastAsia="Yu Mincho"/>
                <w:sz w:val="18"/>
              </w:rPr>
              <w:t xml:space="preserve">Missing</w:t>
            </w:r>
          </w:p>
        </w:tc>
        <w:tc>
          <w:tcPr>
            <w:tcW w:type="dxa" w:w="1701"/>
            <w:vAlign w:val="top"/>
            <w:tcMar>
              <w:top w:w="28" w:type="dxa"/>
              <w:right w:w="85" w:type="dxa"/>
              <w:bottom w:w="28" w:type="dxa"/>
              <w:left w:w="85"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7 (4.8)</w:t>
            </w:r>
          </w:p>
        </w:tc>
      </w:tr>
      <w:tr>
        <w:trPr>
          <w:cantSplit/>
        </w:trPr>
        <w:tc>
          <w:tcPr>
            <w:tcW w:type="dxa" w:w="255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Perceived coldness</w:t>
            </w:r>
          </w:p>
        </w:tc>
        <w:tc>
          <w:tcPr>
            <w:tcW w:type="dxa" w:w="4252"/>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ind w:left="142"/>
              <w:jc w:val="left"/>
            </w:pPr>
            <w:r>
              <w:rPr>
                <w:rFonts w:ascii="Times New Roman" w:hAnsi="Times New Roman" w:eastAsia="Yu Mincho"/>
                <w:sz w:val="18"/>
              </w:rPr>
              <w:t xml:space="preserve">Bathroom score 5-7</w:t>
            </w:r>
          </w:p>
        </w:tc>
        <w:tc>
          <w:tcPr>
            <w:tcW w:type="dxa" w:w="1701"/>
            <w:vAlign w:val="top"/>
            <w:tcMar>
              <w:top w:w="28" w:type="dxa"/>
              <w:right w:w="85" w:type="dxa"/>
              <w:bottom w:w="28" w:type="dxa"/>
              <w:left w:w="85"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66 (44.9)</w:t>
            </w:r>
          </w:p>
        </w:tc>
      </w:tr>
      <w:tr>
        <w:trPr>
          <w:cantSplit/>
        </w:trPr>
        <w:tc>
          <w:tcPr>
            <w:tcW w:type="dxa" w:w="2551"/>
            <w:vAlign w:val="top"/>
            <w:tcMar>
              <w:top w:w="28" w:type="dxa"/>
              <w:right w:w="85" w:type="dxa"/>
              <w:bottom w:w="28" w:type="dxa"/>
              <w:left w:w="85" w:type="dxa"/>
            </w:tcMar>
            <w:tcBorders>
              <w:top w:val="nil"/>
              <w:bottom w:val="single" w:sz="8" w:space="0" w:color="000000"/>
            </w:tcBorders>
          </w:tcPr>
          <w:p>
            <w:pPr>
              <w:pStyle w:val="Compact"/>
              <w:spacing w:line="240" w:lineRule="auto" w:after="0" w:before="0"/>
              <w:jc w:val="left"/>
            </w:pPr>
          </w:p>
        </w:tc>
        <w:tc>
          <w:tcPr>
            <w:tcW w:type="dxa" w:w="4252"/>
            <w:vAlign w:val="top"/>
            <w:tcMar>
              <w:top w:w="28" w:type="dxa"/>
              <w:right w:w="85" w:type="dxa"/>
              <w:bottom w:w="28" w:type="dxa"/>
              <w:left w:w="85" w:type="dxa"/>
            </w:tcMar>
            <w:tcBorders>
              <w:top w:val="nil"/>
              <w:bottom w:val="single" w:sz="8" w:space="0" w:color="000000"/>
            </w:tcBorders>
          </w:tcPr>
          <w:p>
            <w:pPr>
              <w:pStyle w:val="Compact"/>
              <w:spacing w:line="240" w:lineRule="auto" w:after="0" w:before="0"/>
              <w:ind w:left="142"/>
              <w:jc w:val="left"/>
            </w:pPr>
            <w:r>
              <w:rPr>
                <w:rFonts w:ascii="Times New Roman" w:hAnsi="Times New Roman" w:eastAsia="Yu Mincho"/>
                <w:sz w:val="18"/>
              </w:rPr>
              <w:t xml:space="preserve">Dressing-room score 5-7</w:t>
            </w:r>
          </w:p>
        </w:tc>
        <w:tc>
          <w:tcPr>
            <w:tcW w:type="dxa" w:w="1701"/>
            <w:vAlign w:val="top"/>
            <w:tcMar>
              <w:top w:w="28" w:type="dxa"/>
              <w:right w:w="85" w:type="dxa"/>
              <w:bottom w:w="28" w:type="dxa"/>
              <w:left w:w="85" w:type="dxa"/>
            </w:tcMar>
            <w:tcBorders>
              <w:top w:val="nil"/>
              <w:bottom w:val="single" w:sz="8" w:space="0" w:color="000000"/>
            </w:tcBorders>
          </w:tcPr>
          <w:p>
            <w:pPr>
              <w:pStyle w:val="Compact"/>
              <w:spacing w:line="240" w:lineRule="auto" w:after="0" w:before="0"/>
              <w:jc w:val="right"/>
            </w:pPr>
            <w:r>
              <w:rPr>
                <w:rFonts w:ascii="Times New Roman" w:hAnsi="Times New Roman" w:eastAsia="Yu Mincho"/>
                <w:sz w:val="18"/>
              </w:rPr>
              <w:t xml:space="preserve">77 (52.4)</w:t>
            </w:r>
          </w:p>
        </w:tc>
      </w:tr>
    </w:tbl>
    <w:p>
      <w:pPr>
        <w:pStyle w:val="BodyText"/>
        <w:keepLines/>
        <w:spacing w:line="240" w:lineRule="auto" w:before="60" w:after="0"/>
      </w:pPr>
      <w:r>
        <w:rPr>
          <w:rFonts w:ascii="Times New Roman" w:hAnsi="Times New Roman" w:eastAsia="Yu Mincho"/>
          <w:sz w:val="18"/>
        </w:rPr>
        <w:t xml:space="preserve">Values are n (%), with all 147 respondents as the denominator. Coldness scores ranged from 1 (very warm) to 7 (very cold); scores 5-7 were classified as perceived coldness.</w:t>
      </w:r>
    </w:p>
    <w:bookmarkEnd w:id="28"/>
    <w:bookmarkEnd w:id="29"/>
    <w:bookmarkStart w:id="31" w:name="figure-legends"/>
    <w:p>
      <w:pPr>
        <w:pStyle w:val="Heading2"/>
        <w:pageBreakBefore/>
      </w:pPr>
      <w:r>
        <w:rPr>
          <w:rFonts w:ascii="Times New Roman" w:hAnsi="Times New Roman" w:eastAsia="Yu Mincho"/>
          <w:sz w:val="24"/>
        </w:rPr>
        <w:t xml:space="preserve">Figure Legends</w:t>
      </w:r>
    </w:p>
    <w:bookmarkStart w:id="30" w:name="X5b16f371837f14f7d32a43ed5d18d04ada7a77e"/>
    <w:p>
      <w:pPr>
        <w:pStyle w:val="Heading3"/>
      </w:pPr>
      <w:r>
        <w:rPr>
          <w:rFonts w:ascii="Times New Roman" w:hAnsi="Times New Roman" w:eastAsia="Yu Mincho"/>
          <w:sz w:val="24"/>
        </w:rPr>
        <w:t xml:space="preserve">Figure 1. Reasons for non-installation or non-use of a bathroom heater-dryer by perceived bathroom coldness</w:t>
      </w:r>
    </w:p>
    <w:p>
      <w:pPr>
        <w:pStyle w:val="FirstParagraph"/>
      </w:pPr>
      <w:r>
        <w:rPr>
          <w:rFonts w:ascii="Times New Roman" w:hAnsi="Times New Roman" w:eastAsia="Yu Mincho"/>
          <w:sz w:val="24"/>
        </w:rPr>
        <w:t xml:space="preserve">The analysis includes 112 respondents who had not installed or did not use a bathroom heater-dryer. The left and right panels show the coldness 1-4 group (n=50) and the coldness 5-7 group (n=62), respectively, using the same scale and bar style. Reasons were collected as multiple responses; therefore, percentages do not sum to 100%. Cost-related or housing/installation-related constraints comprise reasons 2-5; cost-related reasons comprise reasons 2-3; and housing/installation-related reasons comprise reasons 4-5. Bars show the observed n/N (%) within each group. Confidence intervals are not shown; between-group differences and p values were not calculated.</w:t>
      </w:r>
    </w:p>
    <w:bookmarkEnd w:id="30"/>
    <w:bookmarkEnd w:id="31"/>
    <w:bookmarkStart w:id="36" w:name="figures"/>
    <w:p>
      <w:pPr>
        <w:pStyle w:val="Heading2"/>
        <w:pageBreakBefore/>
      </w:pPr>
      <w:r>
        <w:rPr>
          <w:rFonts w:ascii="Times New Roman" w:hAnsi="Times New Roman" w:eastAsia="Yu Mincho"/>
          <w:sz w:val="24"/>
        </w:rPr>
        <w:t xml:space="preserve">Figures</w:t>
      </w:r>
    </w:p>
    <w:bookmarkStart w:id="35" w:name="figure-1"/>
    <w:p>
      <w:pPr>
        <w:pStyle w:val="Heading3"/>
      </w:pPr>
      <w:r>
        <w:rPr>
          <w:rFonts w:ascii="Times New Roman" w:hAnsi="Times New Roman" w:eastAsia="Yu Mincho"/>
          <w:sz w:val="24"/>
        </w:rPr>
        <w:t xml:space="preserve">Figure 1</w:t>
      </w:r>
    </w:p>
    <w:p>
      <w:pPr>
        <w:pStyle w:val="FirstParagraph"/>
        <w:spacing w:line="240" w:lineRule="auto"/>
      </w:pPr>
      <w:r>
        <w:rPr>
          <w:rFonts w:ascii="Times New Roman" w:hAnsi="Times New Roman" w:eastAsia="Yu Mincho"/>
          <w:sz w:val="24"/>
        </w:rPr>
        <w:drawing>
          <wp:inline>
            <wp:extent cx="5067300" cy="2570543"/>
            <wp:effectExtent b="0" l="0" r="0" t="0"/>
            <wp:docPr descr="deliverables/figures/onki_short_report_figure1_reasons_by_bathroom_coldness_en.png" title="" id="33" name="Picture"/>
            <a:graphic>
              <a:graphicData uri="http://schemas.openxmlformats.org/drawingml/2006/picture">
                <pic:pic>
                  <pic:nvPicPr>
                    <pic:cNvPr descr="deliverables/figures/onki_short_report_figure1_reasons_by_bathroom_coldness_en.png" id="34" name="Picture"/>
                    <pic:cNvPicPr>
                      <a:picLocks noChangeArrowheads="1" noChangeAspect="1"/>
                    </pic:cNvPicPr>
                  </pic:nvPicPr>
                  <pic:blipFill>
                    <a:blip r:embed="rId32"/>
                    <a:stretch>
                      <a:fillRect/>
                    </a:stretch>
                  </pic:blipFill>
                  <pic:spPr bwMode="auto">
                    <a:xfrm>
                      <a:off x="0" y="0"/>
                      <a:ext cx="5067300" cy="2570543"/>
                    </a:xfrm>
                    <a:prstGeom prst="rect">
                      <a:avLst/>
                    </a:prstGeom>
                    <a:noFill/>
                    <a:ln w="9525">
                      <a:noFill/>
                      <a:headEnd/>
                      <a:tailEnd/>
                    </a:ln>
                  </pic:spPr>
                </pic:pic>
              </a:graphicData>
            </a:graphic>
          </wp:inline>
        </w:drawing>
      </w:r>
      <w:r>
        <w:rPr>
          <w:rFonts w:ascii="Times New Roman" w:hAnsi="Times New Roman" w:eastAsia="Yu Mincho"/>
          <w:sz w:val="24"/>
        </w:rPr>
        <w:t xml:space="preserve"> </w:t>
      </w:r>
    </w:p>
    <w:bookmarkEnd w:id="35"/>
    <w:bookmarkEnd w:id="36"/>
    <w:bookmarkEnd w:id="37"/>
    <w:sectPr>
      <w:footnotePr>
        <w:numRestart w:val="eachSect"/>
      </w:footnotePr>
      <w:pgSz w:w="11906" w:h="16838"/>
      <w:pgMar w:top="1417" w:bottom="1417"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Rule="exact" w:line="430" w:after="0"/>
    </w:pPr>
    <w:rPr>
      <w:rFonts w:ascii="Times New Roman" w:hAnsi="Times New Roman" w:eastAsia="Yu Mincho"/>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Yu Mincho"/>
      <w:sz w:val="3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Yu Mincho"/>
      <w:color w:themeColor="accent1" w:themeShade="BF" w:val="0F4761"/>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Yu Mincho"/>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Yu Mincho"/>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2026-08-11T06:48:10Z</dcterms:created>
  <dcterms:modified xsi:type="dcterms:W3CDTF">2026-08-11T06:48:10Z</dcterms:modified>
</cp:coreProperties>
</file>

<file path=docProps/custom.xml><?xml version="1.0" encoding="utf-8"?>
<Properties xmlns="http://schemas.openxmlformats.org/officeDocument/2006/custom-properties" xmlns:vt="http://schemas.openxmlformats.org/officeDocument/2006/docPropsVTypes"/>
</file>