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09DE9" w14:textId="77777777" w:rsidR="00000000" w:rsidRDefault="00D212E2">
      <w:pPr>
        <w:rPr>
          <w:rFonts w:eastAsia="Times New Roman"/>
          <w:lang w:val="uz-Latn-UZ"/>
        </w:rPr>
      </w:pPr>
      <w:r>
        <w:rPr>
          <w:rFonts w:ascii="Tahoma" w:eastAsia="Times New Roman" w:hAnsi="Tahoma" w:cs="Tahoma"/>
          <w:lang w:val="uz-Latn-UZ"/>
        </w:rPr>
        <w:t>﻿</w:t>
      </w:r>
    </w:p>
    <w:p w14:paraId="3366AE64" w14:textId="77777777" w:rsidR="00000000" w:rsidRDefault="00D212E2">
      <w:pPr>
        <w:shd w:val="clear" w:color="auto" w:fill="FFFFFF"/>
        <w:jc w:val="center"/>
        <w:divId w:val="633876176"/>
        <w:rPr>
          <w:rFonts w:eastAsia="Times New Roman"/>
          <w:caps/>
          <w:color w:val="000080"/>
          <w:lang w:val="uz-Latn-UZ"/>
        </w:rPr>
      </w:pPr>
      <w:r>
        <w:rPr>
          <w:rFonts w:eastAsia="Times New Roman"/>
          <w:caps/>
          <w:color w:val="000080"/>
          <w:lang w:val="uz-Latn-UZ"/>
        </w:rPr>
        <w:t>Oʻzbekiston Respublikasi Vazirlar Mahkamasining</w:t>
      </w:r>
    </w:p>
    <w:p w14:paraId="053CF565" w14:textId="77777777" w:rsidR="00000000" w:rsidRDefault="00D212E2">
      <w:pPr>
        <w:shd w:val="clear" w:color="auto" w:fill="FFFFFF"/>
        <w:jc w:val="center"/>
        <w:divId w:val="2066371978"/>
        <w:rPr>
          <w:rFonts w:eastAsia="Times New Roman"/>
          <w:caps/>
          <w:color w:val="000080"/>
          <w:lang w:val="uz-Latn-UZ"/>
        </w:rPr>
      </w:pPr>
      <w:r>
        <w:rPr>
          <w:rFonts w:eastAsia="Times New Roman"/>
          <w:caps/>
          <w:color w:val="000080"/>
          <w:lang w:val="uz-Latn-UZ"/>
        </w:rPr>
        <w:t>qarori</w:t>
      </w:r>
    </w:p>
    <w:p w14:paraId="0E9EC69D" w14:textId="77777777" w:rsidR="00000000" w:rsidRDefault="00D212E2">
      <w:pPr>
        <w:shd w:val="clear" w:color="auto" w:fill="FFFFFF"/>
        <w:jc w:val="center"/>
        <w:divId w:val="831486973"/>
        <w:rPr>
          <w:rFonts w:eastAsia="Times New Roman"/>
          <w:b/>
          <w:bCs/>
          <w:caps/>
          <w:color w:val="000080"/>
          <w:lang w:val="uz-Latn-UZ"/>
        </w:rPr>
      </w:pPr>
      <w:r>
        <w:rPr>
          <w:rFonts w:eastAsia="Times New Roman"/>
          <w:b/>
          <w:bCs/>
          <w:caps/>
          <w:color w:val="000080"/>
          <w:lang w:val="uz-Latn-UZ"/>
        </w:rPr>
        <w:t>Jismoniy shaxslar tomonidan Oʻzbekiston Respublikasi naqd valyutasi va naqd chet el valyutasini Oʻzbekiston Respublikasining bojxona chegarasi orqali olib kirish va olib chiqib ketish qoidalarini tasdiqlash haqida</w:t>
      </w:r>
    </w:p>
    <w:p w14:paraId="0EE14AA8" w14:textId="77777777" w:rsidR="00000000" w:rsidRDefault="00D212E2">
      <w:pPr>
        <w:shd w:val="clear" w:color="auto" w:fill="FFFFFF"/>
        <w:jc w:val="center"/>
        <w:divId w:val="548224694"/>
        <w:rPr>
          <w:rFonts w:eastAsia="Times New Roman"/>
          <w:color w:val="000000"/>
          <w:sz w:val="22"/>
          <w:szCs w:val="22"/>
          <w:lang w:val="uz-Latn-UZ"/>
        </w:rPr>
      </w:pPr>
      <w:r>
        <w:rPr>
          <w:rFonts w:eastAsia="Times New Roman"/>
          <w:color w:val="000000"/>
          <w:sz w:val="22"/>
          <w:szCs w:val="22"/>
          <w:lang w:val="uz-Latn-UZ"/>
        </w:rPr>
        <w:t>Toshkent sh.,</w:t>
      </w:r>
    </w:p>
    <w:p w14:paraId="73F9BEE8" w14:textId="77777777" w:rsidR="00000000" w:rsidRDefault="00D212E2">
      <w:pPr>
        <w:shd w:val="clear" w:color="auto" w:fill="FFFFFF"/>
        <w:jc w:val="center"/>
        <w:divId w:val="20979167"/>
        <w:rPr>
          <w:rFonts w:eastAsia="Times New Roman"/>
          <w:color w:val="000000"/>
          <w:sz w:val="22"/>
          <w:szCs w:val="22"/>
          <w:lang w:val="uz-Latn-UZ"/>
        </w:rPr>
      </w:pPr>
      <w:r>
        <w:rPr>
          <w:rFonts w:eastAsia="Times New Roman"/>
          <w:color w:val="000000"/>
          <w:sz w:val="22"/>
          <w:szCs w:val="22"/>
          <w:lang w:val="uz-Latn-UZ"/>
        </w:rPr>
        <w:t>2018-yil 30-yanvar,</w:t>
      </w:r>
    </w:p>
    <w:p w14:paraId="4F1DCD1B" w14:textId="77777777" w:rsidR="00000000" w:rsidRDefault="00D212E2">
      <w:pPr>
        <w:shd w:val="clear" w:color="auto" w:fill="FFFFFF"/>
        <w:jc w:val="center"/>
        <w:divId w:val="698122102"/>
        <w:rPr>
          <w:rFonts w:eastAsia="Times New Roman"/>
          <w:color w:val="000000"/>
          <w:sz w:val="22"/>
          <w:szCs w:val="22"/>
          <w:lang w:val="uz-Latn-UZ"/>
        </w:rPr>
      </w:pPr>
      <w:r>
        <w:rPr>
          <w:rFonts w:eastAsia="Times New Roman"/>
          <w:color w:val="000000"/>
          <w:sz w:val="22"/>
          <w:szCs w:val="22"/>
          <w:lang w:val="uz-Latn-UZ"/>
        </w:rPr>
        <w:t>66-son</w:t>
      </w:r>
    </w:p>
    <w:p w14:paraId="45526458" w14:textId="77777777" w:rsidR="00000000" w:rsidRDefault="00D212E2">
      <w:pPr>
        <w:shd w:val="clear" w:color="auto" w:fill="FFFFFF"/>
        <w:jc w:val="center"/>
        <w:divId w:val="553275690"/>
        <w:rPr>
          <w:rFonts w:eastAsia="Times New Roman"/>
          <w:color w:val="000080"/>
          <w:sz w:val="22"/>
          <w:szCs w:val="22"/>
          <w:lang w:val="uz-Latn-UZ"/>
        </w:rPr>
      </w:pPr>
      <w:r>
        <w:rPr>
          <w:rFonts w:eastAsia="Times New Roman"/>
          <w:color w:val="000080"/>
          <w:sz w:val="22"/>
          <w:szCs w:val="22"/>
          <w:lang w:val="uz-Latn-UZ"/>
        </w:rPr>
        <w:t xml:space="preserve">Vazirlar Mahkamasining 2018-yil 30-yanvardagi 66-son </w:t>
      </w:r>
      <w:hyperlink r:id="rId4" w:history="1">
        <w:r>
          <w:rPr>
            <w:rFonts w:eastAsia="Times New Roman"/>
            <w:color w:val="008080"/>
            <w:sz w:val="22"/>
            <w:szCs w:val="22"/>
            <w:lang w:val="uz-Latn-UZ"/>
          </w:rPr>
          <w:t xml:space="preserve">qaroriga </w:t>
        </w:r>
      </w:hyperlink>
      <w:r>
        <w:rPr>
          <w:rFonts w:eastAsia="Times New Roman"/>
          <w:color w:val="000080"/>
          <w:sz w:val="22"/>
          <w:szCs w:val="22"/>
          <w:lang w:val="uz-Latn-UZ"/>
        </w:rPr>
        <w:br/>
        <w:t xml:space="preserve">1-ILOVA </w:t>
      </w:r>
    </w:p>
    <w:p w14:paraId="04E04E27" w14:textId="77777777" w:rsidR="00000000" w:rsidRDefault="00D212E2">
      <w:pPr>
        <w:shd w:val="clear" w:color="auto" w:fill="FFFFFF"/>
        <w:jc w:val="center"/>
        <w:divId w:val="1497064746"/>
        <w:rPr>
          <w:rFonts w:eastAsia="Times New Roman"/>
          <w:b/>
          <w:bCs/>
          <w:color w:val="000080"/>
          <w:lang w:val="uz-Latn-UZ"/>
        </w:rPr>
      </w:pPr>
      <w:r>
        <w:rPr>
          <w:rFonts w:eastAsia="Times New Roman"/>
          <w:b/>
          <w:bCs/>
          <w:color w:val="000080"/>
          <w:lang w:val="uz-Latn-UZ"/>
        </w:rPr>
        <w:t>Jismoniy shaxslar tomonidan Oʻzbekiston Respublikasi naqd valyutasi va naqd chet el valyutasini Oʻzbekiston Respublikasining bojxona chegar</w:t>
      </w:r>
      <w:r>
        <w:rPr>
          <w:rFonts w:eastAsia="Times New Roman"/>
          <w:b/>
          <w:bCs/>
          <w:color w:val="000080"/>
          <w:lang w:val="uz-Latn-UZ"/>
        </w:rPr>
        <w:t xml:space="preserve">asi orqali olib kirish va olib chiqib ketish </w:t>
      </w:r>
    </w:p>
    <w:p w14:paraId="0C284E45" w14:textId="77777777" w:rsidR="00000000" w:rsidRDefault="00D212E2">
      <w:pPr>
        <w:shd w:val="clear" w:color="auto" w:fill="FFFFFF"/>
        <w:jc w:val="center"/>
        <w:divId w:val="864252783"/>
        <w:rPr>
          <w:rFonts w:eastAsia="Times New Roman"/>
          <w:b/>
          <w:bCs/>
          <w:color w:val="000080"/>
          <w:lang w:val="uz-Latn-UZ"/>
        </w:rPr>
      </w:pPr>
      <w:r>
        <w:rPr>
          <w:rFonts w:eastAsia="Times New Roman"/>
          <w:b/>
          <w:bCs/>
          <w:color w:val="000080"/>
          <w:lang w:val="uz-Latn-UZ"/>
        </w:rPr>
        <w:t>1-bob. Umumiy qoidalar</w:t>
      </w:r>
    </w:p>
    <w:p w14:paraId="014F5994" w14:textId="77777777" w:rsidR="00000000" w:rsidRDefault="00D212E2">
      <w:pPr>
        <w:shd w:val="clear" w:color="auto" w:fill="FFFFFF"/>
        <w:ind w:firstLine="851"/>
        <w:jc w:val="both"/>
        <w:divId w:val="813328075"/>
        <w:rPr>
          <w:rFonts w:eastAsia="Times New Roman"/>
          <w:color w:val="000000"/>
          <w:lang w:val="uz-Latn-UZ"/>
        </w:rPr>
      </w:pPr>
      <w:r>
        <w:rPr>
          <w:rFonts w:eastAsia="Times New Roman"/>
          <w:color w:val="000000"/>
          <w:lang w:val="uz-Latn-UZ"/>
        </w:rPr>
        <w:t xml:space="preserve">1. Mazkur Qoidalar Oʻzbekiston Respublikasining “Valyutani tartibga solish toʻgʻrisida”gi </w:t>
      </w:r>
      <w:hyperlink r:id="rId5" w:history="1">
        <w:r>
          <w:rPr>
            <w:rFonts w:eastAsia="Times New Roman"/>
            <w:color w:val="008080"/>
            <w:lang w:val="uz-Latn-UZ"/>
          </w:rPr>
          <w:t xml:space="preserve">Qonuniga </w:t>
        </w:r>
      </w:hyperlink>
      <w:r>
        <w:rPr>
          <w:rFonts w:eastAsia="Times New Roman"/>
          <w:color w:val="000000"/>
          <w:lang w:val="uz-Latn-UZ"/>
        </w:rPr>
        <w:t>muvofiq jismoniy shaxslar (Oʻzbekiston Respublikasining rezidentlari va norezidentlari) tomonidan Oʻzbekiston Respublikasining naqd valyutasini va naqd chet el valyutasini Oʻzbekiston Respublikasiga olib kirish va olib chiqib ketish tartibini belgilaydi.</w:t>
      </w:r>
    </w:p>
    <w:p w14:paraId="268E812F" w14:textId="77777777" w:rsidR="00000000" w:rsidRDefault="00D212E2">
      <w:pPr>
        <w:shd w:val="clear" w:color="auto" w:fill="FFFFFF"/>
        <w:ind w:firstLine="851"/>
        <w:jc w:val="both"/>
        <w:divId w:val="1510831703"/>
        <w:rPr>
          <w:rFonts w:eastAsia="Times New Roman"/>
          <w:color w:val="000000"/>
          <w:lang w:val="uz-Latn-UZ"/>
        </w:rPr>
      </w:pPr>
      <w:r>
        <w:rPr>
          <w:rFonts w:eastAsia="Times New Roman"/>
          <w:color w:val="000000"/>
          <w:lang w:val="uz-Latn-UZ"/>
        </w:rPr>
        <w:t>Ushbu Qoidalar diplomatik daxlsizlikka ega boʻlgan shaxslarga nisbatan tatbiq etilmaydi.</w:t>
      </w:r>
    </w:p>
    <w:p w14:paraId="43FE9EEC" w14:textId="77777777" w:rsidR="00000000" w:rsidRDefault="00D212E2">
      <w:pPr>
        <w:shd w:val="clear" w:color="auto" w:fill="FFFFFF"/>
        <w:ind w:firstLine="851"/>
        <w:jc w:val="both"/>
        <w:divId w:val="482044462"/>
        <w:rPr>
          <w:rFonts w:eastAsia="Times New Roman"/>
          <w:color w:val="000000"/>
          <w:lang w:val="uz-Latn-UZ"/>
        </w:rPr>
      </w:pPr>
      <w:r>
        <w:rPr>
          <w:rFonts w:eastAsia="Times New Roman"/>
          <w:color w:val="000000"/>
          <w:lang w:val="uz-Latn-UZ"/>
        </w:rPr>
        <w:t>2. Jismoniy shaxslar tomonidan olib kirilayotgan va olib chiqib ketilayotgan 100 000 000 (yuz million) soʻm ekvivalentidan ortiq miqdordagi Oʻzbekiston Respublikasining naqd valyutasi va (yoki) naqd chet el valyutasi (keyingi oʻrinlarda — naqd valyuta mabl</w:t>
      </w:r>
      <w:r>
        <w:rPr>
          <w:rFonts w:eastAsia="Times New Roman"/>
          <w:color w:val="000000"/>
          <w:lang w:val="uz-Latn-UZ"/>
        </w:rPr>
        <w:t xml:space="preserve">agʻlari) yoʻlovchi bojxona deklaratsiyasini toʻldirish va bojxona organi xodimiga taqdim etish yoʻli bilan bojxona nazoratidan oʻtkaziladi. </w:t>
      </w:r>
    </w:p>
    <w:p w14:paraId="632764A9" w14:textId="77777777" w:rsidR="00000000" w:rsidRDefault="00D212E2">
      <w:pPr>
        <w:shd w:val="clear" w:color="auto" w:fill="FFFFFF"/>
        <w:ind w:firstLine="851"/>
        <w:jc w:val="both"/>
        <w:divId w:val="1103451036"/>
        <w:rPr>
          <w:rFonts w:eastAsia="Times New Roman"/>
          <w:color w:val="000000"/>
          <w:lang w:val="uz-Latn-UZ"/>
        </w:rPr>
      </w:pPr>
      <w:r>
        <w:rPr>
          <w:rFonts w:eastAsia="Times New Roman"/>
          <w:color w:val="000000"/>
          <w:lang w:val="uz-Latn-UZ"/>
        </w:rPr>
        <w:t>Yoʻlovchi bojxona deklaratsiyasi toʻldirilganda</w:t>
      </w:r>
      <w:r>
        <w:rPr>
          <w:rFonts w:eastAsia="Times New Roman"/>
          <w:color w:val="000000"/>
          <w:lang w:val="uz-Latn-UZ"/>
        </w:rPr>
        <w:t xml:space="preserve">, olib kirilayotgan yoki olib chiqib ketilayotgan mablagʻlarning jami summasi koʻrsatiladi. </w:t>
      </w:r>
    </w:p>
    <w:p w14:paraId="2E2CE36B" w14:textId="77777777" w:rsidR="00000000" w:rsidRDefault="00D212E2">
      <w:pPr>
        <w:shd w:val="clear" w:color="auto" w:fill="FFFFFF"/>
        <w:ind w:firstLine="851"/>
        <w:jc w:val="both"/>
        <w:divId w:val="985159557"/>
        <w:rPr>
          <w:rFonts w:eastAsia="Times New Roman"/>
          <w:color w:val="000000"/>
          <w:lang w:val="uz-Latn-UZ"/>
        </w:rPr>
      </w:pPr>
      <w:r>
        <w:rPr>
          <w:rFonts w:eastAsia="Times New Roman"/>
          <w:color w:val="000000"/>
          <w:lang w:val="uz-Latn-UZ"/>
        </w:rPr>
        <w:t>3. Jismoniy shaxslar tomonidan olib kirilayotgan va olib chiqib ketilayotgan 100 000 000 (yuz m</w:t>
      </w:r>
      <w:r>
        <w:rPr>
          <w:rFonts w:eastAsia="Times New Roman"/>
          <w:color w:val="000000"/>
          <w:lang w:val="uz-Latn-UZ"/>
        </w:rPr>
        <w:t>illion) soʻm ekvivalentiga teng yoki undan oshmaydigan miqdordagi naqd valyuta mablagʻlari ham deklaratsiya qilinishi mumkin.</w:t>
      </w:r>
    </w:p>
    <w:p w14:paraId="7CF98FF6" w14:textId="77777777" w:rsidR="00000000" w:rsidRDefault="00D212E2">
      <w:pPr>
        <w:shd w:val="clear" w:color="auto" w:fill="FFFFFF"/>
        <w:jc w:val="center"/>
        <w:divId w:val="269708369"/>
        <w:rPr>
          <w:rFonts w:eastAsia="Times New Roman"/>
          <w:b/>
          <w:bCs/>
          <w:color w:val="000080"/>
          <w:lang w:val="uz-Latn-UZ"/>
        </w:rPr>
      </w:pPr>
      <w:r>
        <w:rPr>
          <w:rFonts w:eastAsia="Times New Roman"/>
          <w:b/>
          <w:bCs/>
          <w:color w:val="000080"/>
          <w:lang w:val="uz-Latn-UZ"/>
        </w:rPr>
        <w:t>2-bob. Naqd valyuta mablagʻlarini olib kirish</w:t>
      </w:r>
    </w:p>
    <w:p w14:paraId="73C2F513" w14:textId="77777777" w:rsidR="00000000" w:rsidRDefault="00D212E2">
      <w:pPr>
        <w:shd w:val="clear" w:color="auto" w:fill="FFFFFF"/>
        <w:ind w:firstLine="851"/>
        <w:jc w:val="both"/>
        <w:divId w:val="1597903919"/>
        <w:rPr>
          <w:rFonts w:eastAsia="Times New Roman"/>
          <w:color w:val="000000"/>
          <w:lang w:val="uz-Latn-UZ"/>
        </w:rPr>
      </w:pPr>
      <w:r>
        <w:rPr>
          <w:rFonts w:eastAsia="Times New Roman"/>
          <w:color w:val="000000"/>
          <w:lang w:val="uz-Latn-UZ"/>
        </w:rPr>
        <w:t>4. Jismoniy shaxslar tomonidan Oʻzbekiston Respublikasi hududiga bojxona nazorati qoidalariga rioya qilgan holda, naqd valyuta mablagʻlarini olib kirish</w:t>
      </w:r>
      <w:r>
        <w:rPr>
          <w:rFonts w:eastAsia="Times New Roman"/>
          <w:color w:val="000000"/>
          <w:lang w:val="uz-Latn-UZ"/>
        </w:rPr>
        <w:t xml:space="preserve"> cheklanmagan miqdorda amalga oshiriladi.</w:t>
      </w:r>
    </w:p>
    <w:p w14:paraId="66BCFDD5" w14:textId="77777777" w:rsidR="00000000" w:rsidRDefault="00D212E2">
      <w:pPr>
        <w:shd w:val="clear" w:color="auto" w:fill="FFFFFF"/>
        <w:jc w:val="center"/>
        <w:divId w:val="1859001156"/>
        <w:rPr>
          <w:rFonts w:eastAsia="Times New Roman"/>
          <w:b/>
          <w:bCs/>
          <w:color w:val="000080"/>
          <w:lang w:val="uz-Latn-UZ"/>
        </w:rPr>
      </w:pPr>
      <w:r>
        <w:rPr>
          <w:rFonts w:eastAsia="Times New Roman"/>
          <w:b/>
          <w:bCs/>
          <w:color w:val="000080"/>
          <w:lang w:val="uz-Latn-UZ"/>
        </w:rPr>
        <w:t>3-bob. Naqd valyuta mablagʻlarini olib chiqib ketish</w:t>
      </w:r>
    </w:p>
    <w:p w14:paraId="1900CFA0" w14:textId="77777777" w:rsidR="00000000" w:rsidRDefault="00D212E2">
      <w:pPr>
        <w:shd w:val="clear" w:color="auto" w:fill="FFFFFF"/>
        <w:ind w:firstLine="851"/>
        <w:jc w:val="both"/>
        <w:divId w:val="1393498845"/>
        <w:rPr>
          <w:rFonts w:eastAsia="Times New Roman"/>
          <w:color w:val="000000"/>
          <w:lang w:val="uz-Latn-UZ"/>
        </w:rPr>
      </w:pPr>
      <w:r>
        <w:rPr>
          <w:rFonts w:eastAsia="Times New Roman"/>
          <w:color w:val="000000"/>
          <w:lang w:val="uz-Latn-UZ"/>
        </w:rPr>
        <w:t>5. Jismoniy shaxslar tomonidan ekvivalenti 100 000 00</w:t>
      </w:r>
      <w:r>
        <w:rPr>
          <w:rFonts w:eastAsia="Times New Roman"/>
          <w:color w:val="000000"/>
          <w:lang w:val="uz-Latn-UZ"/>
        </w:rPr>
        <w:t xml:space="preserve">0 (yuz million) soʻmga teng yoki undan oshmaydigan miqdordagi naqd valyuta mablagʻlarini Oʻzbekiston Respublikasidan tashqariga bojxona nazorati qoidalariga rioya etilgan holda cheklovlarsiz olib chiqiladi. </w:t>
      </w:r>
    </w:p>
    <w:p w14:paraId="4F29D9DB" w14:textId="77777777" w:rsidR="00000000" w:rsidRDefault="00D212E2">
      <w:pPr>
        <w:shd w:val="clear" w:color="auto" w:fill="FFFFFF"/>
        <w:ind w:firstLine="851"/>
        <w:jc w:val="both"/>
        <w:divId w:val="768231278"/>
        <w:rPr>
          <w:rFonts w:eastAsia="Times New Roman"/>
          <w:color w:val="000000"/>
          <w:lang w:val="uz-Latn-UZ"/>
        </w:rPr>
      </w:pPr>
      <w:r>
        <w:rPr>
          <w:rFonts w:eastAsia="Times New Roman"/>
          <w:color w:val="000000"/>
          <w:lang w:val="uz-Latn-UZ"/>
        </w:rPr>
        <w:t>Belgilangan summadan ortiq miqdordagi naqd valyu</w:t>
      </w:r>
      <w:r>
        <w:rPr>
          <w:rFonts w:eastAsia="Times New Roman"/>
          <w:color w:val="000000"/>
          <w:lang w:val="uz-Latn-UZ"/>
        </w:rPr>
        <w:t xml:space="preserve">ta mablagʻlarining Oʻzbekiston Respublikasi hududidan tashqariga olib chiqilishiga yoʻl qoʻyilmaydi, ushbu qoidalarning </w:t>
      </w:r>
      <w:hyperlink r:id="rId6" w:anchor="-4949024" w:history="1">
        <w:r>
          <w:rPr>
            <w:rFonts w:eastAsia="Times New Roman"/>
            <w:color w:val="008080"/>
            <w:lang w:val="uz-Latn-UZ"/>
          </w:rPr>
          <w:t xml:space="preserve">6-bandida </w:t>
        </w:r>
      </w:hyperlink>
      <w:r>
        <w:rPr>
          <w:rFonts w:eastAsia="Times New Roman"/>
          <w:color w:val="000000"/>
          <w:lang w:val="uz-Latn-UZ"/>
        </w:rPr>
        <w:t xml:space="preserve">belgilangan holatlar bundan mustasno. </w:t>
      </w:r>
    </w:p>
    <w:p w14:paraId="38AC5DA1" w14:textId="77777777" w:rsidR="00000000" w:rsidRDefault="00D212E2">
      <w:pPr>
        <w:shd w:val="clear" w:color="auto" w:fill="FFFFFF"/>
        <w:ind w:firstLine="851"/>
        <w:jc w:val="both"/>
        <w:divId w:val="1248810076"/>
        <w:rPr>
          <w:rFonts w:eastAsia="Times New Roman"/>
          <w:color w:val="000000"/>
          <w:lang w:val="uz-Latn-UZ"/>
        </w:rPr>
      </w:pPr>
      <w:r>
        <w:rPr>
          <w:rFonts w:eastAsia="Times New Roman"/>
          <w:color w:val="000000"/>
          <w:lang w:val="uz-Latn-UZ"/>
        </w:rPr>
        <w:t>6. Jismoniy shaxslar tomonidan ekvivalenti 100 000 000 (yuz million) soʻmdan ortiq miqdordagi naqd valyuta mablagʻlarini Oʻzbekiston Respublikasidan tashqariga olib chiqishga quyidagi holatlarda yoʻl qoʻyiladi:</w:t>
      </w:r>
    </w:p>
    <w:p w14:paraId="4790BC5C" w14:textId="77777777" w:rsidR="00000000" w:rsidRDefault="00D212E2">
      <w:pPr>
        <w:shd w:val="clear" w:color="auto" w:fill="FFFFFF"/>
        <w:ind w:firstLine="851"/>
        <w:jc w:val="both"/>
        <w:divId w:val="2055695406"/>
        <w:rPr>
          <w:rFonts w:eastAsia="Times New Roman"/>
          <w:color w:val="000000"/>
          <w:lang w:val="uz-Latn-UZ"/>
        </w:rPr>
      </w:pPr>
      <w:r>
        <w:rPr>
          <w:rFonts w:eastAsia="Times New Roman"/>
          <w:color w:val="000000"/>
          <w:lang w:val="uz-Latn-UZ"/>
        </w:rPr>
        <w:t>a) rezidentlar tomonidan — xorijiy davlatlarga xizmat safariga ketayotgan Hukumat delegatsiyasi aʼzolari uchun Vazirlar Mahkamasining farmoyishi asosida;</w:t>
      </w:r>
    </w:p>
    <w:p w14:paraId="1696EB38" w14:textId="77777777" w:rsidR="00000000" w:rsidRDefault="00D212E2">
      <w:pPr>
        <w:shd w:val="clear" w:color="auto" w:fill="FFFFFF"/>
        <w:ind w:firstLine="851"/>
        <w:jc w:val="both"/>
        <w:divId w:val="1323923855"/>
        <w:rPr>
          <w:rFonts w:eastAsia="Times New Roman"/>
          <w:color w:val="000000"/>
          <w:lang w:val="uz-Latn-UZ"/>
        </w:rPr>
      </w:pPr>
      <w:r>
        <w:rPr>
          <w:rFonts w:eastAsia="Times New Roman"/>
          <w:color w:val="000000"/>
          <w:lang w:val="uz-Latn-UZ"/>
        </w:rPr>
        <w:t>b) norezidentlar tomonidan:</w:t>
      </w:r>
    </w:p>
    <w:p w14:paraId="36CA75FF" w14:textId="77777777" w:rsidR="00000000" w:rsidRDefault="00D212E2">
      <w:pPr>
        <w:shd w:val="clear" w:color="auto" w:fill="FFFFFF"/>
        <w:ind w:firstLine="851"/>
        <w:jc w:val="both"/>
        <w:divId w:val="249965862"/>
        <w:rPr>
          <w:rFonts w:eastAsia="Times New Roman"/>
          <w:color w:val="000000"/>
          <w:lang w:val="uz-Latn-UZ"/>
        </w:rPr>
      </w:pPr>
      <w:r>
        <w:rPr>
          <w:rFonts w:eastAsia="Times New Roman"/>
          <w:color w:val="000000"/>
          <w:lang w:val="uz-Latn-UZ"/>
        </w:rPr>
        <w:lastRenderedPageBreak/>
        <w:t>Oʻzbekiston Respublikasiga kirish chogʻida rasmiylashtirilgan yoʻlovchi bo</w:t>
      </w:r>
      <w:r>
        <w:rPr>
          <w:rFonts w:eastAsia="Times New Roman"/>
          <w:color w:val="000000"/>
          <w:lang w:val="uz-Latn-UZ"/>
        </w:rPr>
        <w:t>jxona deklaratsiyasi asosida deklaratsiya qilingan mablagʻlar doirasida. Bunda norezident jismoniy shaxslar tomonidan Oʻzbekiston Respublikasiga kirish chogʻida toʻldirilgan yoʻlovchi bojxona deklaratsiyasida koʻrsatilgan naqd valyuta mablagʻlarining respu</w:t>
      </w:r>
      <w:r>
        <w:rPr>
          <w:rFonts w:eastAsia="Times New Roman"/>
          <w:color w:val="000000"/>
          <w:lang w:val="uz-Latn-UZ"/>
        </w:rPr>
        <w:t>blika hududida qonunchilik hujjatlarida belgilangan talablarga muvofiq foydalanilmagan qoldiq miqdori doirasidagi naqd valyuta mablagʻlarini Oʻzbekiston Respublikasi hududidan olib chiqishga yoʻl qoʻyiladi;</w:t>
      </w:r>
    </w:p>
    <w:p w14:paraId="101D8963" w14:textId="77777777" w:rsidR="00000000" w:rsidRDefault="00D212E2">
      <w:pPr>
        <w:shd w:val="clear" w:color="auto" w:fill="FFFFFF"/>
        <w:ind w:firstLine="851"/>
        <w:jc w:val="both"/>
        <w:divId w:val="556817484"/>
        <w:rPr>
          <w:rFonts w:eastAsia="Times New Roman"/>
          <w:color w:val="000000"/>
          <w:lang w:val="uz-Latn-UZ"/>
        </w:rPr>
      </w:pPr>
      <w:r>
        <w:rPr>
          <w:rFonts w:eastAsia="Times New Roman"/>
          <w:color w:val="000000"/>
          <w:lang w:val="uz-Latn-UZ"/>
        </w:rPr>
        <w:t>respublikada belgilangan tartibda tashkil qilinga</w:t>
      </w:r>
      <w:r>
        <w:rPr>
          <w:rFonts w:eastAsia="Times New Roman"/>
          <w:color w:val="000000"/>
          <w:lang w:val="uz-Latn-UZ"/>
        </w:rPr>
        <w:t>n xalqaro musobaqalar (tanlovlar, olimpiadalar) sovrindorlari yoki qatnashchilari tomonidan mablagʻlarning qonuniyligini tasdiqlovchi hujjatlar asosida;</w:t>
      </w:r>
    </w:p>
    <w:p w14:paraId="582C54F5" w14:textId="77777777" w:rsidR="00000000" w:rsidRDefault="00D212E2">
      <w:pPr>
        <w:shd w:val="clear" w:color="auto" w:fill="FFFFFF"/>
        <w:ind w:firstLine="851"/>
        <w:jc w:val="both"/>
        <w:divId w:val="1761104152"/>
        <w:rPr>
          <w:rFonts w:eastAsia="Times New Roman"/>
          <w:color w:val="000000"/>
          <w:lang w:val="uz-Latn-UZ"/>
        </w:rPr>
      </w:pPr>
      <w:r>
        <w:rPr>
          <w:rFonts w:eastAsia="Times New Roman"/>
          <w:color w:val="000000"/>
          <w:lang w:val="uz-Latn-UZ"/>
        </w:rPr>
        <w:t xml:space="preserve">Oʻzbekiston Respublikasiga kirish chogʻida rasmiylashtirilgan yoʻlovchi bojxona deklaratsiyasi asosida </w:t>
      </w:r>
      <w:r>
        <w:rPr>
          <w:rFonts w:eastAsia="Times New Roman"/>
          <w:color w:val="000000"/>
          <w:lang w:val="uz-Latn-UZ"/>
        </w:rPr>
        <w:t>olib kirilgan zargarlik buyumlarini “Termiz xalqaro savdo markazi” erkin savdo zonasi hududida sotishdan olingan naqd chet el valyutasi doirasida. Bunda respublika hududiga olib kirilgan zargarlik buyumlarining nomi, oʻlchov birligi va miqdori koʻrsatilgan</w:t>
      </w:r>
      <w:r>
        <w:rPr>
          <w:rFonts w:eastAsia="Times New Roman"/>
          <w:color w:val="000000"/>
          <w:lang w:val="uz-Latn-UZ"/>
        </w:rPr>
        <w:t xml:space="preserve"> yoʻlovchi bojxona deklaratsiyasi hamda ushbu buyumlarni sotib olgan yuridik shaxs (sotib olish punkti) tomonidan tasdiqlangan hujjat (yuk xati) naqd chet el valyutasini olib chiqish uchun asos boʻladi.</w:t>
      </w:r>
    </w:p>
    <w:p w14:paraId="7BC48D15" w14:textId="77777777" w:rsidR="00000000" w:rsidRDefault="00D212E2">
      <w:pPr>
        <w:shd w:val="clear" w:color="auto" w:fill="FFFFFF"/>
        <w:ind w:firstLine="851"/>
        <w:jc w:val="both"/>
        <w:divId w:val="1664581031"/>
        <w:rPr>
          <w:rFonts w:eastAsia="Times New Roman"/>
          <w:color w:val="000000"/>
          <w:lang w:val="uz-Latn-UZ"/>
        </w:rPr>
      </w:pPr>
      <w:r>
        <w:rPr>
          <w:rFonts w:eastAsia="Times New Roman"/>
          <w:color w:val="000000"/>
          <w:lang w:val="uz-Latn-UZ"/>
        </w:rPr>
        <w:t>7. Ekvivalenti 100 000 000 (yuz million) soʻmdan</w:t>
      </w:r>
      <w:r>
        <w:rPr>
          <w:rFonts w:eastAsia="Times New Roman"/>
          <w:color w:val="000000"/>
          <w:lang w:val="uz-Latn-UZ"/>
        </w:rPr>
        <w:t xml:space="preserve"> ortiq boʻlgan naqd valyuta mablagʻlarini olib chiqib ketish uchun asos boʻlgan hujjatni boshqa shaxslarga berishga yoʻl qoʻyilmaydi. </w:t>
      </w:r>
    </w:p>
    <w:p w14:paraId="3E654D73" w14:textId="77777777" w:rsidR="00000000" w:rsidRDefault="00D212E2">
      <w:pPr>
        <w:shd w:val="clear" w:color="auto" w:fill="FFFFFF"/>
        <w:ind w:firstLine="851"/>
        <w:jc w:val="both"/>
        <w:divId w:val="402685403"/>
        <w:rPr>
          <w:rFonts w:eastAsia="Times New Roman"/>
          <w:color w:val="000000"/>
          <w:lang w:val="uz-Latn-UZ"/>
        </w:rPr>
      </w:pPr>
      <w:r>
        <w:rPr>
          <w:rFonts w:eastAsia="Times New Roman"/>
          <w:color w:val="000000"/>
          <w:lang w:val="uz-Latn-UZ"/>
        </w:rPr>
        <w:t>Jismoniy shaxslar tomonidan naqd valyuta mablagʻlarini Oʻzbekiston Respublikasidan tashqariga olib chiqib ketish uchun as</w:t>
      </w:r>
      <w:r>
        <w:rPr>
          <w:rFonts w:eastAsia="Times New Roman"/>
          <w:color w:val="000000"/>
          <w:lang w:val="uz-Latn-UZ"/>
        </w:rPr>
        <w:t>os boʻladigan hujjatlardan bir marotaba foydalanishga yoʻl qoʻyiladi va ushbu hujjatlar kelgusida naqd valyuta mablagʻlarini takroran olib chiqib ketish uchun asos hisoblanmaydi.</w:t>
      </w:r>
    </w:p>
    <w:p w14:paraId="248D2C5A" w14:textId="77777777" w:rsidR="00000000" w:rsidRDefault="00D212E2">
      <w:pPr>
        <w:shd w:val="clear" w:color="auto" w:fill="FFFFFF"/>
        <w:jc w:val="center"/>
        <w:divId w:val="2112311812"/>
        <w:rPr>
          <w:rFonts w:eastAsia="Times New Roman"/>
          <w:b/>
          <w:bCs/>
          <w:color w:val="000080"/>
          <w:lang w:val="uz-Latn-UZ"/>
        </w:rPr>
      </w:pPr>
      <w:r>
        <w:rPr>
          <w:rFonts w:eastAsia="Times New Roman"/>
          <w:b/>
          <w:bCs/>
          <w:color w:val="000080"/>
          <w:lang w:val="uz-Latn-UZ"/>
        </w:rPr>
        <w:t>4-bob. Yakunlovchi qoidalar</w:t>
      </w:r>
    </w:p>
    <w:p w14:paraId="56EB389C" w14:textId="77777777" w:rsidR="00000000" w:rsidRDefault="00D212E2">
      <w:pPr>
        <w:shd w:val="clear" w:color="auto" w:fill="FFFFFF"/>
        <w:ind w:firstLine="851"/>
        <w:jc w:val="both"/>
        <w:divId w:val="561792904"/>
        <w:rPr>
          <w:rFonts w:eastAsia="Times New Roman"/>
          <w:color w:val="000000"/>
          <w:lang w:val="uz-Latn-UZ"/>
        </w:rPr>
      </w:pPr>
      <w:r>
        <w:rPr>
          <w:rFonts w:eastAsia="Times New Roman"/>
          <w:color w:val="000000"/>
          <w:lang w:val="uz-Latn-UZ"/>
        </w:rPr>
        <w:t xml:space="preserve">8. Jismoniy shaxslar Oʻzbekiston Respublikasining bojxona chegarasidan oʻtayotganlarida naqd valyuta mablagʻlarining haqqoniy va toʻgʻri deklaratsiyalanganligi uchun qonunchilikda belgilangan tartibda javob beradilar. </w:t>
      </w:r>
    </w:p>
    <w:p w14:paraId="06936146" w14:textId="77777777" w:rsidR="00000000" w:rsidRDefault="00D212E2">
      <w:pPr>
        <w:shd w:val="clear" w:color="auto" w:fill="FFFFFF"/>
        <w:ind w:firstLine="851"/>
        <w:jc w:val="both"/>
        <w:divId w:val="667712385"/>
        <w:rPr>
          <w:rFonts w:eastAsia="Times New Roman"/>
          <w:color w:val="000000"/>
          <w:lang w:val="uz-Latn-UZ"/>
        </w:rPr>
      </w:pPr>
      <w:r>
        <w:rPr>
          <w:rFonts w:eastAsia="Times New Roman"/>
          <w:color w:val="000000"/>
          <w:lang w:val="uz-Latn-UZ"/>
        </w:rPr>
        <w:t>8</w:t>
      </w:r>
      <w:r>
        <w:rPr>
          <w:rFonts w:eastAsia="Times New Roman"/>
          <w:color w:val="000000"/>
          <w:vertAlign w:val="superscript"/>
          <w:lang w:val="uz-Latn-UZ"/>
        </w:rPr>
        <w:t>1</w:t>
      </w:r>
      <w:r>
        <w:rPr>
          <w:rFonts w:eastAsia="Times New Roman"/>
          <w:color w:val="000000"/>
          <w:lang w:val="uz-Latn-UZ"/>
        </w:rPr>
        <w:t xml:space="preserve">. </w:t>
      </w:r>
      <w:r>
        <w:rPr>
          <w:rFonts w:eastAsia="Times New Roman"/>
          <w:color w:val="000000"/>
          <w:lang w:val="uz-Latn-UZ"/>
        </w:rPr>
        <w:t>Jismoniy shaxslar deklaratsiya toʻldirish talab etiladigan belgilangan ekvivalentdan ortiq miqdordagi naqd valyuta mablagʻlarini bojxona nazorati shakllari qoʻllanilmasdan oldin deklaratsiyalamagan holda bojxona organlari xodimlariga maslahat olish maqsadi</w:t>
      </w:r>
      <w:r>
        <w:rPr>
          <w:rFonts w:eastAsia="Times New Roman"/>
          <w:color w:val="000000"/>
          <w:lang w:val="uz-Latn-UZ"/>
        </w:rPr>
        <w:t>da taqdim etganda, bojxona organlari xodimlari tomonidan jismoniy shaxslarga deklaratsiya toʻldirish qoidalari bilan bogʻliq umumiy tushuntirishlar beriladi.</w:t>
      </w:r>
    </w:p>
    <w:p w14:paraId="3CE4B9E0" w14:textId="77777777" w:rsidR="00D212E2" w:rsidRDefault="00D212E2">
      <w:pPr>
        <w:shd w:val="clear" w:color="auto" w:fill="FFFFFF"/>
        <w:ind w:firstLine="851"/>
        <w:jc w:val="both"/>
        <w:divId w:val="1725986627"/>
        <w:rPr>
          <w:rFonts w:eastAsia="Times New Roman"/>
          <w:color w:val="000000"/>
          <w:lang w:val="uz-Latn-UZ"/>
        </w:rPr>
      </w:pPr>
      <w:r>
        <w:rPr>
          <w:rFonts w:eastAsia="Times New Roman"/>
          <w:color w:val="000000"/>
          <w:lang w:val="uz-Latn-UZ"/>
        </w:rPr>
        <w:t xml:space="preserve">9. Jismoniy shaxs bojxona organlari xodimlarining xatti-harakatlari yuzasidan qonunchilikda belgilangan tartibda shikoyat qilishlari mumkin. </w:t>
      </w:r>
    </w:p>
    <w:sectPr w:rsidR="00D212E2">
      <w:pgSz w:w="11907"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7305"/>
    <w:rsid w:val="00597305"/>
    <w:rsid w:val="00D212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F0D47"/>
  <w15:chartTrackingRefBased/>
  <w15:docId w15:val="{3975897F-8555-4E47-BE6A-892755AC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4705363">
      <w:marLeft w:val="0"/>
      <w:marRight w:val="0"/>
      <w:marTop w:val="100"/>
      <w:marBottom w:val="100"/>
      <w:divBdr>
        <w:top w:val="none" w:sz="0" w:space="0" w:color="auto"/>
        <w:left w:val="none" w:sz="0" w:space="0" w:color="auto"/>
        <w:bottom w:val="none" w:sz="0" w:space="0" w:color="auto"/>
        <w:right w:val="none" w:sz="0" w:space="0" w:color="auto"/>
      </w:divBdr>
      <w:divsChild>
        <w:div w:id="633876176">
          <w:marLeft w:val="0"/>
          <w:marRight w:val="0"/>
          <w:marTop w:val="0"/>
          <w:marBottom w:val="0"/>
          <w:divBdr>
            <w:top w:val="none" w:sz="0" w:space="0" w:color="auto"/>
            <w:left w:val="none" w:sz="0" w:space="0" w:color="auto"/>
            <w:bottom w:val="none" w:sz="0" w:space="0" w:color="auto"/>
            <w:right w:val="none" w:sz="0" w:space="0" w:color="auto"/>
          </w:divBdr>
        </w:div>
        <w:div w:id="2066371978">
          <w:marLeft w:val="0"/>
          <w:marRight w:val="0"/>
          <w:marTop w:val="0"/>
          <w:marBottom w:val="0"/>
          <w:divBdr>
            <w:top w:val="none" w:sz="0" w:space="0" w:color="auto"/>
            <w:left w:val="none" w:sz="0" w:space="0" w:color="auto"/>
            <w:bottom w:val="none" w:sz="0" w:space="0" w:color="auto"/>
            <w:right w:val="none" w:sz="0" w:space="0" w:color="auto"/>
          </w:divBdr>
        </w:div>
        <w:div w:id="855385216">
          <w:marLeft w:val="0"/>
          <w:marRight w:val="0"/>
          <w:marTop w:val="240"/>
          <w:marBottom w:val="120"/>
          <w:divBdr>
            <w:top w:val="none" w:sz="0" w:space="0" w:color="auto"/>
            <w:left w:val="none" w:sz="0" w:space="0" w:color="auto"/>
            <w:bottom w:val="none" w:sz="0" w:space="0" w:color="auto"/>
            <w:right w:val="none" w:sz="0" w:space="0" w:color="auto"/>
          </w:divBdr>
          <w:divsChild>
            <w:div w:id="831486973">
              <w:marLeft w:val="0"/>
              <w:marRight w:val="0"/>
              <w:marTop w:val="0"/>
              <w:marBottom w:val="0"/>
              <w:divBdr>
                <w:top w:val="none" w:sz="0" w:space="0" w:color="auto"/>
                <w:left w:val="none" w:sz="0" w:space="0" w:color="auto"/>
                <w:bottom w:val="none" w:sz="0" w:space="0" w:color="auto"/>
                <w:right w:val="none" w:sz="0" w:space="0" w:color="auto"/>
              </w:divBdr>
            </w:div>
          </w:divsChild>
        </w:div>
        <w:div w:id="1155489297">
          <w:marLeft w:val="0"/>
          <w:marRight w:val="0"/>
          <w:marTop w:val="0"/>
          <w:marBottom w:val="0"/>
          <w:divBdr>
            <w:top w:val="none" w:sz="0" w:space="0" w:color="auto"/>
            <w:left w:val="none" w:sz="0" w:space="0" w:color="auto"/>
            <w:bottom w:val="none" w:sz="0" w:space="0" w:color="auto"/>
            <w:right w:val="none" w:sz="0" w:space="0" w:color="auto"/>
          </w:divBdr>
        </w:div>
        <w:div w:id="1824202402">
          <w:marLeft w:val="0"/>
          <w:marRight w:val="0"/>
          <w:marTop w:val="0"/>
          <w:marBottom w:val="120"/>
          <w:divBdr>
            <w:top w:val="none" w:sz="0" w:space="0" w:color="auto"/>
            <w:left w:val="none" w:sz="0" w:space="0" w:color="auto"/>
            <w:bottom w:val="none" w:sz="0" w:space="0" w:color="auto"/>
            <w:right w:val="none" w:sz="0" w:space="0" w:color="auto"/>
          </w:divBdr>
          <w:divsChild>
            <w:div w:id="1589342279">
              <w:marLeft w:val="0"/>
              <w:marRight w:val="0"/>
              <w:marTop w:val="0"/>
              <w:marBottom w:val="0"/>
              <w:divBdr>
                <w:top w:val="none" w:sz="0" w:space="0" w:color="auto"/>
                <w:left w:val="none" w:sz="0" w:space="0" w:color="auto"/>
                <w:bottom w:val="none" w:sz="0" w:space="0" w:color="auto"/>
                <w:right w:val="none" w:sz="0" w:space="0" w:color="auto"/>
              </w:divBdr>
            </w:div>
          </w:divsChild>
        </w:div>
        <w:div w:id="915632873">
          <w:marLeft w:val="0"/>
          <w:marRight w:val="0"/>
          <w:marTop w:val="0"/>
          <w:marBottom w:val="0"/>
          <w:divBdr>
            <w:top w:val="none" w:sz="0" w:space="0" w:color="auto"/>
            <w:left w:val="none" w:sz="0" w:space="0" w:color="auto"/>
            <w:bottom w:val="none" w:sz="0" w:space="0" w:color="auto"/>
            <w:right w:val="none" w:sz="0" w:space="0" w:color="auto"/>
          </w:divBdr>
        </w:div>
        <w:div w:id="2104257145">
          <w:marLeft w:val="0"/>
          <w:marRight w:val="0"/>
          <w:marTop w:val="0"/>
          <w:marBottom w:val="0"/>
          <w:divBdr>
            <w:top w:val="none" w:sz="0" w:space="0" w:color="auto"/>
            <w:left w:val="none" w:sz="0" w:space="0" w:color="auto"/>
            <w:bottom w:val="none" w:sz="0" w:space="0" w:color="auto"/>
            <w:right w:val="none" w:sz="0" w:space="0" w:color="auto"/>
          </w:divBdr>
        </w:div>
        <w:div w:id="1206794932">
          <w:marLeft w:val="0"/>
          <w:marRight w:val="0"/>
          <w:marTop w:val="0"/>
          <w:marBottom w:val="0"/>
          <w:divBdr>
            <w:top w:val="none" w:sz="0" w:space="0" w:color="auto"/>
            <w:left w:val="none" w:sz="0" w:space="0" w:color="auto"/>
            <w:bottom w:val="none" w:sz="0" w:space="0" w:color="auto"/>
            <w:right w:val="none" w:sz="0" w:space="0" w:color="auto"/>
          </w:divBdr>
        </w:div>
        <w:div w:id="510679047">
          <w:marLeft w:val="0"/>
          <w:marRight w:val="0"/>
          <w:marTop w:val="0"/>
          <w:marBottom w:val="0"/>
          <w:divBdr>
            <w:top w:val="none" w:sz="0" w:space="0" w:color="auto"/>
            <w:left w:val="none" w:sz="0" w:space="0" w:color="auto"/>
            <w:bottom w:val="none" w:sz="0" w:space="0" w:color="auto"/>
            <w:right w:val="none" w:sz="0" w:space="0" w:color="auto"/>
          </w:divBdr>
        </w:div>
        <w:div w:id="873924960">
          <w:marLeft w:val="0"/>
          <w:marRight w:val="0"/>
          <w:marTop w:val="0"/>
          <w:marBottom w:val="0"/>
          <w:divBdr>
            <w:top w:val="none" w:sz="0" w:space="0" w:color="auto"/>
            <w:left w:val="none" w:sz="0" w:space="0" w:color="auto"/>
            <w:bottom w:val="none" w:sz="0" w:space="0" w:color="auto"/>
            <w:right w:val="none" w:sz="0" w:space="0" w:color="auto"/>
          </w:divBdr>
        </w:div>
        <w:div w:id="1114447010">
          <w:marLeft w:val="0"/>
          <w:marRight w:val="0"/>
          <w:marTop w:val="0"/>
          <w:marBottom w:val="0"/>
          <w:divBdr>
            <w:top w:val="none" w:sz="0" w:space="0" w:color="auto"/>
            <w:left w:val="none" w:sz="0" w:space="0" w:color="auto"/>
            <w:bottom w:val="none" w:sz="0" w:space="0" w:color="auto"/>
            <w:right w:val="none" w:sz="0" w:space="0" w:color="auto"/>
          </w:divBdr>
        </w:div>
        <w:div w:id="99030019">
          <w:marLeft w:val="0"/>
          <w:marRight w:val="0"/>
          <w:marTop w:val="0"/>
          <w:marBottom w:val="0"/>
          <w:divBdr>
            <w:top w:val="none" w:sz="0" w:space="0" w:color="auto"/>
            <w:left w:val="none" w:sz="0" w:space="0" w:color="auto"/>
            <w:bottom w:val="none" w:sz="0" w:space="0" w:color="auto"/>
            <w:right w:val="none" w:sz="0" w:space="0" w:color="auto"/>
          </w:divBdr>
        </w:div>
        <w:div w:id="1551841902">
          <w:marLeft w:val="0"/>
          <w:marRight w:val="0"/>
          <w:marTop w:val="120"/>
          <w:marBottom w:val="120"/>
          <w:divBdr>
            <w:top w:val="none" w:sz="0" w:space="0" w:color="auto"/>
            <w:left w:val="none" w:sz="0" w:space="0" w:color="auto"/>
            <w:bottom w:val="none" w:sz="0" w:space="0" w:color="auto"/>
            <w:right w:val="none" w:sz="0" w:space="0" w:color="auto"/>
          </w:divBdr>
          <w:divsChild>
            <w:div w:id="895050318">
              <w:marLeft w:val="0"/>
              <w:marRight w:val="0"/>
              <w:marTop w:val="0"/>
              <w:marBottom w:val="0"/>
              <w:divBdr>
                <w:top w:val="none" w:sz="0" w:space="0" w:color="auto"/>
                <w:left w:val="none" w:sz="0" w:space="0" w:color="auto"/>
                <w:bottom w:val="none" w:sz="0" w:space="0" w:color="auto"/>
                <w:right w:val="none" w:sz="0" w:space="0" w:color="auto"/>
              </w:divBdr>
            </w:div>
          </w:divsChild>
        </w:div>
        <w:div w:id="1962803537">
          <w:marLeft w:val="0"/>
          <w:marRight w:val="70"/>
          <w:marTop w:val="0"/>
          <w:marBottom w:val="0"/>
          <w:divBdr>
            <w:top w:val="none" w:sz="0" w:space="0" w:color="auto"/>
            <w:left w:val="none" w:sz="0" w:space="0" w:color="auto"/>
            <w:bottom w:val="none" w:sz="0" w:space="0" w:color="auto"/>
            <w:right w:val="none" w:sz="0" w:space="0" w:color="auto"/>
          </w:divBdr>
          <w:divsChild>
            <w:div w:id="548224694">
              <w:marLeft w:val="0"/>
              <w:marRight w:val="0"/>
              <w:marTop w:val="0"/>
              <w:marBottom w:val="0"/>
              <w:divBdr>
                <w:top w:val="none" w:sz="0" w:space="0" w:color="auto"/>
                <w:left w:val="none" w:sz="0" w:space="0" w:color="auto"/>
                <w:bottom w:val="none" w:sz="0" w:space="0" w:color="auto"/>
                <w:right w:val="none" w:sz="0" w:space="0" w:color="auto"/>
              </w:divBdr>
            </w:div>
          </w:divsChild>
        </w:div>
        <w:div w:id="1943147939">
          <w:marLeft w:val="0"/>
          <w:marRight w:val="70"/>
          <w:marTop w:val="0"/>
          <w:marBottom w:val="0"/>
          <w:divBdr>
            <w:top w:val="none" w:sz="0" w:space="0" w:color="auto"/>
            <w:left w:val="none" w:sz="0" w:space="0" w:color="auto"/>
            <w:bottom w:val="none" w:sz="0" w:space="0" w:color="auto"/>
            <w:right w:val="none" w:sz="0" w:space="0" w:color="auto"/>
          </w:divBdr>
          <w:divsChild>
            <w:div w:id="20979167">
              <w:marLeft w:val="0"/>
              <w:marRight w:val="0"/>
              <w:marTop w:val="0"/>
              <w:marBottom w:val="0"/>
              <w:divBdr>
                <w:top w:val="none" w:sz="0" w:space="0" w:color="auto"/>
                <w:left w:val="none" w:sz="0" w:space="0" w:color="auto"/>
                <w:bottom w:val="none" w:sz="0" w:space="0" w:color="auto"/>
                <w:right w:val="none" w:sz="0" w:space="0" w:color="auto"/>
              </w:divBdr>
            </w:div>
          </w:divsChild>
        </w:div>
        <w:div w:id="221910402">
          <w:marLeft w:val="0"/>
          <w:marRight w:val="70"/>
          <w:marTop w:val="0"/>
          <w:marBottom w:val="0"/>
          <w:divBdr>
            <w:top w:val="none" w:sz="0" w:space="0" w:color="auto"/>
            <w:left w:val="none" w:sz="0" w:space="0" w:color="auto"/>
            <w:bottom w:val="none" w:sz="0" w:space="0" w:color="auto"/>
            <w:right w:val="none" w:sz="0" w:space="0" w:color="auto"/>
          </w:divBdr>
          <w:divsChild>
            <w:div w:id="698122102">
              <w:marLeft w:val="0"/>
              <w:marRight w:val="0"/>
              <w:marTop w:val="0"/>
              <w:marBottom w:val="0"/>
              <w:divBdr>
                <w:top w:val="none" w:sz="0" w:space="0" w:color="auto"/>
                <w:left w:val="none" w:sz="0" w:space="0" w:color="auto"/>
                <w:bottom w:val="none" w:sz="0" w:space="0" w:color="auto"/>
                <w:right w:val="none" w:sz="0" w:space="0" w:color="auto"/>
              </w:divBdr>
            </w:div>
          </w:divsChild>
        </w:div>
        <w:div w:id="1582451419">
          <w:marLeft w:val="66"/>
          <w:marRight w:val="0"/>
          <w:marTop w:val="200"/>
          <w:marBottom w:val="240"/>
          <w:divBdr>
            <w:top w:val="none" w:sz="0" w:space="0" w:color="auto"/>
            <w:left w:val="none" w:sz="0" w:space="0" w:color="auto"/>
            <w:bottom w:val="none" w:sz="0" w:space="0" w:color="auto"/>
            <w:right w:val="none" w:sz="0" w:space="0" w:color="auto"/>
          </w:divBdr>
          <w:divsChild>
            <w:div w:id="553275690">
              <w:marLeft w:val="0"/>
              <w:marRight w:val="0"/>
              <w:marTop w:val="0"/>
              <w:marBottom w:val="0"/>
              <w:divBdr>
                <w:top w:val="none" w:sz="0" w:space="0" w:color="auto"/>
                <w:left w:val="none" w:sz="0" w:space="0" w:color="auto"/>
                <w:bottom w:val="none" w:sz="0" w:space="0" w:color="auto"/>
                <w:right w:val="none" w:sz="0" w:space="0" w:color="auto"/>
              </w:divBdr>
            </w:div>
          </w:divsChild>
        </w:div>
        <w:div w:id="501244837">
          <w:marLeft w:val="0"/>
          <w:marRight w:val="0"/>
          <w:marTop w:val="0"/>
          <w:marBottom w:val="120"/>
          <w:divBdr>
            <w:top w:val="none" w:sz="0" w:space="0" w:color="auto"/>
            <w:left w:val="none" w:sz="0" w:space="0" w:color="auto"/>
            <w:bottom w:val="none" w:sz="0" w:space="0" w:color="auto"/>
            <w:right w:val="none" w:sz="0" w:space="0" w:color="auto"/>
          </w:divBdr>
          <w:divsChild>
            <w:div w:id="1497064746">
              <w:marLeft w:val="0"/>
              <w:marRight w:val="0"/>
              <w:marTop w:val="0"/>
              <w:marBottom w:val="0"/>
              <w:divBdr>
                <w:top w:val="none" w:sz="0" w:space="0" w:color="auto"/>
                <w:left w:val="none" w:sz="0" w:space="0" w:color="auto"/>
                <w:bottom w:val="none" w:sz="0" w:space="0" w:color="auto"/>
                <w:right w:val="none" w:sz="0" w:space="0" w:color="auto"/>
              </w:divBdr>
            </w:div>
          </w:divsChild>
        </w:div>
        <w:div w:id="1764180334">
          <w:marLeft w:val="0"/>
          <w:marRight w:val="0"/>
          <w:marTop w:val="0"/>
          <w:marBottom w:val="0"/>
          <w:divBdr>
            <w:top w:val="none" w:sz="0" w:space="0" w:color="auto"/>
            <w:left w:val="none" w:sz="0" w:space="0" w:color="auto"/>
            <w:bottom w:val="none" w:sz="0" w:space="0" w:color="auto"/>
            <w:right w:val="none" w:sz="0" w:space="0" w:color="auto"/>
          </w:divBdr>
        </w:div>
        <w:div w:id="601494491">
          <w:marLeft w:val="0"/>
          <w:marRight w:val="0"/>
          <w:marTop w:val="0"/>
          <w:marBottom w:val="0"/>
          <w:divBdr>
            <w:top w:val="none" w:sz="0" w:space="0" w:color="auto"/>
            <w:left w:val="none" w:sz="0" w:space="0" w:color="auto"/>
            <w:bottom w:val="none" w:sz="0" w:space="0" w:color="auto"/>
            <w:right w:val="none" w:sz="0" w:space="0" w:color="auto"/>
          </w:divBdr>
        </w:div>
        <w:div w:id="614675357">
          <w:marLeft w:val="0"/>
          <w:marRight w:val="0"/>
          <w:marTop w:val="120"/>
          <w:marBottom w:val="60"/>
          <w:divBdr>
            <w:top w:val="none" w:sz="0" w:space="0" w:color="auto"/>
            <w:left w:val="none" w:sz="0" w:space="0" w:color="auto"/>
            <w:bottom w:val="none" w:sz="0" w:space="0" w:color="auto"/>
            <w:right w:val="none" w:sz="0" w:space="0" w:color="auto"/>
          </w:divBdr>
          <w:divsChild>
            <w:div w:id="864252783">
              <w:marLeft w:val="0"/>
              <w:marRight w:val="0"/>
              <w:marTop w:val="0"/>
              <w:marBottom w:val="0"/>
              <w:divBdr>
                <w:top w:val="none" w:sz="0" w:space="0" w:color="auto"/>
                <w:left w:val="none" w:sz="0" w:space="0" w:color="auto"/>
                <w:bottom w:val="none" w:sz="0" w:space="0" w:color="auto"/>
                <w:right w:val="none" w:sz="0" w:space="0" w:color="auto"/>
              </w:divBdr>
            </w:div>
          </w:divsChild>
        </w:div>
        <w:div w:id="813328075">
          <w:marLeft w:val="0"/>
          <w:marRight w:val="0"/>
          <w:marTop w:val="0"/>
          <w:marBottom w:val="0"/>
          <w:divBdr>
            <w:top w:val="none" w:sz="0" w:space="0" w:color="auto"/>
            <w:left w:val="none" w:sz="0" w:space="0" w:color="auto"/>
            <w:bottom w:val="none" w:sz="0" w:space="0" w:color="auto"/>
            <w:right w:val="none" w:sz="0" w:space="0" w:color="auto"/>
          </w:divBdr>
        </w:div>
        <w:div w:id="529685266">
          <w:marLeft w:val="0"/>
          <w:marRight w:val="0"/>
          <w:marTop w:val="0"/>
          <w:marBottom w:val="0"/>
          <w:divBdr>
            <w:top w:val="none" w:sz="0" w:space="0" w:color="auto"/>
            <w:left w:val="none" w:sz="0" w:space="0" w:color="auto"/>
            <w:bottom w:val="none" w:sz="0" w:space="0" w:color="auto"/>
            <w:right w:val="none" w:sz="0" w:space="0" w:color="auto"/>
          </w:divBdr>
        </w:div>
        <w:div w:id="1510831703">
          <w:marLeft w:val="0"/>
          <w:marRight w:val="0"/>
          <w:marTop w:val="0"/>
          <w:marBottom w:val="0"/>
          <w:divBdr>
            <w:top w:val="none" w:sz="0" w:space="0" w:color="auto"/>
            <w:left w:val="none" w:sz="0" w:space="0" w:color="auto"/>
            <w:bottom w:val="none" w:sz="0" w:space="0" w:color="auto"/>
            <w:right w:val="none" w:sz="0" w:space="0" w:color="auto"/>
          </w:divBdr>
        </w:div>
        <w:div w:id="482044462">
          <w:marLeft w:val="0"/>
          <w:marRight w:val="0"/>
          <w:marTop w:val="0"/>
          <w:marBottom w:val="0"/>
          <w:divBdr>
            <w:top w:val="none" w:sz="0" w:space="0" w:color="auto"/>
            <w:left w:val="none" w:sz="0" w:space="0" w:color="auto"/>
            <w:bottom w:val="none" w:sz="0" w:space="0" w:color="auto"/>
            <w:right w:val="none" w:sz="0" w:space="0" w:color="auto"/>
          </w:divBdr>
        </w:div>
        <w:div w:id="451441554">
          <w:marLeft w:val="0"/>
          <w:marRight w:val="0"/>
          <w:marTop w:val="0"/>
          <w:marBottom w:val="0"/>
          <w:divBdr>
            <w:top w:val="none" w:sz="0" w:space="0" w:color="auto"/>
            <w:left w:val="none" w:sz="0" w:space="0" w:color="auto"/>
            <w:bottom w:val="none" w:sz="0" w:space="0" w:color="auto"/>
            <w:right w:val="none" w:sz="0" w:space="0" w:color="auto"/>
          </w:divBdr>
        </w:div>
        <w:div w:id="1103451036">
          <w:marLeft w:val="0"/>
          <w:marRight w:val="0"/>
          <w:marTop w:val="0"/>
          <w:marBottom w:val="0"/>
          <w:divBdr>
            <w:top w:val="none" w:sz="0" w:space="0" w:color="auto"/>
            <w:left w:val="none" w:sz="0" w:space="0" w:color="auto"/>
            <w:bottom w:val="none" w:sz="0" w:space="0" w:color="auto"/>
            <w:right w:val="none" w:sz="0" w:space="0" w:color="auto"/>
          </w:divBdr>
        </w:div>
        <w:div w:id="508445429">
          <w:marLeft w:val="0"/>
          <w:marRight w:val="0"/>
          <w:marTop w:val="0"/>
          <w:marBottom w:val="0"/>
          <w:divBdr>
            <w:top w:val="none" w:sz="0" w:space="0" w:color="auto"/>
            <w:left w:val="none" w:sz="0" w:space="0" w:color="auto"/>
            <w:bottom w:val="none" w:sz="0" w:space="0" w:color="auto"/>
            <w:right w:val="none" w:sz="0" w:space="0" w:color="auto"/>
          </w:divBdr>
        </w:div>
        <w:div w:id="985159557">
          <w:marLeft w:val="0"/>
          <w:marRight w:val="0"/>
          <w:marTop w:val="0"/>
          <w:marBottom w:val="0"/>
          <w:divBdr>
            <w:top w:val="none" w:sz="0" w:space="0" w:color="auto"/>
            <w:left w:val="none" w:sz="0" w:space="0" w:color="auto"/>
            <w:bottom w:val="none" w:sz="0" w:space="0" w:color="auto"/>
            <w:right w:val="none" w:sz="0" w:space="0" w:color="auto"/>
          </w:divBdr>
        </w:div>
        <w:div w:id="540746975">
          <w:marLeft w:val="0"/>
          <w:marRight w:val="0"/>
          <w:marTop w:val="0"/>
          <w:marBottom w:val="0"/>
          <w:divBdr>
            <w:top w:val="none" w:sz="0" w:space="0" w:color="auto"/>
            <w:left w:val="none" w:sz="0" w:space="0" w:color="auto"/>
            <w:bottom w:val="none" w:sz="0" w:space="0" w:color="auto"/>
            <w:right w:val="none" w:sz="0" w:space="0" w:color="auto"/>
          </w:divBdr>
        </w:div>
        <w:div w:id="2081713294">
          <w:marLeft w:val="0"/>
          <w:marRight w:val="0"/>
          <w:marTop w:val="120"/>
          <w:marBottom w:val="60"/>
          <w:divBdr>
            <w:top w:val="none" w:sz="0" w:space="0" w:color="auto"/>
            <w:left w:val="none" w:sz="0" w:space="0" w:color="auto"/>
            <w:bottom w:val="none" w:sz="0" w:space="0" w:color="auto"/>
            <w:right w:val="none" w:sz="0" w:space="0" w:color="auto"/>
          </w:divBdr>
          <w:divsChild>
            <w:div w:id="269708369">
              <w:marLeft w:val="0"/>
              <w:marRight w:val="0"/>
              <w:marTop w:val="0"/>
              <w:marBottom w:val="0"/>
              <w:divBdr>
                <w:top w:val="none" w:sz="0" w:space="0" w:color="auto"/>
                <w:left w:val="none" w:sz="0" w:space="0" w:color="auto"/>
                <w:bottom w:val="none" w:sz="0" w:space="0" w:color="auto"/>
                <w:right w:val="none" w:sz="0" w:space="0" w:color="auto"/>
              </w:divBdr>
            </w:div>
          </w:divsChild>
        </w:div>
        <w:div w:id="784428476">
          <w:marLeft w:val="0"/>
          <w:marRight w:val="0"/>
          <w:marTop w:val="0"/>
          <w:marBottom w:val="0"/>
          <w:divBdr>
            <w:top w:val="none" w:sz="0" w:space="0" w:color="auto"/>
            <w:left w:val="none" w:sz="0" w:space="0" w:color="auto"/>
            <w:bottom w:val="none" w:sz="0" w:space="0" w:color="auto"/>
            <w:right w:val="none" w:sz="0" w:space="0" w:color="auto"/>
          </w:divBdr>
        </w:div>
        <w:div w:id="1597903919">
          <w:marLeft w:val="0"/>
          <w:marRight w:val="0"/>
          <w:marTop w:val="0"/>
          <w:marBottom w:val="0"/>
          <w:divBdr>
            <w:top w:val="none" w:sz="0" w:space="0" w:color="auto"/>
            <w:left w:val="none" w:sz="0" w:space="0" w:color="auto"/>
            <w:bottom w:val="none" w:sz="0" w:space="0" w:color="auto"/>
            <w:right w:val="none" w:sz="0" w:space="0" w:color="auto"/>
          </w:divBdr>
        </w:div>
        <w:div w:id="1286961734">
          <w:marLeft w:val="0"/>
          <w:marRight w:val="0"/>
          <w:marTop w:val="0"/>
          <w:marBottom w:val="0"/>
          <w:divBdr>
            <w:top w:val="none" w:sz="0" w:space="0" w:color="auto"/>
            <w:left w:val="none" w:sz="0" w:space="0" w:color="auto"/>
            <w:bottom w:val="none" w:sz="0" w:space="0" w:color="auto"/>
            <w:right w:val="none" w:sz="0" w:space="0" w:color="auto"/>
          </w:divBdr>
        </w:div>
        <w:div w:id="36659631">
          <w:marLeft w:val="0"/>
          <w:marRight w:val="0"/>
          <w:marTop w:val="120"/>
          <w:marBottom w:val="60"/>
          <w:divBdr>
            <w:top w:val="none" w:sz="0" w:space="0" w:color="auto"/>
            <w:left w:val="none" w:sz="0" w:space="0" w:color="auto"/>
            <w:bottom w:val="none" w:sz="0" w:space="0" w:color="auto"/>
            <w:right w:val="none" w:sz="0" w:space="0" w:color="auto"/>
          </w:divBdr>
          <w:divsChild>
            <w:div w:id="1859001156">
              <w:marLeft w:val="0"/>
              <w:marRight w:val="0"/>
              <w:marTop w:val="0"/>
              <w:marBottom w:val="0"/>
              <w:divBdr>
                <w:top w:val="none" w:sz="0" w:space="0" w:color="auto"/>
                <w:left w:val="none" w:sz="0" w:space="0" w:color="auto"/>
                <w:bottom w:val="none" w:sz="0" w:space="0" w:color="auto"/>
                <w:right w:val="none" w:sz="0" w:space="0" w:color="auto"/>
              </w:divBdr>
            </w:div>
          </w:divsChild>
        </w:div>
        <w:div w:id="329987161">
          <w:marLeft w:val="0"/>
          <w:marRight w:val="0"/>
          <w:marTop w:val="0"/>
          <w:marBottom w:val="0"/>
          <w:divBdr>
            <w:top w:val="none" w:sz="0" w:space="0" w:color="auto"/>
            <w:left w:val="none" w:sz="0" w:space="0" w:color="auto"/>
            <w:bottom w:val="none" w:sz="0" w:space="0" w:color="auto"/>
            <w:right w:val="none" w:sz="0" w:space="0" w:color="auto"/>
          </w:divBdr>
        </w:div>
        <w:div w:id="1393498845">
          <w:marLeft w:val="0"/>
          <w:marRight w:val="0"/>
          <w:marTop w:val="0"/>
          <w:marBottom w:val="0"/>
          <w:divBdr>
            <w:top w:val="none" w:sz="0" w:space="0" w:color="auto"/>
            <w:left w:val="none" w:sz="0" w:space="0" w:color="auto"/>
            <w:bottom w:val="none" w:sz="0" w:space="0" w:color="auto"/>
            <w:right w:val="none" w:sz="0" w:space="0" w:color="auto"/>
          </w:divBdr>
        </w:div>
        <w:div w:id="768231278">
          <w:marLeft w:val="0"/>
          <w:marRight w:val="0"/>
          <w:marTop w:val="0"/>
          <w:marBottom w:val="0"/>
          <w:divBdr>
            <w:top w:val="none" w:sz="0" w:space="0" w:color="auto"/>
            <w:left w:val="none" w:sz="0" w:space="0" w:color="auto"/>
            <w:bottom w:val="none" w:sz="0" w:space="0" w:color="auto"/>
            <w:right w:val="none" w:sz="0" w:space="0" w:color="auto"/>
          </w:divBdr>
        </w:div>
        <w:div w:id="1923023857">
          <w:marLeft w:val="0"/>
          <w:marRight w:val="0"/>
          <w:marTop w:val="0"/>
          <w:marBottom w:val="0"/>
          <w:divBdr>
            <w:top w:val="none" w:sz="0" w:space="0" w:color="auto"/>
            <w:left w:val="none" w:sz="0" w:space="0" w:color="auto"/>
            <w:bottom w:val="none" w:sz="0" w:space="0" w:color="auto"/>
            <w:right w:val="none" w:sz="0" w:space="0" w:color="auto"/>
          </w:divBdr>
        </w:div>
        <w:div w:id="1248810076">
          <w:marLeft w:val="0"/>
          <w:marRight w:val="0"/>
          <w:marTop w:val="0"/>
          <w:marBottom w:val="0"/>
          <w:divBdr>
            <w:top w:val="none" w:sz="0" w:space="0" w:color="auto"/>
            <w:left w:val="none" w:sz="0" w:space="0" w:color="auto"/>
            <w:bottom w:val="none" w:sz="0" w:space="0" w:color="auto"/>
            <w:right w:val="none" w:sz="0" w:space="0" w:color="auto"/>
          </w:divBdr>
        </w:div>
        <w:div w:id="2055695406">
          <w:marLeft w:val="0"/>
          <w:marRight w:val="0"/>
          <w:marTop w:val="0"/>
          <w:marBottom w:val="0"/>
          <w:divBdr>
            <w:top w:val="none" w:sz="0" w:space="0" w:color="auto"/>
            <w:left w:val="none" w:sz="0" w:space="0" w:color="auto"/>
            <w:bottom w:val="none" w:sz="0" w:space="0" w:color="auto"/>
            <w:right w:val="none" w:sz="0" w:space="0" w:color="auto"/>
          </w:divBdr>
        </w:div>
        <w:div w:id="1323923855">
          <w:marLeft w:val="0"/>
          <w:marRight w:val="0"/>
          <w:marTop w:val="0"/>
          <w:marBottom w:val="0"/>
          <w:divBdr>
            <w:top w:val="none" w:sz="0" w:space="0" w:color="auto"/>
            <w:left w:val="none" w:sz="0" w:space="0" w:color="auto"/>
            <w:bottom w:val="none" w:sz="0" w:space="0" w:color="auto"/>
            <w:right w:val="none" w:sz="0" w:space="0" w:color="auto"/>
          </w:divBdr>
        </w:div>
        <w:div w:id="249965862">
          <w:marLeft w:val="0"/>
          <w:marRight w:val="0"/>
          <w:marTop w:val="0"/>
          <w:marBottom w:val="0"/>
          <w:divBdr>
            <w:top w:val="none" w:sz="0" w:space="0" w:color="auto"/>
            <w:left w:val="none" w:sz="0" w:space="0" w:color="auto"/>
            <w:bottom w:val="none" w:sz="0" w:space="0" w:color="auto"/>
            <w:right w:val="none" w:sz="0" w:space="0" w:color="auto"/>
          </w:divBdr>
        </w:div>
        <w:div w:id="556817484">
          <w:marLeft w:val="0"/>
          <w:marRight w:val="0"/>
          <w:marTop w:val="0"/>
          <w:marBottom w:val="0"/>
          <w:divBdr>
            <w:top w:val="none" w:sz="0" w:space="0" w:color="auto"/>
            <w:left w:val="none" w:sz="0" w:space="0" w:color="auto"/>
            <w:bottom w:val="none" w:sz="0" w:space="0" w:color="auto"/>
            <w:right w:val="none" w:sz="0" w:space="0" w:color="auto"/>
          </w:divBdr>
        </w:div>
        <w:div w:id="1761104152">
          <w:marLeft w:val="0"/>
          <w:marRight w:val="0"/>
          <w:marTop w:val="0"/>
          <w:marBottom w:val="0"/>
          <w:divBdr>
            <w:top w:val="none" w:sz="0" w:space="0" w:color="auto"/>
            <w:left w:val="none" w:sz="0" w:space="0" w:color="auto"/>
            <w:bottom w:val="none" w:sz="0" w:space="0" w:color="auto"/>
            <w:right w:val="none" w:sz="0" w:space="0" w:color="auto"/>
          </w:divBdr>
        </w:div>
        <w:div w:id="734280937">
          <w:marLeft w:val="0"/>
          <w:marRight w:val="0"/>
          <w:marTop w:val="0"/>
          <w:marBottom w:val="0"/>
          <w:divBdr>
            <w:top w:val="none" w:sz="0" w:space="0" w:color="auto"/>
            <w:left w:val="none" w:sz="0" w:space="0" w:color="auto"/>
            <w:bottom w:val="none" w:sz="0" w:space="0" w:color="auto"/>
            <w:right w:val="none" w:sz="0" w:space="0" w:color="auto"/>
          </w:divBdr>
        </w:div>
        <w:div w:id="1664581031">
          <w:marLeft w:val="0"/>
          <w:marRight w:val="0"/>
          <w:marTop w:val="0"/>
          <w:marBottom w:val="0"/>
          <w:divBdr>
            <w:top w:val="none" w:sz="0" w:space="0" w:color="auto"/>
            <w:left w:val="none" w:sz="0" w:space="0" w:color="auto"/>
            <w:bottom w:val="none" w:sz="0" w:space="0" w:color="auto"/>
            <w:right w:val="none" w:sz="0" w:space="0" w:color="auto"/>
          </w:divBdr>
        </w:div>
        <w:div w:id="402685403">
          <w:marLeft w:val="0"/>
          <w:marRight w:val="0"/>
          <w:marTop w:val="0"/>
          <w:marBottom w:val="0"/>
          <w:divBdr>
            <w:top w:val="none" w:sz="0" w:space="0" w:color="auto"/>
            <w:left w:val="none" w:sz="0" w:space="0" w:color="auto"/>
            <w:bottom w:val="none" w:sz="0" w:space="0" w:color="auto"/>
            <w:right w:val="none" w:sz="0" w:space="0" w:color="auto"/>
          </w:divBdr>
        </w:div>
        <w:div w:id="2033795887">
          <w:marLeft w:val="0"/>
          <w:marRight w:val="0"/>
          <w:marTop w:val="0"/>
          <w:marBottom w:val="0"/>
          <w:divBdr>
            <w:top w:val="none" w:sz="0" w:space="0" w:color="auto"/>
            <w:left w:val="none" w:sz="0" w:space="0" w:color="auto"/>
            <w:bottom w:val="none" w:sz="0" w:space="0" w:color="auto"/>
            <w:right w:val="none" w:sz="0" w:space="0" w:color="auto"/>
          </w:divBdr>
        </w:div>
        <w:div w:id="282611732">
          <w:marLeft w:val="0"/>
          <w:marRight w:val="0"/>
          <w:marTop w:val="120"/>
          <w:marBottom w:val="60"/>
          <w:divBdr>
            <w:top w:val="none" w:sz="0" w:space="0" w:color="auto"/>
            <w:left w:val="none" w:sz="0" w:space="0" w:color="auto"/>
            <w:bottom w:val="none" w:sz="0" w:space="0" w:color="auto"/>
            <w:right w:val="none" w:sz="0" w:space="0" w:color="auto"/>
          </w:divBdr>
          <w:divsChild>
            <w:div w:id="2112311812">
              <w:marLeft w:val="0"/>
              <w:marRight w:val="0"/>
              <w:marTop w:val="0"/>
              <w:marBottom w:val="0"/>
              <w:divBdr>
                <w:top w:val="none" w:sz="0" w:space="0" w:color="auto"/>
                <w:left w:val="none" w:sz="0" w:space="0" w:color="auto"/>
                <w:bottom w:val="none" w:sz="0" w:space="0" w:color="auto"/>
                <w:right w:val="none" w:sz="0" w:space="0" w:color="auto"/>
              </w:divBdr>
            </w:div>
          </w:divsChild>
        </w:div>
        <w:div w:id="561792904">
          <w:marLeft w:val="0"/>
          <w:marRight w:val="0"/>
          <w:marTop w:val="0"/>
          <w:marBottom w:val="0"/>
          <w:divBdr>
            <w:top w:val="none" w:sz="0" w:space="0" w:color="auto"/>
            <w:left w:val="none" w:sz="0" w:space="0" w:color="auto"/>
            <w:bottom w:val="none" w:sz="0" w:space="0" w:color="auto"/>
            <w:right w:val="none" w:sz="0" w:space="0" w:color="auto"/>
          </w:divBdr>
        </w:div>
        <w:div w:id="972979807">
          <w:marLeft w:val="0"/>
          <w:marRight w:val="0"/>
          <w:marTop w:val="0"/>
          <w:marBottom w:val="0"/>
          <w:divBdr>
            <w:top w:val="none" w:sz="0" w:space="0" w:color="auto"/>
            <w:left w:val="none" w:sz="0" w:space="0" w:color="auto"/>
            <w:bottom w:val="none" w:sz="0" w:space="0" w:color="auto"/>
            <w:right w:val="none" w:sz="0" w:space="0" w:color="auto"/>
          </w:divBdr>
        </w:div>
        <w:div w:id="667712385">
          <w:marLeft w:val="0"/>
          <w:marRight w:val="0"/>
          <w:marTop w:val="0"/>
          <w:marBottom w:val="0"/>
          <w:divBdr>
            <w:top w:val="none" w:sz="0" w:space="0" w:color="auto"/>
            <w:left w:val="none" w:sz="0" w:space="0" w:color="auto"/>
            <w:bottom w:val="none" w:sz="0" w:space="0" w:color="auto"/>
            <w:right w:val="none" w:sz="0" w:space="0" w:color="auto"/>
          </w:divBdr>
        </w:div>
        <w:div w:id="624972825">
          <w:marLeft w:val="0"/>
          <w:marRight w:val="0"/>
          <w:marTop w:val="0"/>
          <w:marBottom w:val="0"/>
          <w:divBdr>
            <w:top w:val="none" w:sz="0" w:space="0" w:color="auto"/>
            <w:left w:val="none" w:sz="0" w:space="0" w:color="auto"/>
            <w:bottom w:val="none" w:sz="0" w:space="0" w:color="auto"/>
            <w:right w:val="none" w:sz="0" w:space="0" w:color="auto"/>
          </w:divBdr>
        </w:div>
        <w:div w:id="1725986627">
          <w:marLeft w:val="0"/>
          <w:marRight w:val="0"/>
          <w:marTop w:val="0"/>
          <w:marBottom w:val="0"/>
          <w:divBdr>
            <w:top w:val="none" w:sz="0" w:space="0" w:color="auto"/>
            <w:left w:val="none" w:sz="0" w:space="0" w:color="auto"/>
            <w:bottom w:val="none" w:sz="0" w:space="0" w:color="auto"/>
            <w:right w:val="none" w:sz="0" w:space="0" w:color="auto"/>
          </w:divBdr>
        </w:div>
        <w:div w:id="1760826214">
          <w:marLeft w:val="0"/>
          <w:marRight w:val="0"/>
          <w:marTop w:val="0"/>
          <w:marBottom w:val="0"/>
          <w:divBdr>
            <w:top w:val="none" w:sz="0" w:space="0" w:color="auto"/>
            <w:left w:val="none" w:sz="0" w:space="0" w:color="auto"/>
            <w:bottom w:val="none" w:sz="0" w:space="0" w:color="auto"/>
            <w:right w:val="none" w:sz="0" w:space="0" w:color="auto"/>
          </w:divBdr>
        </w:div>
        <w:div w:id="988828529">
          <w:marLeft w:val="66"/>
          <w:marRight w:val="0"/>
          <w:marTop w:val="200"/>
          <w:marBottom w:val="240"/>
          <w:divBdr>
            <w:top w:val="none" w:sz="0" w:space="0" w:color="auto"/>
            <w:left w:val="none" w:sz="0" w:space="0" w:color="auto"/>
            <w:bottom w:val="none" w:sz="0" w:space="0" w:color="auto"/>
            <w:right w:val="none" w:sz="0" w:space="0" w:color="auto"/>
          </w:divBdr>
          <w:divsChild>
            <w:div w:id="1053850884">
              <w:marLeft w:val="0"/>
              <w:marRight w:val="0"/>
              <w:marTop w:val="0"/>
              <w:marBottom w:val="0"/>
              <w:divBdr>
                <w:top w:val="none" w:sz="0" w:space="0" w:color="auto"/>
                <w:left w:val="none" w:sz="0" w:space="0" w:color="auto"/>
                <w:bottom w:val="none" w:sz="0" w:space="0" w:color="auto"/>
                <w:right w:val="none" w:sz="0" w:space="0" w:color="auto"/>
              </w:divBdr>
            </w:div>
          </w:divsChild>
        </w:div>
        <w:div w:id="439034444">
          <w:marLeft w:val="0"/>
          <w:marRight w:val="0"/>
          <w:marTop w:val="0"/>
          <w:marBottom w:val="120"/>
          <w:divBdr>
            <w:top w:val="none" w:sz="0" w:space="0" w:color="auto"/>
            <w:left w:val="none" w:sz="0" w:space="0" w:color="auto"/>
            <w:bottom w:val="none" w:sz="0" w:space="0" w:color="auto"/>
            <w:right w:val="none" w:sz="0" w:space="0" w:color="auto"/>
          </w:divBdr>
          <w:divsChild>
            <w:div w:id="1138692224">
              <w:marLeft w:val="0"/>
              <w:marRight w:val="0"/>
              <w:marTop w:val="0"/>
              <w:marBottom w:val="0"/>
              <w:divBdr>
                <w:top w:val="none" w:sz="0" w:space="0" w:color="auto"/>
                <w:left w:val="none" w:sz="0" w:space="0" w:color="auto"/>
                <w:bottom w:val="none" w:sz="0" w:space="0" w:color="auto"/>
                <w:right w:val="none" w:sz="0" w:space="0" w:color="auto"/>
              </w:divBdr>
            </w:div>
          </w:divsChild>
        </w:div>
        <w:div w:id="1601836419">
          <w:marLeft w:val="0"/>
          <w:marRight w:val="0"/>
          <w:marTop w:val="0"/>
          <w:marBottom w:val="0"/>
          <w:divBdr>
            <w:top w:val="none" w:sz="0" w:space="0" w:color="auto"/>
            <w:left w:val="none" w:sz="0" w:space="0" w:color="auto"/>
            <w:bottom w:val="none" w:sz="0" w:space="0" w:color="auto"/>
            <w:right w:val="none" w:sz="0" w:space="0" w:color="auto"/>
          </w:divBdr>
        </w:div>
        <w:div w:id="1091663746">
          <w:marLeft w:val="0"/>
          <w:marRight w:val="0"/>
          <w:marTop w:val="0"/>
          <w:marBottom w:val="0"/>
          <w:divBdr>
            <w:top w:val="none" w:sz="0" w:space="0" w:color="auto"/>
            <w:left w:val="none" w:sz="0" w:space="0" w:color="auto"/>
            <w:bottom w:val="none" w:sz="0" w:space="0" w:color="auto"/>
            <w:right w:val="none" w:sz="0" w:space="0" w:color="auto"/>
          </w:divBdr>
        </w:div>
        <w:div w:id="1580023630">
          <w:marLeft w:val="0"/>
          <w:marRight w:val="0"/>
          <w:marTop w:val="0"/>
          <w:marBottom w:val="0"/>
          <w:divBdr>
            <w:top w:val="none" w:sz="0" w:space="0" w:color="auto"/>
            <w:left w:val="none" w:sz="0" w:space="0" w:color="auto"/>
            <w:bottom w:val="none" w:sz="0" w:space="0" w:color="auto"/>
            <w:right w:val="none" w:sz="0" w:space="0" w:color="auto"/>
          </w:divBdr>
        </w:div>
        <w:div w:id="538012820">
          <w:marLeft w:val="0"/>
          <w:marRight w:val="0"/>
          <w:marTop w:val="0"/>
          <w:marBottom w:val="0"/>
          <w:divBdr>
            <w:top w:val="none" w:sz="0" w:space="0" w:color="auto"/>
            <w:left w:val="none" w:sz="0" w:space="0" w:color="auto"/>
            <w:bottom w:val="none" w:sz="0" w:space="0" w:color="auto"/>
            <w:right w:val="none" w:sz="0" w:space="0" w:color="auto"/>
          </w:divBdr>
        </w:div>
        <w:div w:id="116991223">
          <w:marLeft w:val="0"/>
          <w:marRight w:val="0"/>
          <w:marTop w:val="0"/>
          <w:marBottom w:val="0"/>
          <w:divBdr>
            <w:top w:val="none" w:sz="0" w:space="0" w:color="auto"/>
            <w:left w:val="none" w:sz="0" w:space="0" w:color="auto"/>
            <w:bottom w:val="none" w:sz="0" w:space="0" w:color="auto"/>
            <w:right w:val="none" w:sz="0" w:space="0" w:color="auto"/>
          </w:divBdr>
        </w:div>
        <w:div w:id="673655563">
          <w:marLeft w:val="0"/>
          <w:marRight w:val="0"/>
          <w:marTop w:val="0"/>
          <w:marBottom w:val="0"/>
          <w:divBdr>
            <w:top w:val="none" w:sz="0" w:space="0" w:color="auto"/>
            <w:left w:val="none" w:sz="0" w:space="0" w:color="auto"/>
            <w:bottom w:val="none" w:sz="0" w:space="0" w:color="auto"/>
            <w:right w:val="none" w:sz="0" w:space="0" w:color="auto"/>
          </w:divBdr>
        </w:div>
        <w:div w:id="1602452331">
          <w:marLeft w:val="0"/>
          <w:marRight w:val="0"/>
          <w:marTop w:val="0"/>
          <w:marBottom w:val="240"/>
          <w:divBdr>
            <w:top w:val="none" w:sz="0" w:space="0" w:color="auto"/>
            <w:left w:val="none" w:sz="0" w:space="0" w:color="auto"/>
            <w:bottom w:val="none" w:sz="0" w:space="0" w:color="auto"/>
            <w:right w:val="none" w:sz="0" w:space="0" w:color="auto"/>
          </w:divBdr>
          <w:divsChild>
            <w:div w:id="16238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x.uz/docs/-3540203" TargetMode="External"/><Relationship Id="rId5" Type="http://schemas.openxmlformats.org/officeDocument/2006/relationships/hyperlink" Target="https://lex.uz/docs/-4562834" TargetMode="External"/><Relationship Id="rId4" Type="http://schemas.openxmlformats.org/officeDocument/2006/relationships/hyperlink" Target="https://lex.uz/docs/-354020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850</Words>
  <Characters>4847</Characters>
  <Application>Microsoft Office Word</Application>
  <DocSecurity>0</DocSecurity>
  <Lines>40</Lines>
  <Paragraphs>11</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Shaxobiddin Normamatov</dc:creator>
  <cp:keywords/>
  <dc:description/>
  <cp:lastModifiedBy>Shaxobiddin Normamatov</cp:lastModifiedBy>
  <cp:revision>2</cp:revision>
  <dcterms:created xsi:type="dcterms:W3CDTF">2026-05-22T12:49:00Z</dcterms:created>
  <dcterms:modified xsi:type="dcterms:W3CDTF">2026-05-22T12:49:00Z</dcterms:modified>
</cp:coreProperties>
</file>