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34B"/>
          <w:sz w:val="44"/>
        </w:rPr>
        <w:t>Lumina RFID — Technical Architecture &amp; Specification</w:t>
      </w:r>
    </w:p>
    <w:p>
      <w:pPr>
        <w:spacing w:after="240"/>
      </w:pPr>
      <w:r>
        <w:rPr>
          <w:rFonts w:ascii="Arial" w:hAnsi="Arial"/>
          <w:i/>
          <w:color w:val="46505F"/>
          <w:sz w:val="22"/>
        </w:rPr>
        <w:t>In-Depth Technical Whitepaper: Tech Stack, Dependencies, Component Interfaces &amp; Relational Architecture</w:t>
      </w:r>
    </w:p>
    <w:tbl>
      <w:tblPr>
        <w:tblW w:type="auto" w:w="0"/>
        <w:jc w:val="center"/>
        <w:tblLook w:firstColumn="1" w:firstRow="1" w:lastColumn="0" w:lastRow="0" w:noHBand="0" w:noVBand="1" w:val="04A0"/>
      </w:tblPr>
      <w:tblGrid>
        <w:gridCol w:w="4896"/>
        <w:gridCol w:w="4896"/>
      </w:tblGrid>
      <w:tr>
        <w:tc>
          <w:tcPr>
            <w:tcW w:type="dxa" w:w="3312"/>
            <w:shd w:fill="F1F5F9"/>
            <w:tcMar>
              <w:top w:w="50" w:type="dxa"/>
              <w:bottom w:w="50" w:type="dxa"/>
              <w:left w:w="100" w:type="dxa"/>
              <w:right w:w="100" w:type="dxa"/>
            </w:tcMar>
          </w:tcPr>
          <w:p>
            <w:pPr>
              <w:spacing w:after="0"/>
            </w:pPr>
            <w:r>
              <w:rPr>
                <w:rFonts w:ascii="Arial" w:hAnsi="Arial"/>
                <w:b/>
                <w:color w:val="1E293B"/>
                <w:sz w:val="18"/>
              </w:rPr>
              <w:t>Document Classification</w:t>
            </w:r>
          </w:p>
        </w:tc>
        <w:tc>
          <w:tcPr>
            <w:tcW w:type="dxa" w:w="6336"/>
            <w:shd w:fill="F8FAFC"/>
            <w:tcMar>
              <w:top w:w="50" w:type="dxa"/>
              <w:bottom w:w="50" w:type="dxa"/>
              <w:left w:w="100" w:type="dxa"/>
              <w:right w:w="100" w:type="dxa"/>
            </w:tcMar>
          </w:tcPr>
          <w:p>
            <w:pPr>
              <w:spacing w:after="0"/>
            </w:pPr>
            <w:r>
              <w:rPr>
                <w:rFonts w:ascii="Arial" w:hAnsi="Arial"/>
                <w:color w:val="1E293B"/>
                <w:sz w:val="18"/>
              </w:rPr>
              <w:t>Technical Architecture Whitepaper &amp; Dependency Specification</w:t>
            </w:r>
          </w:p>
        </w:tc>
      </w:tr>
      <w:tr>
        <w:tc>
          <w:tcPr>
            <w:tcW w:type="dxa" w:w="3312"/>
            <w:shd w:fill="F1F5F9"/>
            <w:tcMar>
              <w:top w:w="50" w:type="dxa"/>
              <w:bottom w:w="50" w:type="dxa"/>
              <w:left w:w="100" w:type="dxa"/>
              <w:right w:w="100" w:type="dxa"/>
            </w:tcMar>
          </w:tcPr>
          <w:p>
            <w:pPr>
              <w:spacing w:after="0"/>
            </w:pPr>
            <w:r>
              <w:rPr>
                <w:rFonts w:ascii="Arial" w:hAnsi="Arial"/>
                <w:b/>
                <w:color w:val="1E293B"/>
                <w:sz w:val="18"/>
              </w:rPr>
              <w:t>System Release</w:t>
            </w:r>
          </w:p>
        </w:tc>
        <w:tc>
          <w:tcPr>
            <w:tcW w:type="dxa" w:w="6336"/>
            <w:shd w:fill="F8FAFC"/>
            <w:tcMar>
              <w:top w:w="50" w:type="dxa"/>
              <w:bottom w:w="50" w:type="dxa"/>
              <w:left w:w="100" w:type="dxa"/>
              <w:right w:w="100" w:type="dxa"/>
            </w:tcMar>
          </w:tcPr>
          <w:p>
            <w:pPr>
              <w:spacing w:after="0"/>
            </w:pPr>
            <w:r>
              <w:rPr>
                <w:rFonts w:ascii="Arial" w:hAnsi="Arial"/>
                <w:color w:val="1E293B"/>
                <w:sz w:val="18"/>
              </w:rPr>
              <w:t>Lumina RFID — Phase-1 Production Prototype</w:t>
            </w:r>
          </w:p>
        </w:tc>
      </w:tr>
      <w:tr>
        <w:tc>
          <w:tcPr>
            <w:tcW w:type="dxa" w:w="3312"/>
            <w:shd w:fill="F1F5F9"/>
            <w:tcMar>
              <w:top w:w="50" w:type="dxa"/>
              <w:bottom w:w="50" w:type="dxa"/>
              <w:left w:w="100" w:type="dxa"/>
              <w:right w:w="100" w:type="dxa"/>
            </w:tcMar>
          </w:tcPr>
          <w:p>
            <w:pPr>
              <w:spacing w:after="0"/>
            </w:pPr>
            <w:r>
              <w:rPr>
                <w:rFonts w:ascii="Arial" w:hAnsi="Arial"/>
                <w:b/>
                <w:color w:val="1E293B"/>
                <w:sz w:val="18"/>
              </w:rPr>
              <w:t>Date of Publication</w:t>
            </w:r>
          </w:p>
        </w:tc>
        <w:tc>
          <w:tcPr>
            <w:tcW w:type="dxa" w:w="6336"/>
            <w:shd w:fill="F8FAFC"/>
            <w:tcMar>
              <w:top w:w="50" w:type="dxa"/>
              <w:bottom w:w="50" w:type="dxa"/>
              <w:left w:w="100" w:type="dxa"/>
              <w:right w:w="100" w:type="dxa"/>
            </w:tcMar>
          </w:tcPr>
          <w:p>
            <w:pPr>
              <w:spacing w:after="0"/>
            </w:pPr>
            <w:r>
              <w:rPr>
                <w:rFonts w:ascii="Arial" w:hAnsi="Arial"/>
                <w:color w:val="1E293B"/>
                <w:sz w:val="18"/>
              </w:rPr>
              <w:t>October 8, 2026</w:t>
            </w:r>
          </w:p>
        </w:tc>
      </w:tr>
      <w:tr>
        <w:tc>
          <w:tcPr>
            <w:tcW w:type="dxa" w:w="3312"/>
            <w:shd w:fill="F1F5F9"/>
            <w:tcMar>
              <w:top w:w="50" w:type="dxa"/>
              <w:bottom w:w="50" w:type="dxa"/>
              <w:left w:w="100" w:type="dxa"/>
              <w:right w:w="100" w:type="dxa"/>
            </w:tcMar>
          </w:tcPr>
          <w:p>
            <w:pPr>
              <w:spacing w:after="0"/>
            </w:pPr>
            <w:r>
              <w:rPr>
                <w:rFonts w:ascii="Arial" w:hAnsi="Arial"/>
                <w:b/>
                <w:color w:val="1E293B"/>
                <w:sz w:val="18"/>
              </w:rPr>
              <w:t>Target Reviewers</w:t>
            </w:r>
          </w:p>
        </w:tc>
        <w:tc>
          <w:tcPr>
            <w:tcW w:type="dxa" w:w="6336"/>
            <w:shd w:fill="F8FAFC"/>
            <w:tcMar>
              <w:top w:w="50" w:type="dxa"/>
              <w:bottom w:w="50" w:type="dxa"/>
              <w:left w:w="100" w:type="dxa"/>
              <w:right w:w="100" w:type="dxa"/>
            </w:tcMar>
          </w:tcPr>
          <w:p>
            <w:pPr>
              <w:spacing w:after="0"/>
            </w:pPr>
            <w:r>
              <w:rPr>
                <w:rFonts w:ascii="Arial" w:hAnsi="Arial"/>
                <w:color w:val="1E293B"/>
                <w:sz w:val="18"/>
              </w:rPr>
              <w:t>CTO, Software Architects, Full-Stack Developers, Security Evaluators</w:t>
            </w:r>
          </w:p>
        </w:tc>
      </w:tr>
    </w:tbl>
    <w:p>
      <w:pPr>
        <w:spacing w:after="160"/>
      </w:pPr>
    </w:p>
    <w:p>
      <w:pPr>
        <w:keepNext/>
        <w:spacing w:before="280" w:after="80"/>
      </w:pPr>
      <w:r>
        <w:rPr>
          <w:rFonts w:ascii="Arial" w:hAnsi="Arial"/>
          <w:b/>
          <w:color w:val="0F234B"/>
          <w:sz w:val="26"/>
        </w:rPr>
        <w:t>1. Executive Technical Overview</w:t>
      </w:r>
    </w:p>
    <w:p>
      <w:pPr>
        <w:spacing w:after="80" w:line="276" w:lineRule="auto"/>
      </w:pPr>
      <w:r>
        <w:rPr>
          <w:rFonts w:ascii="Arial" w:hAnsi="Arial"/>
          <w:color w:val="1E293B"/>
          <w:sz w:val="19"/>
        </w:rPr>
      </w:r>
      <w:r>
        <w:rPr>
          <w:rFonts w:ascii="Arial" w:hAnsi="Arial"/>
          <w:b/>
          <w:sz w:val="19"/>
        </w:rPr>
        <w:t>Lumina RFID</w:t>
      </w:r>
      <w:r>
        <w:rPr>
          <w:rFonts w:ascii="Arial" w:hAnsi="Arial"/>
          <w:color w:val="1E293B"/>
          <w:sz w:val="19"/>
        </w:rPr>
        <w:t xml:space="preserve"> is a specialized, custodial inventory and workflow management solution developed specifically for fine luxury jewellery stores. The system addresses the unique operational risks of high-value inventory handling: untracked removal of pieces from display cases, custodial ambiguity during sales presentations, manual ledger reconciliations, and the complexities of physical RFID tag lifecycle management.</w:t>
      </w:r>
    </w:p>
    <w:p>
      <w:pPr>
        <w:spacing w:after="80" w:line="276" w:lineRule="auto"/>
      </w:pPr>
      <w:r>
        <w:rPr>
          <w:rFonts w:ascii="Arial" w:hAnsi="Arial"/>
          <w:color w:val="1E293B"/>
          <w:sz w:val="19"/>
        </w:rPr>
        <w:t>To achieve maximum reliability with zero unnecessary enterprise-level bloat, the software was engineered around a disciplined, lightweight, and modern technology stack:</w:t>
      </w:r>
    </w:p>
    <w:p>
      <w:pPr>
        <w:pStyle w:val="ListBullet"/>
        <w:spacing w:after="40"/>
      </w:pPr>
      <w:r>
        <w:rPr>
          <w:rFonts w:ascii="Arial" w:hAnsi="Arial"/>
          <w:color w:val="1E293B"/>
          <w:sz w:val="19"/>
        </w:rPr>
      </w:r>
      <w:r>
        <w:rPr>
          <w:rFonts w:ascii="Arial" w:hAnsi="Arial"/>
          <w:b/>
          <w:sz w:val="19"/>
        </w:rPr>
        <w:t>Presentation Layer:</w:t>
      </w:r>
      <w:r>
        <w:rPr>
          <w:rFonts w:ascii="Arial" w:hAnsi="Arial"/>
          <w:color w:val="1E293B"/>
          <w:sz w:val="19"/>
        </w:rPr>
        <w:t xml:space="preserve"> React.js 18 with Vite build tooling and React Router v7.</w:t>
      </w:r>
    </w:p>
    <w:p>
      <w:pPr>
        <w:pStyle w:val="ListBullet"/>
        <w:spacing w:after="40"/>
      </w:pPr>
      <w:r>
        <w:rPr>
          <w:rFonts w:ascii="Arial" w:hAnsi="Arial"/>
          <w:color w:val="1E293B"/>
          <w:sz w:val="19"/>
        </w:rPr>
      </w:r>
      <w:r>
        <w:rPr>
          <w:rFonts w:ascii="Arial" w:hAnsi="Arial"/>
          <w:b/>
          <w:sz w:val="19"/>
        </w:rPr>
        <w:t>Styling Architecture:</w:t>
      </w:r>
      <w:r>
        <w:rPr>
          <w:rFonts w:ascii="Arial" w:hAnsi="Arial"/>
          <w:color w:val="1E293B"/>
          <w:sz w:val="19"/>
        </w:rPr>
        <w:t xml:space="preserve"> High-performance, tokenized Vanilla CSS (zero external UI framework runtime overhead).</w:t>
      </w:r>
    </w:p>
    <w:p>
      <w:pPr>
        <w:pStyle w:val="ListBullet"/>
        <w:spacing w:after="40"/>
      </w:pPr>
      <w:r>
        <w:rPr>
          <w:rFonts w:ascii="Arial" w:hAnsi="Arial"/>
          <w:color w:val="1E293B"/>
          <w:sz w:val="19"/>
        </w:rPr>
      </w:r>
      <w:r>
        <w:rPr>
          <w:rFonts w:ascii="Arial" w:hAnsi="Arial"/>
          <w:b/>
          <w:sz w:val="19"/>
        </w:rPr>
        <w:t>Application Services Layer:</w:t>
      </w:r>
      <w:r>
        <w:rPr>
          <w:rFonts w:ascii="Arial" w:hAnsi="Arial"/>
          <w:color w:val="1E293B"/>
          <w:sz w:val="19"/>
        </w:rPr>
        <w:t xml:space="preserve"> Python 3.14+ with Flask 3.1 REST API framework.</w:t>
      </w:r>
    </w:p>
    <w:p>
      <w:pPr>
        <w:pStyle w:val="ListBullet"/>
        <w:spacing w:after="40"/>
      </w:pPr>
      <w:r>
        <w:rPr>
          <w:rFonts w:ascii="Arial" w:hAnsi="Arial"/>
          <w:color w:val="1E293B"/>
          <w:sz w:val="19"/>
        </w:rPr>
      </w:r>
      <w:r>
        <w:rPr>
          <w:rFonts w:ascii="Arial" w:hAnsi="Arial"/>
          <w:b/>
          <w:sz w:val="19"/>
        </w:rPr>
        <w:t>Persistence &amp; Transaction Engine:</w:t>
      </w:r>
      <w:r>
        <w:rPr>
          <w:rFonts w:ascii="Arial" w:hAnsi="Arial"/>
          <w:color w:val="1E293B"/>
          <w:sz w:val="19"/>
        </w:rPr>
        <w:t xml:space="preserve"> SQLite 3 with Write-Ahead Logging (WAL) and enforced Foreign Key constraints.</w:t>
      </w:r>
    </w:p>
    <w:p>
      <w:pPr>
        <w:pStyle w:val="ListBullet"/>
        <w:spacing w:after="40"/>
      </w:pPr>
      <w:r>
        <w:rPr>
          <w:rFonts w:ascii="Arial" w:hAnsi="Arial"/>
          <w:color w:val="1E293B"/>
          <w:sz w:val="19"/>
        </w:rPr>
      </w:r>
      <w:r>
        <w:rPr>
          <w:rFonts w:ascii="Arial" w:hAnsi="Arial"/>
          <w:b/>
          <w:sz w:val="19"/>
        </w:rPr>
        <w:t>Hardware Integration Layer:</w:t>
      </w:r>
      <w:r>
        <w:rPr>
          <w:rFonts w:ascii="Arial" w:hAnsi="Arial"/>
          <w:color w:val="1E293B"/>
          <w:sz w:val="19"/>
        </w:rPr>
        <w:t xml:space="preserve"> USB HID (Human Interface Device) keyboard emulation with an application-level context engine and software debounce logic.</w:t>
      </w:r>
    </w:p>
    <w:p>
      <w:pPr>
        <w:keepNext/>
        <w:spacing w:before="280" w:after="80"/>
      </w:pPr>
      <w:r>
        <w:rPr>
          <w:rFonts w:ascii="Arial" w:hAnsi="Arial"/>
          <w:b/>
          <w:color w:val="0F234B"/>
          <w:sz w:val="26"/>
        </w:rPr>
        <w:t>2. Comprehensive Technology Stack &amp; Dependency Matrix</w:t>
      </w:r>
    </w:p>
    <w:p>
      <w:pPr>
        <w:spacing w:after="80" w:line="276" w:lineRule="auto"/>
      </w:pPr>
      <w:r>
        <w:rPr>
          <w:rFonts w:ascii="Arial" w:hAnsi="Arial"/>
          <w:color w:val="1E293B"/>
          <w:sz w:val="19"/>
        </w:rPr>
        <w:t>The application strictly avoids heavy enterprise frameworks (such as Docker, Redux, JWT microservices, Kubernetes, or heavyweight component libraries like Material UI or Ant Design) in favor of deterministic, auditable, and easily maintainable native components.</w:t>
      </w:r>
    </w:p>
    <w:p>
      <w:pPr>
        <w:keepNext/>
        <w:spacing w:before="200" w:after="60"/>
      </w:pPr>
      <w:r>
        <w:rPr>
          <w:rFonts w:ascii="Arial" w:hAnsi="Arial"/>
          <w:b/>
          <w:color w:val="2563EB"/>
          <w:sz w:val="22"/>
        </w:rPr>
        <w:t>2.1 Complete Component &amp; Dependency Breakdown</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tcMar>
              <w:top w:w="70" w:type="dxa"/>
              <w:bottom w:w="70" w:type="dxa"/>
              <w:left w:w="90" w:type="dxa"/>
              <w:right w:w="90" w:type="dxa"/>
            </w:tcMar>
            <w:shd w:fill="1E3A8A"/>
          </w:tcPr>
          <w:p>
            <w:pPr>
              <w:spacing w:after="0"/>
            </w:pPr>
            <w:r>
              <w:rPr>
                <w:rFonts w:ascii="Arial" w:hAnsi="Arial"/>
                <w:b/>
                <w:color w:val="FFFFFF"/>
                <w:sz w:val="17"/>
              </w:rPr>
              <w:t>Layer</w:t>
            </w:r>
          </w:p>
        </w:tc>
        <w:tc>
          <w:tcPr>
            <w:tcW w:type="dxa" w:w="1958"/>
            <w:tcMar>
              <w:top w:w="70" w:type="dxa"/>
              <w:bottom w:w="70" w:type="dxa"/>
              <w:left w:w="90" w:type="dxa"/>
              <w:right w:w="90" w:type="dxa"/>
            </w:tcMar>
            <w:shd w:fill="1E3A8A"/>
          </w:tcPr>
          <w:p>
            <w:pPr>
              <w:spacing w:after="0"/>
            </w:pPr>
            <w:r>
              <w:rPr>
                <w:rFonts w:ascii="Arial" w:hAnsi="Arial"/>
                <w:b/>
                <w:color w:val="FFFFFF"/>
                <w:sz w:val="17"/>
              </w:rPr>
              <w:t>Technology / Library</w:t>
            </w:r>
          </w:p>
        </w:tc>
        <w:tc>
          <w:tcPr>
            <w:tcW w:type="dxa" w:w="1958"/>
            <w:tcMar>
              <w:top w:w="70" w:type="dxa"/>
              <w:bottom w:w="70" w:type="dxa"/>
              <w:left w:w="90" w:type="dxa"/>
              <w:right w:w="90" w:type="dxa"/>
            </w:tcMar>
            <w:shd w:fill="1E3A8A"/>
          </w:tcPr>
          <w:p>
            <w:pPr>
              <w:spacing w:after="0"/>
            </w:pPr>
            <w:r>
              <w:rPr>
                <w:rFonts w:ascii="Arial" w:hAnsi="Arial"/>
                <w:b/>
                <w:color w:val="FFFFFF"/>
                <w:sz w:val="17"/>
              </w:rPr>
              <w:t>Version</w:t>
            </w:r>
          </w:p>
        </w:tc>
        <w:tc>
          <w:tcPr>
            <w:tcW w:type="dxa" w:w="1958"/>
            <w:tcMar>
              <w:top w:w="70" w:type="dxa"/>
              <w:bottom w:w="70" w:type="dxa"/>
              <w:left w:w="90" w:type="dxa"/>
              <w:right w:w="90" w:type="dxa"/>
            </w:tcMar>
            <w:shd w:fill="1E3A8A"/>
          </w:tcPr>
          <w:p>
            <w:pPr>
              <w:spacing w:after="0"/>
            </w:pPr>
            <w:r>
              <w:rPr>
                <w:rFonts w:ascii="Arial" w:hAnsi="Arial"/>
                <w:b/>
                <w:color w:val="FFFFFF"/>
                <w:sz w:val="17"/>
              </w:rPr>
              <w:t>Exact Purpose in Lumina RFID</w:t>
            </w:r>
          </w:p>
        </w:tc>
        <w:tc>
          <w:tcPr>
            <w:tcW w:type="dxa" w:w="1958"/>
            <w:tcMar>
              <w:top w:w="70" w:type="dxa"/>
              <w:bottom w:w="70" w:type="dxa"/>
              <w:left w:w="90" w:type="dxa"/>
              <w:right w:w="90" w:type="dxa"/>
            </w:tcMar>
            <w:shd w:fill="1E3A8A"/>
          </w:tcPr>
          <w:p>
            <w:pPr>
              <w:spacing w:after="0"/>
            </w:pPr>
            <w:r>
              <w:rPr>
                <w:rFonts w:ascii="Arial" w:hAnsi="Arial"/>
                <w:b/>
                <w:color w:val="FFFFFF"/>
                <w:sz w:val="17"/>
              </w:rPr>
              <w:t>Architectural Justification</w:t>
            </w:r>
          </w:p>
        </w:tc>
      </w:tr>
      <w:tr>
        <w:tc>
          <w:tcPr>
            <w:tcW w:type="dxa" w:w="1958"/>
            <w:tcMar>
              <w:top w:w="70" w:type="dxa"/>
              <w:bottom w:w="70" w:type="dxa"/>
              <w:left w:w="90" w:type="dxa"/>
              <w:right w:w="90" w:type="dxa"/>
            </w:tcMar>
            <w:shd w:fill="F8FAFC"/>
          </w:tcPr>
          <w:p>
            <w:pPr>
              <w:spacing w:after="0"/>
            </w:pPr>
            <w:r>
              <w:rPr>
                <w:rFonts w:ascii="Arial" w:hAnsi="Arial"/>
                <w:b/>
                <w:color w:val="1E293B"/>
                <w:sz w:val="17"/>
              </w:rPr>
              <w:t>Frontend Runtime</w:t>
            </w:r>
          </w:p>
        </w:tc>
        <w:tc>
          <w:tcPr>
            <w:tcW w:type="dxa" w:w="1958"/>
            <w:tcMar>
              <w:top w:w="70" w:type="dxa"/>
              <w:bottom w:w="70" w:type="dxa"/>
              <w:left w:w="90" w:type="dxa"/>
              <w:right w:w="90" w:type="dxa"/>
            </w:tcMar>
            <w:shd w:fill="F8FAFC"/>
          </w:tcPr>
          <w:p>
            <w:pPr>
              <w:spacing w:after="0"/>
            </w:pPr>
            <w:r>
              <w:rPr>
                <w:rFonts w:ascii="Arial" w:hAnsi="Arial"/>
                <w:b/>
                <w:color w:val="1E293B"/>
                <w:sz w:val="17"/>
              </w:rPr>
              <w:t>Node.js</w:t>
            </w:r>
          </w:p>
        </w:tc>
        <w:tc>
          <w:tcPr>
            <w:tcW w:type="dxa" w:w="1958"/>
            <w:tcMar>
              <w:top w:w="70" w:type="dxa"/>
              <w:bottom w:w="70" w:type="dxa"/>
              <w:left w:w="90" w:type="dxa"/>
              <w:right w:w="90" w:type="dxa"/>
            </w:tcMar>
            <w:shd w:fill="F8FAFC"/>
          </w:tcPr>
          <w:p>
            <w:pPr>
              <w:spacing w:after="0"/>
            </w:pPr>
            <w:r>
              <w:rPr>
                <w:rFonts w:ascii="Arial" w:hAnsi="Arial"/>
                <w:color w:val="1E293B"/>
                <w:sz w:val="17"/>
              </w:rPr>
              <w:t>20+ / 22+</w:t>
            </w:r>
          </w:p>
        </w:tc>
        <w:tc>
          <w:tcPr>
            <w:tcW w:type="dxa" w:w="1958"/>
            <w:tcMar>
              <w:top w:w="70" w:type="dxa"/>
              <w:bottom w:w="70" w:type="dxa"/>
              <w:left w:w="90" w:type="dxa"/>
              <w:right w:w="90" w:type="dxa"/>
            </w:tcMar>
            <w:shd w:fill="F8FAFC"/>
          </w:tcPr>
          <w:p>
            <w:pPr>
              <w:spacing w:after="0"/>
            </w:pPr>
            <w:r>
              <w:rPr>
                <w:rFonts w:ascii="Arial" w:hAnsi="Arial"/>
                <w:color w:val="1E293B"/>
                <w:sz w:val="17"/>
              </w:rPr>
              <w:t>Host environment for frontend bundling and Vite development proxy.</w:t>
            </w:r>
          </w:p>
        </w:tc>
        <w:tc>
          <w:tcPr>
            <w:tcW w:type="dxa" w:w="1958"/>
            <w:tcMar>
              <w:top w:w="70" w:type="dxa"/>
              <w:bottom w:w="70" w:type="dxa"/>
              <w:left w:w="90" w:type="dxa"/>
              <w:right w:w="90" w:type="dxa"/>
            </w:tcMar>
            <w:shd w:fill="F8FAFC"/>
          </w:tcPr>
          <w:p>
            <w:pPr>
              <w:spacing w:after="0"/>
            </w:pPr>
            <w:r>
              <w:rPr>
                <w:rFonts w:ascii="Arial" w:hAnsi="Arial"/>
                <w:color w:val="1E293B"/>
                <w:sz w:val="17"/>
              </w:rPr>
              <w:t>Industry standard execution environment for modern JavaScript toolchains.</w:t>
            </w:r>
          </w:p>
        </w:tc>
      </w:tr>
      <w:tr>
        <w:tc>
          <w:tcPr>
            <w:tcW w:type="dxa" w:w="1958"/>
            <w:tcMar>
              <w:top w:w="70" w:type="dxa"/>
              <w:bottom w:w="70" w:type="dxa"/>
              <w:left w:w="90" w:type="dxa"/>
              <w:right w:w="90" w:type="dxa"/>
            </w:tcMar>
            <w:shd w:fill="FFFFFF"/>
          </w:tcPr>
          <w:p>
            <w:pPr>
              <w:spacing w:after="0"/>
            </w:pPr>
            <w:r>
              <w:rPr>
                <w:rFonts w:ascii="Arial" w:hAnsi="Arial"/>
                <w:b/>
                <w:color w:val="1E293B"/>
                <w:sz w:val="17"/>
              </w:rPr>
              <w:t>Frontend Framework</w:t>
            </w:r>
          </w:p>
        </w:tc>
        <w:tc>
          <w:tcPr>
            <w:tcW w:type="dxa" w:w="1958"/>
            <w:tcMar>
              <w:top w:w="70" w:type="dxa"/>
              <w:bottom w:w="70" w:type="dxa"/>
              <w:left w:w="90" w:type="dxa"/>
              <w:right w:w="90" w:type="dxa"/>
            </w:tcMar>
            <w:shd w:fill="FFFFFF"/>
          </w:tcPr>
          <w:p>
            <w:pPr>
              <w:spacing w:after="0"/>
            </w:pPr>
            <w:r>
              <w:rPr>
                <w:rFonts w:ascii="Arial" w:hAnsi="Arial"/>
                <w:b/>
                <w:color w:val="1E293B"/>
                <w:sz w:val="17"/>
              </w:rPr>
              <w:t>React.js (react, react-dom)</w:t>
            </w:r>
          </w:p>
        </w:tc>
        <w:tc>
          <w:tcPr>
            <w:tcW w:type="dxa" w:w="1958"/>
            <w:tcMar>
              <w:top w:w="70" w:type="dxa"/>
              <w:bottom w:w="70" w:type="dxa"/>
              <w:left w:w="90" w:type="dxa"/>
              <w:right w:w="90" w:type="dxa"/>
            </w:tcMar>
            <w:shd w:fill="FFFFFF"/>
          </w:tcPr>
          <w:p>
            <w:pPr>
              <w:spacing w:after="0"/>
            </w:pPr>
            <w:r>
              <w:rPr>
                <w:rFonts w:ascii="Arial" w:hAnsi="Arial"/>
                <w:color w:val="1E293B"/>
                <w:sz w:val="17"/>
              </w:rPr>
              <w:t>18.3.1</w:t>
            </w:r>
          </w:p>
        </w:tc>
        <w:tc>
          <w:tcPr>
            <w:tcW w:type="dxa" w:w="1958"/>
            <w:tcMar>
              <w:top w:w="70" w:type="dxa"/>
              <w:bottom w:w="70" w:type="dxa"/>
              <w:left w:w="90" w:type="dxa"/>
              <w:right w:w="90" w:type="dxa"/>
            </w:tcMar>
            <w:shd w:fill="FFFFFF"/>
          </w:tcPr>
          <w:p>
            <w:pPr>
              <w:spacing w:after="0"/>
            </w:pPr>
            <w:r>
              <w:rPr>
                <w:rFonts w:ascii="Arial" w:hAnsi="Arial"/>
                <w:color w:val="1E293B"/>
                <w:sz w:val="17"/>
              </w:rPr>
              <w:t>Core component lifecycle, reactive state management (useState, useEffect, useRef, useCallback).</w:t>
            </w:r>
          </w:p>
        </w:tc>
        <w:tc>
          <w:tcPr>
            <w:tcW w:type="dxa" w:w="1958"/>
            <w:tcMar>
              <w:top w:w="70" w:type="dxa"/>
              <w:bottom w:w="70" w:type="dxa"/>
              <w:left w:w="90" w:type="dxa"/>
              <w:right w:w="90" w:type="dxa"/>
            </w:tcMar>
            <w:shd w:fill="FFFFFF"/>
          </w:tcPr>
          <w:p>
            <w:pPr>
              <w:spacing w:after="0"/>
            </w:pPr>
            <w:r>
              <w:rPr>
                <w:rFonts w:ascii="Arial" w:hAnsi="Arial"/>
                <w:color w:val="1E293B"/>
                <w:sz w:val="17"/>
              </w:rPr>
              <w:t>Virtual DOM provides instant UI updates upon hardware scans without page reloads.</w:t>
            </w:r>
          </w:p>
        </w:tc>
      </w:tr>
      <w:tr>
        <w:tc>
          <w:tcPr>
            <w:tcW w:type="dxa" w:w="1958"/>
            <w:tcMar>
              <w:top w:w="70" w:type="dxa"/>
              <w:bottom w:w="70" w:type="dxa"/>
              <w:left w:w="90" w:type="dxa"/>
              <w:right w:w="90" w:type="dxa"/>
            </w:tcMar>
            <w:shd w:fill="F8FAFC"/>
          </w:tcPr>
          <w:p>
            <w:pPr>
              <w:spacing w:after="0"/>
            </w:pPr>
            <w:r>
              <w:rPr>
                <w:rFonts w:ascii="Arial" w:hAnsi="Arial"/>
                <w:b/>
                <w:color w:val="1E293B"/>
                <w:sz w:val="17"/>
              </w:rPr>
              <w:t>Frontend Bundler</w:t>
            </w:r>
          </w:p>
        </w:tc>
        <w:tc>
          <w:tcPr>
            <w:tcW w:type="dxa" w:w="1958"/>
            <w:tcMar>
              <w:top w:w="70" w:type="dxa"/>
              <w:bottom w:w="70" w:type="dxa"/>
              <w:left w:w="90" w:type="dxa"/>
              <w:right w:w="90" w:type="dxa"/>
            </w:tcMar>
            <w:shd w:fill="F8FAFC"/>
          </w:tcPr>
          <w:p>
            <w:pPr>
              <w:spacing w:after="0"/>
            </w:pPr>
            <w:r>
              <w:rPr>
                <w:rFonts w:ascii="Arial" w:hAnsi="Arial"/>
                <w:b/>
                <w:color w:val="1E293B"/>
                <w:sz w:val="17"/>
              </w:rPr>
              <w:t>Vite (@vitejs/plugin-react)</w:t>
            </w:r>
          </w:p>
        </w:tc>
        <w:tc>
          <w:tcPr>
            <w:tcW w:type="dxa" w:w="1958"/>
            <w:tcMar>
              <w:top w:w="70" w:type="dxa"/>
              <w:bottom w:w="70" w:type="dxa"/>
              <w:left w:w="90" w:type="dxa"/>
              <w:right w:w="90" w:type="dxa"/>
            </w:tcMar>
            <w:shd w:fill="F8FAFC"/>
          </w:tcPr>
          <w:p>
            <w:pPr>
              <w:spacing w:after="0"/>
            </w:pPr>
            <w:r>
              <w:rPr>
                <w:rFonts w:ascii="Arial" w:hAnsi="Arial"/>
                <w:color w:val="1E293B"/>
                <w:sz w:val="17"/>
              </w:rPr>
              <w:t>8.3.3</w:t>
            </w:r>
          </w:p>
        </w:tc>
        <w:tc>
          <w:tcPr>
            <w:tcW w:type="dxa" w:w="1958"/>
            <w:tcMar>
              <w:top w:w="70" w:type="dxa"/>
              <w:bottom w:w="70" w:type="dxa"/>
              <w:left w:w="90" w:type="dxa"/>
              <w:right w:w="90" w:type="dxa"/>
            </w:tcMar>
            <w:shd w:fill="F8FAFC"/>
          </w:tcPr>
          <w:p>
            <w:pPr>
              <w:spacing w:after="0"/>
            </w:pPr>
            <w:r>
              <w:rPr>
                <w:rFonts w:ascii="Arial" w:hAnsi="Arial"/>
                <w:color w:val="1E293B"/>
                <w:sz w:val="17"/>
              </w:rPr>
              <w:t>Fast Hot Module Replacement (HMR), optimized Rollup production bundling, and development reverse proxy.</w:t>
            </w:r>
          </w:p>
        </w:tc>
        <w:tc>
          <w:tcPr>
            <w:tcW w:type="dxa" w:w="1958"/>
            <w:tcMar>
              <w:top w:w="70" w:type="dxa"/>
              <w:bottom w:w="70" w:type="dxa"/>
              <w:left w:w="90" w:type="dxa"/>
              <w:right w:w="90" w:type="dxa"/>
            </w:tcMar>
            <w:shd w:fill="F8FAFC"/>
          </w:tcPr>
          <w:p>
            <w:pPr>
              <w:spacing w:after="0"/>
            </w:pPr>
            <w:r>
              <w:rPr>
                <w:rFonts w:ascii="Arial" w:hAnsi="Arial"/>
                <w:color w:val="1E293B"/>
                <w:sz w:val="17"/>
              </w:rPr>
              <w:t>Eliminates manual Webpack configuration; native ES module compilation provides instantaneous dev server start.</w:t>
            </w:r>
          </w:p>
        </w:tc>
      </w:tr>
      <w:tr>
        <w:tc>
          <w:tcPr>
            <w:tcW w:type="dxa" w:w="1958"/>
            <w:tcMar>
              <w:top w:w="70" w:type="dxa"/>
              <w:bottom w:w="70" w:type="dxa"/>
              <w:left w:w="90" w:type="dxa"/>
              <w:right w:w="90" w:type="dxa"/>
            </w:tcMar>
            <w:shd w:fill="FFFFFF"/>
          </w:tcPr>
          <w:p>
            <w:pPr>
              <w:spacing w:after="0"/>
            </w:pPr>
            <w:r>
              <w:rPr>
                <w:rFonts w:ascii="Arial" w:hAnsi="Arial"/>
                <w:b/>
                <w:color w:val="1E293B"/>
                <w:sz w:val="17"/>
              </w:rPr>
              <w:t>Frontend Routing</w:t>
            </w:r>
          </w:p>
        </w:tc>
        <w:tc>
          <w:tcPr>
            <w:tcW w:type="dxa" w:w="1958"/>
            <w:tcMar>
              <w:top w:w="70" w:type="dxa"/>
              <w:bottom w:w="70" w:type="dxa"/>
              <w:left w:w="90" w:type="dxa"/>
              <w:right w:w="90" w:type="dxa"/>
            </w:tcMar>
            <w:shd w:fill="FFFFFF"/>
          </w:tcPr>
          <w:p>
            <w:pPr>
              <w:spacing w:after="0"/>
            </w:pPr>
            <w:r>
              <w:rPr>
                <w:rFonts w:ascii="Arial" w:hAnsi="Arial"/>
                <w:b/>
                <w:color w:val="1E293B"/>
                <w:sz w:val="17"/>
              </w:rPr>
              <w:t>React Router (react-router-dom)</w:t>
            </w:r>
          </w:p>
        </w:tc>
        <w:tc>
          <w:tcPr>
            <w:tcW w:type="dxa" w:w="1958"/>
            <w:tcMar>
              <w:top w:w="70" w:type="dxa"/>
              <w:bottom w:w="70" w:type="dxa"/>
              <w:left w:w="90" w:type="dxa"/>
              <w:right w:w="90" w:type="dxa"/>
            </w:tcMar>
            <w:shd w:fill="FFFFFF"/>
          </w:tcPr>
          <w:p>
            <w:pPr>
              <w:spacing w:after="0"/>
            </w:pPr>
            <w:r>
              <w:rPr>
                <w:rFonts w:ascii="Arial" w:hAnsi="Arial"/>
                <w:color w:val="1E293B"/>
                <w:sz w:val="17"/>
              </w:rPr>
              <w:t>7.x</w:t>
            </w:r>
          </w:p>
        </w:tc>
        <w:tc>
          <w:tcPr>
            <w:tcW w:type="dxa" w:w="1958"/>
            <w:tcMar>
              <w:top w:w="70" w:type="dxa"/>
              <w:bottom w:w="70" w:type="dxa"/>
              <w:left w:w="90" w:type="dxa"/>
              <w:right w:w="90" w:type="dxa"/>
            </w:tcMar>
            <w:shd w:fill="FFFFFF"/>
          </w:tcPr>
          <w:p>
            <w:pPr>
              <w:spacing w:after="0"/>
            </w:pPr>
            <w:r>
              <w:rPr>
                <w:rFonts w:ascii="Arial" w:hAnsi="Arial"/>
                <w:color w:val="1E293B"/>
                <w:sz w:val="17"/>
              </w:rPr>
              <w:t>Declarative client-side routing across /admin/*, /salesperson/*, and /manager/*.</w:t>
            </w:r>
          </w:p>
        </w:tc>
        <w:tc>
          <w:tcPr>
            <w:tcW w:type="dxa" w:w="1958"/>
            <w:tcMar>
              <w:top w:w="70" w:type="dxa"/>
              <w:bottom w:w="70" w:type="dxa"/>
              <w:left w:w="90" w:type="dxa"/>
              <w:right w:w="90" w:type="dxa"/>
            </w:tcMar>
            <w:shd w:fill="FFFFFF"/>
          </w:tcPr>
          <w:p>
            <w:pPr>
              <w:spacing w:after="0"/>
            </w:pPr>
            <w:r>
              <w:rPr>
                <w:rFonts w:ascii="Arial" w:hAnsi="Arial"/>
                <w:color w:val="1E293B"/>
                <w:sz w:val="17"/>
              </w:rPr>
              <w:t>Enables seamless navigation while preserving application state and RFID reader autofocus contexts.</w:t>
            </w:r>
          </w:p>
        </w:tc>
      </w:tr>
      <w:tr>
        <w:tc>
          <w:tcPr>
            <w:tcW w:type="dxa" w:w="1958"/>
            <w:tcMar>
              <w:top w:w="70" w:type="dxa"/>
              <w:bottom w:w="70" w:type="dxa"/>
              <w:left w:w="90" w:type="dxa"/>
              <w:right w:w="90" w:type="dxa"/>
            </w:tcMar>
            <w:shd w:fill="F8FAFC"/>
          </w:tcPr>
          <w:p>
            <w:pPr>
              <w:spacing w:after="0"/>
            </w:pPr>
            <w:r>
              <w:rPr>
                <w:rFonts w:ascii="Arial" w:hAnsi="Arial"/>
                <w:b/>
                <w:color w:val="1E293B"/>
                <w:sz w:val="17"/>
              </w:rPr>
              <w:t>Styling Engine</w:t>
            </w:r>
          </w:p>
        </w:tc>
        <w:tc>
          <w:tcPr>
            <w:tcW w:type="dxa" w:w="1958"/>
            <w:tcMar>
              <w:top w:w="70" w:type="dxa"/>
              <w:bottom w:w="70" w:type="dxa"/>
              <w:left w:w="90" w:type="dxa"/>
              <w:right w:w="90" w:type="dxa"/>
            </w:tcMar>
            <w:shd w:fill="F8FAFC"/>
          </w:tcPr>
          <w:p>
            <w:pPr>
              <w:spacing w:after="0"/>
            </w:pPr>
            <w:r>
              <w:rPr>
                <w:rFonts w:ascii="Arial" w:hAnsi="Arial"/>
                <w:b/>
                <w:color w:val="1E293B"/>
                <w:sz w:val="17"/>
              </w:rPr>
              <w:t>Vanilla CSS (index.css)</w:t>
            </w:r>
          </w:p>
        </w:tc>
        <w:tc>
          <w:tcPr>
            <w:tcW w:type="dxa" w:w="1958"/>
            <w:tcMar>
              <w:top w:w="70" w:type="dxa"/>
              <w:bottom w:w="70" w:type="dxa"/>
              <w:left w:w="90" w:type="dxa"/>
              <w:right w:w="90" w:type="dxa"/>
            </w:tcMar>
            <w:shd w:fill="F8FAFC"/>
          </w:tcPr>
          <w:p>
            <w:pPr>
              <w:spacing w:after="0"/>
            </w:pPr>
            <w:r>
              <w:rPr>
                <w:rFonts w:ascii="Arial" w:hAnsi="Arial"/>
                <w:color w:val="1E293B"/>
                <w:sz w:val="17"/>
              </w:rPr>
              <w:t>Custom Tokens</w:t>
            </w:r>
          </w:p>
        </w:tc>
        <w:tc>
          <w:tcPr>
            <w:tcW w:type="dxa" w:w="1958"/>
            <w:tcMar>
              <w:top w:w="70" w:type="dxa"/>
              <w:bottom w:w="70" w:type="dxa"/>
              <w:left w:w="90" w:type="dxa"/>
              <w:right w:w="90" w:type="dxa"/>
            </w:tcMar>
            <w:shd w:fill="F8FAFC"/>
          </w:tcPr>
          <w:p>
            <w:pPr>
              <w:spacing w:after="0"/>
            </w:pPr>
            <w:r>
              <w:rPr>
                <w:rFonts w:ascii="Arial" w:hAnsi="Arial"/>
                <w:color w:val="1E293B"/>
                <w:sz w:val="17"/>
              </w:rPr>
              <w:t>Design tokens, responsive grid layouts, custom badges, RFID pulses, and modal dialogs.</w:t>
            </w:r>
          </w:p>
        </w:tc>
        <w:tc>
          <w:tcPr>
            <w:tcW w:type="dxa" w:w="1958"/>
            <w:tcMar>
              <w:top w:w="70" w:type="dxa"/>
              <w:bottom w:w="70" w:type="dxa"/>
              <w:left w:w="90" w:type="dxa"/>
              <w:right w:w="90" w:type="dxa"/>
            </w:tcMar>
            <w:shd w:fill="F8FAFC"/>
          </w:tcPr>
          <w:p>
            <w:pPr>
              <w:spacing w:after="0"/>
            </w:pPr>
            <w:r>
              <w:rPr>
                <w:rFonts w:ascii="Arial" w:hAnsi="Arial"/>
                <w:color w:val="1E293B"/>
                <w:sz w:val="17"/>
              </w:rPr>
              <w:t>Zero runtime CSS-in-JS overhead; total control over rendering performance and aesthetic consistency.</w:t>
            </w:r>
          </w:p>
        </w:tc>
      </w:tr>
      <w:tr>
        <w:tc>
          <w:tcPr>
            <w:tcW w:type="dxa" w:w="1958"/>
            <w:tcMar>
              <w:top w:w="70" w:type="dxa"/>
              <w:bottom w:w="70" w:type="dxa"/>
              <w:left w:w="90" w:type="dxa"/>
              <w:right w:w="90" w:type="dxa"/>
            </w:tcMar>
            <w:shd w:fill="FFFFFF"/>
          </w:tcPr>
          <w:p>
            <w:pPr>
              <w:spacing w:after="0"/>
            </w:pPr>
            <w:r>
              <w:rPr>
                <w:rFonts w:ascii="Arial" w:hAnsi="Arial"/>
                <w:b/>
                <w:color w:val="1E293B"/>
                <w:sz w:val="17"/>
              </w:rPr>
              <w:t>Backend Runtime</w:t>
            </w:r>
          </w:p>
        </w:tc>
        <w:tc>
          <w:tcPr>
            <w:tcW w:type="dxa" w:w="1958"/>
            <w:tcMar>
              <w:top w:w="70" w:type="dxa"/>
              <w:bottom w:w="70" w:type="dxa"/>
              <w:left w:w="90" w:type="dxa"/>
              <w:right w:w="90" w:type="dxa"/>
            </w:tcMar>
            <w:shd w:fill="FFFFFF"/>
          </w:tcPr>
          <w:p>
            <w:pPr>
              <w:spacing w:after="0"/>
            </w:pPr>
            <w:r>
              <w:rPr>
                <w:rFonts w:ascii="Arial" w:hAnsi="Arial"/>
                <w:b/>
                <w:color w:val="1E293B"/>
                <w:sz w:val="17"/>
              </w:rPr>
              <w:t>Python</w:t>
            </w:r>
          </w:p>
        </w:tc>
        <w:tc>
          <w:tcPr>
            <w:tcW w:type="dxa" w:w="1958"/>
            <w:tcMar>
              <w:top w:w="70" w:type="dxa"/>
              <w:bottom w:w="70" w:type="dxa"/>
              <w:left w:w="90" w:type="dxa"/>
              <w:right w:w="90" w:type="dxa"/>
            </w:tcMar>
            <w:shd w:fill="FFFFFF"/>
          </w:tcPr>
          <w:p>
            <w:pPr>
              <w:spacing w:after="0"/>
            </w:pPr>
            <w:r>
              <w:rPr>
                <w:rFonts w:ascii="Arial" w:hAnsi="Arial"/>
                <w:color w:val="1E293B"/>
                <w:sz w:val="17"/>
              </w:rPr>
              <w:t>3.14+ (64-bit)</w:t>
            </w:r>
          </w:p>
        </w:tc>
        <w:tc>
          <w:tcPr>
            <w:tcW w:type="dxa" w:w="1958"/>
            <w:tcMar>
              <w:top w:w="70" w:type="dxa"/>
              <w:bottom w:w="70" w:type="dxa"/>
              <w:left w:w="90" w:type="dxa"/>
              <w:right w:w="90" w:type="dxa"/>
            </w:tcMar>
            <w:shd w:fill="FFFFFF"/>
          </w:tcPr>
          <w:p>
            <w:pPr>
              <w:spacing w:after="0"/>
            </w:pPr>
            <w:r>
              <w:rPr>
                <w:rFonts w:ascii="Arial" w:hAnsi="Arial"/>
                <w:color w:val="1E293B"/>
                <w:sz w:val="17"/>
              </w:rPr>
              <w:t>Backend script and API execution runtime.</w:t>
            </w:r>
          </w:p>
        </w:tc>
        <w:tc>
          <w:tcPr>
            <w:tcW w:type="dxa" w:w="1958"/>
            <w:tcMar>
              <w:top w:w="70" w:type="dxa"/>
              <w:bottom w:w="70" w:type="dxa"/>
              <w:left w:w="90" w:type="dxa"/>
              <w:right w:w="90" w:type="dxa"/>
            </w:tcMar>
            <w:shd w:fill="FFFFFF"/>
          </w:tcPr>
          <w:p>
            <w:pPr>
              <w:spacing w:after="0"/>
            </w:pPr>
            <w:r>
              <w:rPr>
                <w:rFonts w:ascii="Arial" w:hAnsi="Arial"/>
                <w:color w:val="1E293B"/>
                <w:sz w:val="17"/>
              </w:rPr>
              <w:t>Robust standard library, native SQLite binding, and rapid REST API implementation.</w:t>
            </w:r>
          </w:p>
        </w:tc>
      </w:tr>
      <w:tr>
        <w:tc>
          <w:tcPr>
            <w:tcW w:type="dxa" w:w="1958"/>
            <w:tcMar>
              <w:top w:w="70" w:type="dxa"/>
              <w:bottom w:w="70" w:type="dxa"/>
              <w:left w:w="90" w:type="dxa"/>
              <w:right w:w="90" w:type="dxa"/>
            </w:tcMar>
            <w:shd w:fill="F8FAFC"/>
          </w:tcPr>
          <w:p>
            <w:pPr>
              <w:spacing w:after="0"/>
            </w:pPr>
            <w:r>
              <w:rPr>
                <w:rFonts w:ascii="Arial" w:hAnsi="Arial"/>
                <w:b/>
                <w:color w:val="1E293B"/>
                <w:sz w:val="17"/>
              </w:rPr>
              <w:t>Backend Web Framework</w:t>
            </w:r>
          </w:p>
        </w:tc>
        <w:tc>
          <w:tcPr>
            <w:tcW w:type="dxa" w:w="1958"/>
            <w:tcMar>
              <w:top w:w="70" w:type="dxa"/>
              <w:bottom w:w="70" w:type="dxa"/>
              <w:left w:w="90" w:type="dxa"/>
              <w:right w:w="90" w:type="dxa"/>
            </w:tcMar>
            <w:shd w:fill="F8FAFC"/>
          </w:tcPr>
          <w:p>
            <w:pPr>
              <w:spacing w:after="0"/>
            </w:pPr>
            <w:r>
              <w:rPr>
                <w:rFonts w:ascii="Arial" w:hAnsi="Arial"/>
                <w:b/>
                <w:color w:val="1E293B"/>
                <w:sz w:val="17"/>
              </w:rPr>
              <w:t>Flask</w:t>
            </w:r>
          </w:p>
        </w:tc>
        <w:tc>
          <w:tcPr>
            <w:tcW w:type="dxa" w:w="1958"/>
            <w:tcMar>
              <w:top w:w="70" w:type="dxa"/>
              <w:bottom w:w="70" w:type="dxa"/>
              <w:left w:w="90" w:type="dxa"/>
              <w:right w:w="90" w:type="dxa"/>
            </w:tcMar>
            <w:shd w:fill="F8FAFC"/>
          </w:tcPr>
          <w:p>
            <w:pPr>
              <w:spacing w:after="0"/>
            </w:pPr>
            <w:r>
              <w:rPr>
                <w:rFonts w:ascii="Arial" w:hAnsi="Arial"/>
                <w:color w:val="1E293B"/>
                <w:sz w:val="17"/>
              </w:rPr>
              <w:t>3.1.1</w:t>
            </w:r>
          </w:p>
        </w:tc>
        <w:tc>
          <w:tcPr>
            <w:tcW w:type="dxa" w:w="1958"/>
            <w:tcMar>
              <w:top w:w="70" w:type="dxa"/>
              <w:bottom w:w="70" w:type="dxa"/>
              <w:left w:w="90" w:type="dxa"/>
              <w:right w:w="90" w:type="dxa"/>
            </w:tcMar>
            <w:shd w:fill="F8FAFC"/>
          </w:tcPr>
          <w:p>
            <w:pPr>
              <w:spacing w:after="0"/>
            </w:pPr>
            <w:r>
              <w:rPr>
                <w:rFonts w:ascii="Arial" w:hAnsi="Arial"/>
                <w:color w:val="1E293B"/>
                <w:sz w:val="17"/>
              </w:rPr>
              <w:t>HTTP request routing, blueprint modularization, session management, and JSON serialization.</w:t>
            </w:r>
          </w:p>
        </w:tc>
        <w:tc>
          <w:tcPr>
            <w:tcW w:type="dxa" w:w="1958"/>
            <w:tcMar>
              <w:top w:w="70" w:type="dxa"/>
              <w:bottom w:w="70" w:type="dxa"/>
              <w:left w:w="90" w:type="dxa"/>
              <w:right w:w="90" w:type="dxa"/>
            </w:tcMar>
            <w:shd w:fill="F8FAFC"/>
          </w:tcPr>
          <w:p>
            <w:pPr>
              <w:spacing w:after="0"/>
            </w:pPr>
            <w:r>
              <w:rPr>
                <w:rFonts w:ascii="Arial" w:hAnsi="Arial"/>
                <w:color w:val="1E293B"/>
                <w:sz w:val="17"/>
              </w:rPr>
              <w:t>Minimalist micro-framework with negligible overhead compared to Django or FastAPI.</w:t>
            </w:r>
          </w:p>
        </w:tc>
      </w:tr>
      <w:tr>
        <w:tc>
          <w:tcPr>
            <w:tcW w:type="dxa" w:w="1958"/>
            <w:tcMar>
              <w:top w:w="70" w:type="dxa"/>
              <w:bottom w:w="70" w:type="dxa"/>
              <w:left w:w="90" w:type="dxa"/>
              <w:right w:w="90" w:type="dxa"/>
            </w:tcMar>
            <w:shd w:fill="FFFFFF"/>
          </w:tcPr>
          <w:p>
            <w:pPr>
              <w:spacing w:after="0"/>
            </w:pPr>
            <w:r>
              <w:rPr>
                <w:rFonts w:ascii="Arial" w:hAnsi="Arial"/>
                <w:b/>
                <w:color w:val="1E293B"/>
                <w:sz w:val="17"/>
              </w:rPr>
              <w:t>Cross-Origin Bridge</w:t>
            </w:r>
          </w:p>
        </w:tc>
        <w:tc>
          <w:tcPr>
            <w:tcW w:type="dxa" w:w="1958"/>
            <w:tcMar>
              <w:top w:w="70" w:type="dxa"/>
              <w:bottom w:w="70" w:type="dxa"/>
              <w:left w:w="90" w:type="dxa"/>
              <w:right w:w="90" w:type="dxa"/>
            </w:tcMar>
            <w:shd w:fill="FFFFFF"/>
          </w:tcPr>
          <w:p>
            <w:pPr>
              <w:spacing w:after="0"/>
            </w:pPr>
            <w:r>
              <w:rPr>
                <w:rFonts w:ascii="Arial" w:hAnsi="Arial"/>
                <w:b/>
                <w:color w:val="1E293B"/>
                <w:sz w:val="17"/>
              </w:rPr>
              <w:t>Flask-CORS (flask-cors)</w:t>
            </w:r>
          </w:p>
        </w:tc>
        <w:tc>
          <w:tcPr>
            <w:tcW w:type="dxa" w:w="1958"/>
            <w:tcMar>
              <w:top w:w="70" w:type="dxa"/>
              <w:bottom w:w="70" w:type="dxa"/>
              <w:left w:w="90" w:type="dxa"/>
              <w:right w:w="90" w:type="dxa"/>
            </w:tcMar>
            <w:shd w:fill="FFFFFF"/>
          </w:tcPr>
          <w:p>
            <w:pPr>
              <w:spacing w:after="0"/>
            </w:pPr>
            <w:r>
              <w:rPr>
                <w:rFonts w:ascii="Arial" w:hAnsi="Arial"/>
                <w:color w:val="1E293B"/>
                <w:sz w:val="17"/>
              </w:rPr>
              <w:t>5.0.1</w:t>
            </w:r>
          </w:p>
        </w:tc>
        <w:tc>
          <w:tcPr>
            <w:tcW w:type="dxa" w:w="1958"/>
            <w:tcMar>
              <w:top w:w="70" w:type="dxa"/>
              <w:bottom w:w="70" w:type="dxa"/>
              <w:left w:w="90" w:type="dxa"/>
              <w:right w:w="90" w:type="dxa"/>
            </w:tcMar>
            <w:shd w:fill="FFFFFF"/>
          </w:tcPr>
          <w:p>
            <w:pPr>
              <w:spacing w:after="0"/>
            </w:pPr>
            <w:r>
              <w:rPr>
                <w:rFonts w:ascii="Arial" w:hAnsi="Arial"/>
                <w:color w:val="1E293B"/>
                <w:sz w:val="17"/>
              </w:rPr>
              <w:t>Cross-Origin Resource Sharing middleware enabling authenticated requests from Vite (:5173) to Flask (:5000).</w:t>
            </w:r>
          </w:p>
        </w:tc>
        <w:tc>
          <w:tcPr>
            <w:tcW w:type="dxa" w:w="1958"/>
            <w:tcMar>
              <w:top w:w="70" w:type="dxa"/>
              <w:bottom w:w="70" w:type="dxa"/>
              <w:left w:w="90" w:type="dxa"/>
              <w:right w:w="90" w:type="dxa"/>
            </w:tcMar>
            <w:shd w:fill="FFFFFF"/>
          </w:tcPr>
          <w:p>
            <w:pPr>
              <w:spacing w:after="0"/>
            </w:pPr>
            <w:r>
              <w:rPr>
                <w:rFonts w:ascii="Arial" w:hAnsi="Arial"/>
                <w:color w:val="1E293B"/>
                <w:sz w:val="17"/>
              </w:rPr>
              <w:t>Ensures secure browser origin validation during local development and testing.</w:t>
            </w:r>
          </w:p>
        </w:tc>
      </w:tr>
      <w:tr>
        <w:tc>
          <w:tcPr>
            <w:tcW w:type="dxa" w:w="1958"/>
            <w:tcMar>
              <w:top w:w="70" w:type="dxa"/>
              <w:bottom w:w="70" w:type="dxa"/>
              <w:left w:w="90" w:type="dxa"/>
              <w:right w:w="90" w:type="dxa"/>
            </w:tcMar>
            <w:shd w:fill="F8FAFC"/>
          </w:tcPr>
          <w:p>
            <w:pPr>
              <w:spacing w:after="0"/>
            </w:pPr>
            <w:r>
              <w:rPr>
                <w:rFonts w:ascii="Arial" w:hAnsi="Arial"/>
                <w:b/>
                <w:color w:val="1E293B"/>
                <w:sz w:val="17"/>
              </w:rPr>
              <w:t>Database Engine</w:t>
            </w:r>
          </w:p>
        </w:tc>
        <w:tc>
          <w:tcPr>
            <w:tcW w:type="dxa" w:w="1958"/>
            <w:tcMar>
              <w:top w:w="70" w:type="dxa"/>
              <w:bottom w:w="70" w:type="dxa"/>
              <w:left w:w="90" w:type="dxa"/>
              <w:right w:w="90" w:type="dxa"/>
            </w:tcMar>
            <w:shd w:fill="F8FAFC"/>
          </w:tcPr>
          <w:p>
            <w:pPr>
              <w:spacing w:after="0"/>
            </w:pPr>
            <w:r>
              <w:rPr>
                <w:rFonts w:ascii="Arial" w:hAnsi="Arial"/>
                <w:b/>
                <w:color w:val="1E293B"/>
                <w:sz w:val="17"/>
              </w:rPr>
              <w:t>SQLite 3 (sqlite3)</w:t>
            </w:r>
          </w:p>
        </w:tc>
        <w:tc>
          <w:tcPr>
            <w:tcW w:type="dxa" w:w="1958"/>
            <w:tcMar>
              <w:top w:w="70" w:type="dxa"/>
              <w:bottom w:w="70" w:type="dxa"/>
              <w:left w:w="90" w:type="dxa"/>
              <w:right w:w="90" w:type="dxa"/>
            </w:tcMar>
            <w:shd w:fill="F8FAFC"/>
          </w:tcPr>
          <w:p>
            <w:pPr>
              <w:spacing w:after="0"/>
            </w:pPr>
            <w:r>
              <w:rPr>
                <w:rFonts w:ascii="Arial" w:hAnsi="Arial"/>
                <w:color w:val="1E293B"/>
                <w:sz w:val="17"/>
              </w:rPr>
              <w:t>Standard Library</w:t>
            </w:r>
          </w:p>
        </w:tc>
        <w:tc>
          <w:tcPr>
            <w:tcW w:type="dxa" w:w="1958"/>
            <w:tcMar>
              <w:top w:w="70" w:type="dxa"/>
              <w:bottom w:w="70" w:type="dxa"/>
              <w:left w:w="90" w:type="dxa"/>
              <w:right w:w="90" w:type="dxa"/>
            </w:tcMar>
            <w:shd w:fill="F8FAFC"/>
          </w:tcPr>
          <w:p>
            <w:pPr>
              <w:spacing w:after="0"/>
            </w:pPr>
            <w:r>
              <w:rPr>
                <w:rFonts w:ascii="Arial" w:hAnsi="Arial"/>
                <w:color w:val="1E293B"/>
                <w:sz w:val="17"/>
              </w:rPr>
              <w:t>Local relational database stored in jewellery.db.</w:t>
            </w:r>
          </w:p>
        </w:tc>
        <w:tc>
          <w:tcPr>
            <w:tcW w:type="dxa" w:w="1958"/>
            <w:tcMar>
              <w:top w:w="70" w:type="dxa"/>
              <w:bottom w:w="70" w:type="dxa"/>
              <w:left w:w="90" w:type="dxa"/>
              <w:right w:w="90" w:type="dxa"/>
            </w:tcMar>
            <w:shd w:fill="F8FAFC"/>
          </w:tcPr>
          <w:p>
            <w:pPr>
              <w:spacing w:after="0"/>
            </w:pPr>
            <w:r>
              <w:rPr>
                <w:rFonts w:ascii="Arial" w:hAnsi="Arial"/>
                <w:color w:val="1E293B"/>
                <w:sz w:val="17"/>
              </w:rPr>
              <w:t>Zero-configuration, zero-dependency embedded database supporting full ACID transactions and SQL queries.</w:t>
            </w:r>
          </w:p>
        </w:tc>
      </w:tr>
      <w:tr>
        <w:tc>
          <w:tcPr>
            <w:tcW w:type="dxa" w:w="1958"/>
            <w:tcMar>
              <w:top w:w="70" w:type="dxa"/>
              <w:bottom w:w="70" w:type="dxa"/>
              <w:left w:w="90" w:type="dxa"/>
              <w:right w:w="90" w:type="dxa"/>
            </w:tcMar>
            <w:shd w:fill="FFFFFF"/>
          </w:tcPr>
          <w:p>
            <w:pPr>
              <w:spacing w:after="0"/>
            </w:pPr>
            <w:r>
              <w:rPr>
                <w:rFonts w:ascii="Arial" w:hAnsi="Arial"/>
                <w:b/>
                <w:color w:val="1E293B"/>
                <w:sz w:val="17"/>
              </w:rPr>
              <w:t>Database Performance</w:t>
            </w:r>
          </w:p>
        </w:tc>
        <w:tc>
          <w:tcPr>
            <w:tcW w:type="dxa" w:w="1958"/>
            <w:tcMar>
              <w:top w:w="70" w:type="dxa"/>
              <w:bottom w:w="70" w:type="dxa"/>
              <w:left w:w="90" w:type="dxa"/>
              <w:right w:w="90" w:type="dxa"/>
            </w:tcMar>
            <w:shd w:fill="FFFFFF"/>
          </w:tcPr>
          <w:p>
            <w:pPr>
              <w:spacing w:after="0"/>
            </w:pPr>
            <w:r>
              <w:rPr>
                <w:rFonts w:ascii="Arial" w:hAnsi="Arial"/>
                <w:b/>
                <w:color w:val="1E293B"/>
                <w:sz w:val="17"/>
              </w:rPr>
              <w:t>SQLite WAL Mode</w:t>
            </w:r>
          </w:p>
        </w:tc>
        <w:tc>
          <w:tcPr>
            <w:tcW w:type="dxa" w:w="1958"/>
            <w:tcMar>
              <w:top w:w="70" w:type="dxa"/>
              <w:bottom w:w="70" w:type="dxa"/>
              <w:left w:w="90" w:type="dxa"/>
              <w:right w:w="90" w:type="dxa"/>
            </w:tcMar>
            <w:shd w:fill="FFFFFF"/>
          </w:tcPr>
          <w:p>
            <w:pPr>
              <w:spacing w:after="0"/>
            </w:pPr>
            <w:r>
              <w:rPr>
                <w:rFonts w:ascii="Arial" w:hAnsi="Arial"/>
                <w:color w:val="1E293B"/>
                <w:sz w:val="17"/>
              </w:rPr>
              <w:t>Native PRAGMA</w:t>
            </w:r>
          </w:p>
        </w:tc>
        <w:tc>
          <w:tcPr>
            <w:tcW w:type="dxa" w:w="1958"/>
            <w:tcMar>
              <w:top w:w="70" w:type="dxa"/>
              <w:bottom w:w="70" w:type="dxa"/>
              <w:left w:w="90" w:type="dxa"/>
              <w:right w:w="90" w:type="dxa"/>
            </w:tcMar>
            <w:shd w:fill="FFFFFF"/>
          </w:tcPr>
          <w:p>
            <w:pPr>
              <w:spacing w:after="0"/>
            </w:pPr>
            <w:r>
              <w:rPr>
                <w:rFonts w:ascii="Arial" w:hAnsi="Arial"/>
                <w:color w:val="1E293B"/>
                <w:sz w:val="17"/>
              </w:rPr>
              <w:t>Write-Ahead Logging enabled via PRAGMA journal_mode = WAL;.</w:t>
            </w:r>
          </w:p>
        </w:tc>
        <w:tc>
          <w:tcPr>
            <w:tcW w:type="dxa" w:w="1958"/>
            <w:tcMar>
              <w:top w:w="70" w:type="dxa"/>
              <w:bottom w:w="70" w:type="dxa"/>
              <w:left w:w="90" w:type="dxa"/>
              <w:right w:w="90" w:type="dxa"/>
            </w:tcMar>
            <w:shd w:fill="FFFFFF"/>
          </w:tcPr>
          <w:p>
            <w:pPr>
              <w:spacing w:after="0"/>
            </w:pPr>
            <w:r>
              <w:rPr>
                <w:rFonts w:ascii="Arial" w:hAnsi="Arial"/>
                <w:color w:val="1E293B"/>
                <w:sz w:val="17"/>
              </w:rPr>
              <w:t>Allows concurrent readers without blocking write transactions during rapid scans.</w:t>
            </w:r>
          </w:p>
        </w:tc>
      </w:tr>
      <w:tr>
        <w:tc>
          <w:tcPr>
            <w:tcW w:type="dxa" w:w="1958"/>
            <w:tcMar>
              <w:top w:w="70" w:type="dxa"/>
              <w:bottom w:w="70" w:type="dxa"/>
              <w:left w:w="90" w:type="dxa"/>
              <w:right w:w="90" w:type="dxa"/>
            </w:tcMar>
            <w:shd w:fill="F8FAFC"/>
          </w:tcPr>
          <w:p>
            <w:pPr>
              <w:spacing w:after="0"/>
            </w:pPr>
            <w:r>
              <w:rPr>
                <w:rFonts w:ascii="Arial" w:hAnsi="Arial"/>
                <w:b/>
                <w:color w:val="1E293B"/>
                <w:sz w:val="17"/>
              </w:rPr>
              <w:t>Data Integrity Engine</w:t>
            </w:r>
          </w:p>
        </w:tc>
        <w:tc>
          <w:tcPr>
            <w:tcW w:type="dxa" w:w="1958"/>
            <w:tcMar>
              <w:top w:w="70" w:type="dxa"/>
              <w:bottom w:w="70" w:type="dxa"/>
              <w:left w:w="90" w:type="dxa"/>
              <w:right w:w="90" w:type="dxa"/>
            </w:tcMar>
            <w:shd w:fill="F8FAFC"/>
          </w:tcPr>
          <w:p>
            <w:pPr>
              <w:spacing w:after="0"/>
            </w:pPr>
            <w:r>
              <w:rPr>
                <w:rFonts w:ascii="Arial" w:hAnsi="Arial"/>
                <w:b/>
                <w:color w:val="1E293B"/>
                <w:sz w:val="17"/>
              </w:rPr>
              <w:t>SQLite Foreign Keys</w:t>
            </w:r>
          </w:p>
        </w:tc>
        <w:tc>
          <w:tcPr>
            <w:tcW w:type="dxa" w:w="1958"/>
            <w:tcMar>
              <w:top w:w="70" w:type="dxa"/>
              <w:bottom w:w="70" w:type="dxa"/>
              <w:left w:w="90" w:type="dxa"/>
              <w:right w:w="90" w:type="dxa"/>
            </w:tcMar>
            <w:shd w:fill="F8FAFC"/>
          </w:tcPr>
          <w:p>
            <w:pPr>
              <w:spacing w:after="0"/>
            </w:pPr>
            <w:r>
              <w:rPr>
                <w:rFonts w:ascii="Arial" w:hAnsi="Arial"/>
                <w:color w:val="1E293B"/>
                <w:sz w:val="17"/>
              </w:rPr>
              <w:t>Native PRAGMA</w:t>
            </w:r>
          </w:p>
        </w:tc>
        <w:tc>
          <w:tcPr>
            <w:tcW w:type="dxa" w:w="1958"/>
            <w:tcMar>
              <w:top w:w="70" w:type="dxa"/>
              <w:bottom w:w="70" w:type="dxa"/>
              <w:left w:w="90" w:type="dxa"/>
              <w:right w:w="90" w:type="dxa"/>
            </w:tcMar>
            <w:shd w:fill="F8FAFC"/>
          </w:tcPr>
          <w:p>
            <w:pPr>
              <w:spacing w:after="0"/>
            </w:pPr>
            <w:r>
              <w:rPr>
                <w:rFonts w:ascii="Arial" w:hAnsi="Arial"/>
                <w:color w:val="1E293B"/>
                <w:sz w:val="17"/>
              </w:rPr>
              <w:t>Enforced via PRAGMA foreign_keys = ON;.</w:t>
            </w:r>
          </w:p>
        </w:tc>
        <w:tc>
          <w:tcPr>
            <w:tcW w:type="dxa" w:w="1958"/>
            <w:tcMar>
              <w:top w:w="70" w:type="dxa"/>
              <w:bottom w:w="70" w:type="dxa"/>
              <w:left w:w="90" w:type="dxa"/>
              <w:right w:w="90" w:type="dxa"/>
            </w:tcMar>
            <w:shd w:fill="F8FAFC"/>
          </w:tcPr>
          <w:p>
            <w:pPr>
              <w:spacing w:after="0"/>
            </w:pPr>
            <w:r>
              <w:rPr>
                <w:rFonts w:ascii="Arial" w:hAnsi="Arial"/>
                <w:color w:val="1E293B"/>
                <w:sz w:val="17"/>
              </w:rPr>
              <w:t>Guarantees referential integrity between products, tag assignments, cases, and employees.</w:t>
            </w:r>
          </w:p>
        </w:tc>
      </w:tr>
      <w:tr>
        <w:tc>
          <w:tcPr>
            <w:tcW w:type="dxa" w:w="1958"/>
            <w:tcMar>
              <w:top w:w="70" w:type="dxa"/>
              <w:bottom w:w="70" w:type="dxa"/>
              <w:left w:w="90" w:type="dxa"/>
              <w:right w:w="90" w:type="dxa"/>
            </w:tcMar>
            <w:shd w:fill="FFFFFF"/>
          </w:tcPr>
          <w:p>
            <w:pPr>
              <w:spacing w:after="0"/>
            </w:pPr>
            <w:r>
              <w:rPr>
                <w:rFonts w:ascii="Arial" w:hAnsi="Arial"/>
                <w:b/>
                <w:color w:val="1E293B"/>
                <w:sz w:val="17"/>
              </w:rPr>
              <w:t>Document Generation</w:t>
            </w:r>
          </w:p>
        </w:tc>
        <w:tc>
          <w:tcPr>
            <w:tcW w:type="dxa" w:w="1958"/>
            <w:tcMar>
              <w:top w:w="70" w:type="dxa"/>
              <w:bottom w:w="70" w:type="dxa"/>
              <w:left w:w="90" w:type="dxa"/>
              <w:right w:w="90" w:type="dxa"/>
            </w:tcMar>
            <w:shd w:fill="FFFFFF"/>
          </w:tcPr>
          <w:p>
            <w:pPr>
              <w:spacing w:after="0"/>
            </w:pPr>
            <w:r>
              <w:rPr>
                <w:rFonts w:ascii="Arial" w:hAnsi="Arial"/>
                <w:b/>
                <w:color w:val="1E293B"/>
                <w:sz w:val="17"/>
              </w:rPr>
              <w:t>python-docx</w:t>
            </w:r>
          </w:p>
        </w:tc>
        <w:tc>
          <w:tcPr>
            <w:tcW w:type="dxa" w:w="1958"/>
            <w:tcMar>
              <w:top w:w="70" w:type="dxa"/>
              <w:bottom w:w="70" w:type="dxa"/>
              <w:left w:w="90" w:type="dxa"/>
              <w:right w:w="90" w:type="dxa"/>
            </w:tcMar>
            <w:shd w:fill="FFFFFF"/>
          </w:tcPr>
          <w:p>
            <w:pPr>
              <w:spacing w:after="0"/>
            </w:pPr>
            <w:r>
              <w:rPr>
                <w:rFonts w:ascii="Arial" w:hAnsi="Arial"/>
                <w:color w:val="1E293B"/>
                <w:sz w:val="17"/>
              </w:rPr>
              <w:t>1.2.0</w:t>
            </w:r>
          </w:p>
        </w:tc>
        <w:tc>
          <w:tcPr>
            <w:tcW w:type="dxa" w:w="1958"/>
            <w:tcMar>
              <w:top w:w="70" w:type="dxa"/>
              <w:bottom w:w="70" w:type="dxa"/>
              <w:left w:w="90" w:type="dxa"/>
              <w:right w:w="90" w:type="dxa"/>
            </w:tcMar>
            <w:shd w:fill="FFFFFF"/>
          </w:tcPr>
          <w:p>
            <w:pPr>
              <w:spacing w:after="0"/>
            </w:pPr>
            <w:r>
              <w:rPr>
                <w:rFonts w:ascii="Arial" w:hAnsi="Arial"/>
                <w:color w:val="1E293B"/>
                <w:sz w:val="17"/>
              </w:rPr>
              <w:t>Automated compiler for Word (.docx) technical reports and executive documentation.</w:t>
            </w:r>
          </w:p>
        </w:tc>
        <w:tc>
          <w:tcPr>
            <w:tcW w:type="dxa" w:w="1958"/>
            <w:tcMar>
              <w:top w:w="70" w:type="dxa"/>
              <w:bottom w:w="70" w:type="dxa"/>
              <w:left w:w="90" w:type="dxa"/>
              <w:right w:w="90" w:type="dxa"/>
            </w:tcMar>
            <w:shd w:fill="FFFFFF"/>
          </w:tcPr>
          <w:p>
            <w:pPr>
              <w:spacing w:after="0"/>
            </w:pPr>
            <w:r>
              <w:rPr>
                <w:rFonts w:ascii="Arial" w:hAnsi="Arial"/>
                <w:color w:val="1E293B"/>
                <w:sz w:val="17"/>
              </w:rPr>
              <w:t>Programmatic document creation directly from system specifications without third-party office suites.</w:t>
            </w:r>
          </w:p>
        </w:tc>
      </w:tr>
    </w:tbl>
    <w:p>
      <w:pPr>
        <w:spacing w:after="80"/>
      </w:pPr>
    </w:p>
    <w:p>
      <w:pPr>
        <w:spacing w:before="160" w:after="4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ystem_architecture_diagram.jpg"/>
                    <pic:cNvPicPr/>
                  </pic:nvPicPr>
                  <pic:blipFill>
                    <a:blip r:embed="rId9"/>
                    <a:stretch>
                      <a:fillRect/>
                    </a:stretch>
                  </pic:blipFill>
                  <pic:spPr>
                    <a:xfrm>
                      <a:off x="0" y="0"/>
                      <a:ext cx="5669280" cy="3164249"/>
                    </a:xfrm>
                    <a:prstGeom prst="rect"/>
                  </pic:spPr>
                </pic:pic>
              </a:graphicData>
            </a:graphic>
          </wp:inline>
        </w:drawing>
      </w:r>
    </w:p>
    <w:p>
      <w:pPr>
        <w:spacing w:after="240"/>
        <w:jc w:val="center"/>
      </w:pPr>
      <w:r>
        <w:rPr>
          <w:rFonts w:ascii="Arial" w:hAnsi="Arial"/>
          <w:i/>
          <w:color w:val="64748B"/>
          <w:sz w:val="17"/>
        </w:rPr>
        <w:t>Technical Diagram: System Architecture &amp; Tier-by-Tier Technology Integration</w:t>
      </w:r>
    </w:p>
    <w:p>
      <w:pPr>
        <w:keepNext/>
        <w:spacing w:before="280" w:after="80"/>
      </w:pPr>
      <w:r>
        <w:rPr>
          <w:rFonts w:ascii="Arial" w:hAnsi="Arial"/>
          <w:b/>
          <w:color w:val="0F234B"/>
          <w:sz w:val="26"/>
        </w:rPr>
        <w:t>3. Detailed Component Architecture &amp; Directory Structure</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20" w:type="dxa"/>
              <w:right w:w="120" w:type="dxa"/>
            </w:tcMar>
          </w:tcPr>
          <w:p>
            <w:pPr>
              <w:spacing w:after="0"/>
            </w:pPr>
            <w:r>
              <w:rPr>
                <w:rFonts w:ascii="Consolas" w:hAnsi="Consolas"/>
                <w:color w:val="1E293B"/>
                <w:sz w:val="16"/>
              </w:rPr>
              <w:t>C:\Users\Admin\Downloads\Sudeshnu\Lumina_RFID\</w:t>
              <w:br/>
              <w:t>│</w:t>
              <w:br/>
              <w:t>├── backend/</w:t>
              <w:br/>
              <w:t>│   ├── app.py                      # Flask Application Entry Point &amp; Blueprint Registration</w:t>
              <w:br/>
              <w:t>│   ├── config.py                   # Centralized Configuration (Paths, Secret Keys)</w:t>
              <w:br/>
              <w:t>│   ├── requirements.txt            # Python Dependencies Specification</w:t>
              <w:br/>
              <w:t>│   │</w:t>
              <w:br/>
              <w:t>│   ├── database/</w:t>
              <w:br/>
              <w:t>│   │   ├── db.py                   # Database Connection Pool, Row Factories &amp; Dict Helpers</w:t>
              <w:br/>
              <w:t>│   │   ├── init_db.py              # DDL Schema Creation &amp; Clean Baseline Initialization</w:t>
              <w:br/>
              <w:t>│   │   └── jewellery.db            # Embedded SQLite Database Storage File</w:t>
              <w:br/>
              <w:t>│   │</w:t>
              <w:br/>
              <w:t>│   ├── routes/</w:t>
              <w:br/>
              <w:t>│   │   ├── auth_routes.py          # Session Auth, RFID Staff Login, Case Release</w:t>
              <w:br/>
              <w:t>│   │   ├── admin_routes.py         # Staff &amp; Product Registration, Tag Reassignment, Registry Views</w:t>
              <w:br/>
              <w:t>│   │   ├── salesperson_routes.py   # Active Desk Dashboard, Item Scan (Remove/Return)</w:t>
              <w:br/>
              <w:t>│   │   ├── billing_routes.py       # Billing Desk Counter, Cancellation, Sale Completion</w:t>
              <w:br/>
              <w:t>│   │   └── manager_routes.py       # Manager Dashboard Statistics, Case &amp; Audit Histories</w:t>
              <w:br/>
              <w:t>│   │</w:t>
              <w:br/>
              <w:t>│   └── services/</w:t>
              <w:br/>
              <w:t>│       ├── rfid_service.py         # Central RFID Registry &amp; Assignment Lifecycle Lookup</w:t>
              <w:br/>
              <w:t>│       ├── case_service.py         # Priority Case Allocation Algorithm (CASE-01 to CASE-03)</w:t>
              <w:br/>
              <w:t>│       ├── product_service.py      # Mandatory Product Lifecycle State Machine Engine</w:t>
              <w:br/>
              <w:t>│       ├── billing_service.py      # Atomic Multi-Table Sale &amp; Invoice Finalization Engine</w:t>
              <w:br/>
              <w:t>│       └── log_service.py          # Immutable Audit Trail Logger &amp; Aggregate Metrics Service</w:t>
              <w:br/>
              <w:t>│</w:t>
              <w:br/>
              <w:t>├── frontend/</w:t>
              <w:br/>
              <w:t>│   ├── package.json                # NPM Package Manifest &amp; Script Definitions</w:t>
              <w:br/>
              <w:t>│   ├── vite.config.js              # Vite Development Proxy Configuration (/api -&gt; :5000)</w:t>
              <w:br/>
              <w:t>│   ├── index.html                  # HTML5 Application Shell</w:t>
              <w:br/>
              <w:t>│   │</w:t>
              <w:br/>
              <w:t>│   └── src/</w:t>
              <w:br/>
              <w:t>│       ├── main.jsx                # React DOM Mount Entry Point</w:t>
              <w:br/>
              <w:t>│       ├── App.jsx                 # Top-Level BrowserRouter &amp; Role-Based Route Definitions</w:t>
              <w:br/>
              <w:t>│       ├── index.css               # Design System, Design Tokens, Layout Grids, Animations</w:t>
              <w:br/>
              <w:t>│       │</w:t>
              <w:br/>
              <w:t>│       ├── api/</w:t>
              <w:br/>
              <w:t>│       │   └── api.js              # Client-Side HTTP API Gateway Wrapper (Fetch API)</w:t>
              <w:br/>
              <w:t>│       │</w:t>
              <w:br/>
              <w:t>│       ├── components/</w:t>
              <w:br/>
              <w:t>│       │   ├── RFIDInput.jsx       # Reusable Context-Aware RFID Hardware Input &amp; Debouncer</w:t>
              <w:br/>
              <w:t>│       │   └── Navbar.jsx          # Header Navigation &amp; Breadcrumb Component</w:t>
              <w:br/>
              <w:t>│       │</w:t>
              <w:br/>
              <w:t>│       └── pages/</w:t>
              <w:br/>
              <w:t>│           ├── Home/</w:t>
              <w:br/>
              <w:t>│           │   └── Home.jsx        # Landing Portal with 3 Role Modules (Admin, Salesperson, Manager)</w:t>
              <w:br/>
              <w:t>│           ├── Admin/</w:t>
              <w:br/>
              <w:t>│           │   └── AdminPortal.jsx # Multi-Tab Admin Interface (Staff, Products, Billing, Cases, Logs)</w:t>
              <w:br/>
              <w:t>│           ├── Salesperson/</w:t>
              <w:br/>
              <w:t>│           │   ├── SalespersonLogin.jsx     # Fast RFID Badge Authentication Gateway</w:t>
              <w:br/>
              <w:t>│           │   └── SalespersonDashboard.jsx # Active Case Handling Desk with Real-Time Inventory</w:t>
              <w:br/>
              <w:t>│           └── Manager/</w:t>
              <w:br/>
              <w:t>│               ├── ManagerLogin.jsx         # Manager RFID Badge Security Gate</w:t>
              <w:br/>
              <w:t>│               └── ManagerDashboard.jsx     # Executive Store Oversight, 5-Case Grid &amp; Audit Chains</w:t>
              <w:br/>
              <w:t>│</w:t>
              <w:br/>
              <w:t>├── docs/                           # Dedicated Documentation Repository</w:t>
              <w:br/>
              <w:t>│   ├── PROJECT_REPORT.md           # Master Project Specification Report</w:t>
              <w:br/>
              <w:t>│   ├── TECHNICAL_WHITEPAPER.md     # In-Depth Technical Specification (This File)</w:t>
              <w:br/>
              <w:t>│   ├── EXECUTIVE_BRIEFING.md       # High-Level Presentation Briefing for Officials</w:t>
              <w:br/>
              <w:t>│   ├── Lumina_RFID_Project_Report.docx # Formatted Word Document with Embedded Diagrams</w:t>
              <w:br/>
              <w:t>│   ├── generate_docx.py            # Automated Compilation Script for Word Reports</w:t>
              <w:br/>
              <w:t>│   └── *.jpg                       # Generated High-Resolution Architectural &amp; Flow Diagrams</w:t>
              <w:br/>
              <w:t>│</w:t>
              <w:br/>
              <w:t>├── e2e_full_workflow.py            # Comprehensive 11-Step Automated E2E Test Suite</w:t>
              <w:br/>
              <w:t>├── view_db.py                      # Real-Time CLI SQLite Table Inspection Tool</w:t>
              <w:br/>
              <w:t>└── README.md                       # Comprehensive Execution &amp; Operation Manual</w:t>
            </w:r>
          </w:p>
        </w:tc>
      </w:tr>
    </w:tbl>
    <w:p>
      <w:pPr>
        <w:spacing w:after="80"/>
      </w:pPr>
    </w:p>
    <w:p>
      <w:pPr>
        <w:keepNext/>
        <w:spacing w:before="280" w:after="80"/>
      </w:pPr>
      <w:r>
        <w:rPr>
          <w:rFonts w:ascii="Arial" w:hAnsi="Arial"/>
          <w:b/>
          <w:color w:val="0F234B"/>
          <w:sz w:val="26"/>
        </w:rPr>
        <w:t>4. Frontend Layer Architecture (React.js &amp; Vite)</w:t>
      </w:r>
    </w:p>
    <w:p>
      <w:pPr>
        <w:keepNext/>
        <w:spacing w:before="200" w:after="60"/>
      </w:pPr>
      <w:r>
        <w:rPr>
          <w:rFonts w:ascii="Arial" w:hAnsi="Arial"/>
          <w:b/>
          <w:color w:val="2563EB"/>
          <w:sz w:val="22"/>
        </w:rPr>
        <w:t>4.1 Client Application Flow &amp; Routing (`App.jsx`)</w:t>
      </w:r>
    </w:p>
    <w:p>
      <w:pPr>
        <w:spacing w:after="80" w:line="276" w:lineRule="auto"/>
      </w:pPr>
      <w:r>
        <w:rPr>
          <w:rFonts w:ascii="Arial" w:hAnsi="Arial"/>
          <w:color w:val="1E293B"/>
          <w:sz w:val="19"/>
        </w:rPr>
        <w:t>The frontend is constructed as a Single Page Application (SPA) utilizing react-router-dom v7. Client-side navigation ensures that browser state, open hardware focus, and memory cache remain persistent across operational transitions.</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20" w:type="dxa"/>
              <w:right w:w="120" w:type="dxa"/>
            </w:tcMar>
          </w:tcPr>
          <w:p>
            <w:pPr>
              <w:spacing w:after="0"/>
            </w:pPr>
            <w:r>
              <w:rPr>
                <w:rFonts w:ascii="Consolas" w:hAnsi="Consolas"/>
                <w:color w:val="1E293B"/>
                <w:sz w:val="16"/>
              </w:rPr>
              <w:t>/ (Home)</w:t>
              <w:br/>
              <w:t xml:space="preserve"> ├── /admin                   -&gt; AdminPortal.jsx (Employee Reg, Product Reg, Billing Counter, Cases, Registry, Logs)</w:t>
              <w:br/>
              <w:t xml:space="preserve"> ├── /salesperson/login       -&gt; SalespersonLogin.jsx (Badge Scan)</w:t>
              <w:br/>
              <w:t xml:space="preserve"> ├── /salesperson/dashboard   -&gt; SalespersonDashboard.jsx (Active Case Inventory, Remove/Return Desk)</w:t>
              <w:br/>
              <w:t xml:space="preserve"> ├── /manager/login           -&gt; ManagerLogin.jsx (Manager Badge Scan)</w:t>
              <w:br/>
              <w:t xml:space="preserve"> └── /manager/dashboard       -&gt; ManagerDashboard.jsx (Real-time Oversight, 5-Case Matrix, Audit Histories)</w:t>
            </w:r>
          </w:p>
        </w:tc>
      </w:tr>
    </w:tbl>
    <w:p>
      <w:pPr>
        <w:spacing w:after="80"/>
      </w:pPr>
    </w:p>
    <w:p>
      <w:pPr>
        <w:spacing w:before="160" w:after="4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rfid_modes_diagram.jpg"/>
                    <pic:cNvPicPr/>
                  </pic:nvPicPr>
                  <pic:blipFill>
                    <a:blip r:embed="rId10"/>
                    <a:stretch>
                      <a:fillRect/>
                    </a:stretch>
                  </pic:blipFill>
                  <pic:spPr>
                    <a:xfrm>
                      <a:off x="0" y="0"/>
                      <a:ext cx="5669280" cy="3164249"/>
                    </a:xfrm>
                    <a:prstGeom prst="rect"/>
                  </pic:spPr>
                </pic:pic>
              </a:graphicData>
            </a:graphic>
          </wp:inline>
        </w:drawing>
      </w:r>
    </w:p>
    <w:p>
      <w:pPr>
        <w:spacing w:after="240"/>
        <w:jc w:val="center"/>
      </w:pPr>
      <w:r>
        <w:rPr>
          <w:rFonts w:ascii="Arial" w:hAnsi="Arial"/>
          <w:i/>
          <w:color w:val="64748B"/>
          <w:sz w:val="17"/>
        </w:rPr>
        <w:t>Technical Diagram: Hardware Context Engine: Single USB RFID Reader across 6 Operational Modes</w:t>
      </w:r>
    </w:p>
    <w:p>
      <w:pPr>
        <w:keepNext/>
        <w:spacing w:before="200" w:after="60"/>
      </w:pPr>
      <w:r>
        <w:rPr>
          <w:rFonts w:ascii="Arial" w:hAnsi="Arial"/>
          <w:b/>
          <w:color w:val="2563EB"/>
          <w:sz w:val="22"/>
        </w:rPr>
        <w:t>4.2 Reusable Context-Aware RFID Hardware Input (`RFIDInput.jsx`)</w:t>
      </w:r>
    </w:p>
    <w:p>
      <w:pPr>
        <w:spacing w:after="80" w:line="276" w:lineRule="auto"/>
      </w:pPr>
      <w:r>
        <w:rPr>
          <w:rFonts w:ascii="Arial" w:hAnsi="Arial"/>
          <w:color w:val="1E293B"/>
          <w:sz w:val="19"/>
        </w:rPr>
        <w:t>Because tabletop USB RFID readers emulate USB HID keyboards by typing the card UID followed by a carriage return (Enter), standard text fields would suffer from input focus loss, accidental duplicate submissions, and context ambiguity.</w:t>
      </w:r>
    </w:p>
    <w:p>
      <w:pPr>
        <w:spacing w:after="80" w:line="276" w:lineRule="auto"/>
      </w:pPr>
      <w:r>
        <w:rPr>
          <w:rFonts w:ascii="Arial" w:hAnsi="Arial"/>
          <w:color w:val="1E293B"/>
          <w:sz w:val="19"/>
        </w:rPr>
        <w:t>The RFIDInput component solves this through three dedicated architectural mechanisms:</w:t>
      </w:r>
    </w:p>
    <w:p>
      <w:pPr>
        <w:spacing w:after="80" w:line="276" w:lineRule="auto"/>
      </w:pPr>
      <w:r>
        <w:rPr>
          <w:rFonts w:ascii="Arial" w:hAnsi="Arial"/>
          <w:color w:val="1E293B"/>
          <w:sz w:val="19"/>
        </w:rPr>
        <w:t xml:space="preserve">1. </w:t>
      </w:r>
      <w:r>
        <w:rPr>
          <w:rFonts w:ascii="Arial" w:hAnsi="Arial"/>
          <w:b/>
          <w:sz w:val="19"/>
        </w:rPr>
        <w:t>Continuous Visual Context Badging</w:t>
      </w:r>
      <w:r>
        <w:rPr>
          <w:rFonts w:ascii="Arial" w:hAnsi="Arial"/>
          <w:color w:val="1E293B"/>
          <w:sz w:val="19"/>
        </w:rPr>
        <w:t>: Displays the active application reader mode (e.g., CASE-01 ITEM HANDLING, BILLING, PRODUCT_REGISTRATION) with animated CSS pulse indicators.</w:t>
      </w:r>
    </w:p>
    <w:p>
      <w:pPr>
        <w:spacing w:after="80" w:line="276" w:lineRule="auto"/>
      </w:pPr>
      <w:r>
        <w:rPr>
          <w:rFonts w:ascii="Arial" w:hAnsi="Arial"/>
          <w:color w:val="1E293B"/>
          <w:sz w:val="19"/>
        </w:rPr>
        <w:t xml:space="preserve">2. </w:t>
      </w:r>
      <w:r>
        <w:rPr>
          <w:rFonts w:ascii="Arial" w:hAnsi="Arial"/>
          <w:b/>
          <w:sz w:val="19"/>
        </w:rPr>
        <w:t>Deterministic Focus Management</w:t>
      </w:r>
      <w:r>
        <w:rPr>
          <w:rFonts w:ascii="Arial" w:hAnsi="Arial"/>
          <w:color w:val="1E293B"/>
          <w:sz w:val="19"/>
        </w:rPr>
        <w:t>: Leverages React useRef and useEffect to ensure the text input automatically retains focus upon mounting or mode changes without user intervention.</w:t>
      </w:r>
    </w:p>
    <w:p>
      <w:pPr>
        <w:spacing w:after="80" w:line="276" w:lineRule="auto"/>
      </w:pPr>
      <w:r>
        <w:rPr>
          <w:rFonts w:ascii="Arial" w:hAnsi="Arial"/>
          <w:color w:val="1E293B"/>
          <w:sz w:val="19"/>
        </w:rPr>
        <w:t xml:space="preserve">3. </w:t>
      </w:r>
      <w:r>
        <w:rPr>
          <w:rFonts w:ascii="Arial" w:hAnsi="Arial"/>
          <w:b/>
          <w:sz w:val="19"/>
        </w:rPr>
        <w:t>Hardware Debounce Engine (2000ms)</w:t>
      </w:r>
      <w:r>
        <w:rPr>
          <w:rFonts w:ascii="Arial" w:hAnsi="Arial"/>
          <w:color w:val="1E293B"/>
          <w:sz w:val="19"/>
        </w:rPr>
        <w:t>: Physical RF antennas emit repeated UID strings when a card is held in the electromagnetic field for longer than 200ms. The component stores { uid: string, time: number } in component state; repeated scans of the exact same UID within 2 seconds are intercepted and discarded before triggering backend mutations.</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20" w:type="dxa"/>
              <w:right w:w="120" w:type="dxa"/>
            </w:tcMar>
          </w:tcPr>
          <w:p>
            <w:pPr>
              <w:spacing w:after="0"/>
            </w:pPr>
            <w:r>
              <w:rPr>
                <w:rFonts w:ascii="Consolas" w:hAnsi="Consolas"/>
                <w:color w:val="1E293B"/>
                <w:sz w:val="16"/>
              </w:rPr>
              <w:t>// Hardware Debounce Implementation in RFIDInput.jsx</w:t>
              <w:br/>
              <w:t>const handleSubmit = useCallback(async (e) =&gt; {</w:t>
              <w:br/>
              <w:t xml:space="preserve">  e &amp;&amp; e.preventDefault();</w:t>
              <w:br/>
              <w:t xml:space="preserve">  const trimmed = uid.trim();</w:t>
              <w:br/>
              <w:t xml:space="preserve">  if (!trimmed) {</w:t>
              <w:br/>
              <w:t xml:space="preserve">    setFeedback({ type: 'error', text: 'RFID UID cannot be empty.' });</w:t>
              <w:br/>
              <w:t xml:space="preserve">    return;</w:t>
              <w:br/>
              <w:t xml:space="preserve">  }</w:t>
              <w:br/>
              <w:br/>
              <w:t xml:space="preserve">  // 2-Second Debounce Protection</w:t>
              <w:br/>
              <w:t xml:space="preserve">  const now = Date.now();</w:t>
              <w:br/>
              <w:t xml:space="preserve">  if (trimmed === lastScan.uid &amp;&amp; now - lastScan.time &lt; 2000) {</w:t>
              <w:br/>
              <w:t xml:space="preserve">    setFeedback({ type: 'warning', text: 'Duplicate scan ignored (debounce).' });</w:t>
              <w:br/>
              <w:t xml:space="preserve">    setUid('');</w:t>
              <w:br/>
              <w:t xml:space="preserve">    return;</w:t>
              <w:br/>
              <w:t xml:space="preserve">  }</w:t>
              <w:br/>
              <w:br/>
              <w:t xml:space="preserve">  setLastScan({ uid: trimmed, time: now });</w:t>
              <w:br/>
              <w:t xml:space="preserve">  // Pass to parent handler...</w:t>
              <w:br/>
              <w:t>}, [uid, onScan, lastScan]);</w:t>
            </w:r>
          </w:p>
        </w:tc>
      </w:tr>
    </w:tbl>
    <w:p>
      <w:pPr>
        <w:spacing w:after="80"/>
      </w:pPr>
    </w:p>
    <w:p>
      <w:pPr>
        <w:keepNext/>
        <w:spacing w:before="200" w:after="60"/>
      </w:pPr>
      <w:r>
        <w:rPr>
          <w:rFonts w:ascii="Arial" w:hAnsi="Arial"/>
          <w:b/>
          <w:color w:val="2563EB"/>
          <w:sz w:val="22"/>
        </w:rPr>
        <w:t>4.3 Centralized Client API Gateway (`api/api.js`)</w:t>
      </w:r>
    </w:p>
    <w:p>
      <w:pPr>
        <w:spacing w:after="80" w:line="276" w:lineRule="auto"/>
      </w:pPr>
      <w:r>
        <w:rPr>
          <w:rFonts w:ascii="Arial" w:hAnsi="Arial"/>
          <w:color w:val="1E293B"/>
          <w:sz w:val="19"/>
        </w:rPr>
        <w:t>All communication with the Flask backend is channeled through an asynchronous API client using the standard browser fetch API. It enforces JSON serialization, sets credentials: 'include' for cookie and session persistence, and formats structured error responses.</w:t>
      </w:r>
    </w:p>
    <w:p>
      <w:pPr>
        <w:keepNext/>
        <w:spacing w:before="200" w:after="60"/>
      </w:pPr>
      <w:r>
        <w:rPr>
          <w:rFonts w:ascii="Arial" w:hAnsi="Arial"/>
          <w:b/>
          <w:color w:val="2563EB"/>
          <w:sz w:val="22"/>
        </w:rPr>
        <w:t>4.4 Design System &amp; Styling Architecture (`index.css`)</w:t>
      </w:r>
    </w:p>
    <w:p>
      <w:pPr>
        <w:spacing w:after="80" w:line="276" w:lineRule="auto"/>
      </w:pPr>
      <w:r>
        <w:rPr>
          <w:rFonts w:ascii="Arial" w:hAnsi="Arial"/>
          <w:color w:val="1E293B"/>
          <w:sz w:val="19"/>
        </w:rPr>
        <w:t>Built purely with modern Vanilla CSS, the styling utilizes custom CSS custom properties (CSS variables) for design tokens:</w:t>
      </w:r>
    </w:p>
    <w:p>
      <w:pPr>
        <w:pStyle w:val="ListBullet"/>
        <w:spacing w:after="40"/>
      </w:pPr>
      <w:r>
        <w:rPr>
          <w:rFonts w:ascii="Arial" w:hAnsi="Arial"/>
          <w:color w:val="1E293B"/>
          <w:sz w:val="19"/>
        </w:rPr>
        <w:t>Primary brand hues: #0F172A (Navy/Slate) and #1E3A8A (Deep Blue).</w:t>
      </w:r>
    </w:p>
    <w:p>
      <w:pPr>
        <w:pStyle w:val="ListBullet"/>
        <w:spacing w:after="40"/>
      </w:pPr>
      <w:r>
        <w:rPr>
          <w:rFonts w:ascii="Arial" w:hAnsi="Arial"/>
          <w:color w:val="1E293B"/>
          <w:sz w:val="19"/>
        </w:rPr>
        <w:t>State status indicators: #16A34A (AVAILABLE), #D97706 (IN_HANDLING), #DC2626 (BILLING), #475569 (SOLD).</w:t>
      </w:r>
    </w:p>
    <w:p>
      <w:pPr>
        <w:pStyle w:val="ListBullet"/>
        <w:spacing w:after="40"/>
      </w:pPr>
      <w:r>
        <w:rPr>
          <w:rFonts w:ascii="Arial" w:hAnsi="Arial"/>
          <w:color w:val="1E293B"/>
          <w:sz w:val="19"/>
        </w:rPr>
        <w:t>Micro-animations: Hardware pulse indicators utilizing CSS keyframe animations.</w:t>
      </w:r>
    </w:p>
    <w:p>
      <w:pPr>
        <w:pStyle w:val="ListBullet"/>
        <w:spacing w:after="40"/>
      </w:pPr>
      <w:r>
        <w:rPr>
          <w:rFonts w:ascii="Arial" w:hAnsi="Arial"/>
          <w:color w:val="1E293B"/>
          <w:sz w:val="19"/>
        </w:rPr>
        <w:t>Responsive design: CSS Grid (grid-template-columns: repeat(auto-fit, minmax(...))) ensuring responsive operation across laptops, POS touch displays, and management tablets.</w:t>
      </w:r>
    </w:p>
    <w:p>
      <w:pPr>
        <w:spacing w:before="160" w:after="40"/>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user_flow_diagram.jpg"/>
                    <pic:cNvPicPr/>
                  </pic:nvPicPr>
                  <pic:blipFill>
                    <a:blip r:embed="rId11"/>
                    <a:stretch>
                      <a:fillRect/>
                    </a:stretch>
                  </pic:blipFill>
                  <pic:spPr>
                    <a:xfrm>
                      <a:off x="0" y="0"/>
                      <a:ext cx="5669280" cy="3164249"/>
                    </a:xfrm>
                    <a:prstGeom prst="rect"/>
                  </pic:spPr>
                </pic:pic>
              </a:graphicData>
            </a:graphic>
          </wp:inline>
        </w:drawing>
      </w:r>
    </w:p>
    <w:p>
      <w:pPr>
        <w:spacing w:after="240"/>
        <w:jc w:val="center"/>
      </w:pPr>
      <w:r>
        <w:rPr>
          <w:rFonts w:ascii="Arial" w:hAnsi="Arial"/>
          <w:i/>
          <w:color w:val="64748B"/>
          <w:sz w:val="17"/>
        </w:rPr>
        <w:t>Technical Diagram: Frontend-to-Backend Operational Workflow across Admin, Salesperson, and Manager Roles</w:t>
      </w:r>
    </w:p>
    <w:p>
      <w:pPr>
        <w:keepNext/>
        <w:spacing w:before="280" w:after="80"/>
      </w:pPr>
      <w:r>
        <w:rPr>
          <w:rFonts w:ascii="Arial" w:hAnsi="Arial"/>
          <w:b/>
          <w:color w:val="0F234B"/>
          <w:sz w:val="26"/>
        </w:rPr>
        <w:t>5. Backend Layer Architecture (Python &amp; Flask)</w:t>
      </w:r>
    </w:p>
    <w:p>
      <w:pPr>
        <w:keepNext/>
        <w:spacing w:before="200" w:after="60"/>
      </w:pPr>
      <w:r>
        <w:rPr>
          <w:rFonts w:ascii="Arial" w:hAnsi="Arial"/>
          <w:b/>
          <w:color w:val="2563EB"/>
          <w:sz w:val="22"/>
        </w:rPr>
        <w:t>5.1 Service-Oriented Blueprint Modularization</w:t>
      </w:r>
    </w:p>
    <w:p>
      <w:pPr>
        <w:spacing w:after="80" w:line="276" w:lineRule="auto"/>
      </w:pPr>
      <w:r>
        <w:rPr>
          <w:rFonts w:ascii="Arial" w:hAnsi="Arial"/>
          <w:color w:val="1E293B"/>
          <w:sz w:val="19"/>
        </w:rPr>
        <w:t>The Flask application is decoupled into five distinct functional blueprints, delegating business logic to independent service modules:</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20" w:type="dxa"/>
              <w:right w:w="120" w:type="dxa"/>
            </w:tcMar>
          </w:tcPr>
          <w:p>
            <w:pPr>
              <w:spacing w:after="0"/>
            </w:pPr>
            <w:r>
              <w:rPr>
                <w:rFonts w:ascii="Consolas" w:hAnsi="Consolas"/>
                <w:color w:val="1E293B"/>
                <w:sz w:val="16"/>
              </w:rPr>
              <w:t>Flask Request (:5000)</w:t>
              <w:br/>
              <w:t xml:space="preserve">    │</w:t>
              <w:br/>
              <w:t xml:space="preserve">    ├── auth_bp (/api/auth/*)        --&gt; case_service.py (Auto-Allocation / Case Release)</w:t>
              <w:br/>
              <w:t xml:space="preserve">    ├── admin_bp (/api/admin/*)      --&gt; product_service.py &amp; rfid_service.py</w:t>
              <w:br/>
              <w:t xml:space="preserve">    ├── sp_bp (/api/salesperson/*)   --&gt; product_service.py (Item Scan / State Machine)</w:t>
              <w:br/>
              <w:t xml:space="preserve">    ├── billing_bp (/api/billing/*)  --&gt; billing_service.py (Atomic Sale Transactions)</w:t>
              <w:br/>
              <w:t xml:space="preserve">    └── manager_bp (/api/manager/*)  --&gt; log_service.py &amp; case_service.py</w:t>
            </w:r>
          </w:p>
        </w:tc>
      </w:tr>
    </w:tbl>
    <w:p>
      <w:pPr>
        <w:spacing w:after="80"/>
      </w:pPr>
    </w:p>
    <w:p>
      <w:pPr>
        <w:keepNext/>
        <w:spacing w:before="200" w:after="60"/>
      </w:pPr>
      <w:r>
        <w:rPr>
          <w:rFonts w:ascii="Arial" w:hAnsi="Arial"/>
          <w:b/>
          <w:color w:val="2563EB"/>
          <w:sz w:val="22"/>
        </w:rPr>
        <w:t>5.2 Priority Case Allocation Engine (`case_service.py`)</w:t>
      </w:r>
    </w:p>
    <w:p>
      <w:pPr>
        <w:spacing w:after="80" w:line="276" w:lineRule="auto"/>
      </w:pPr>
      <w:r>
        <w:rPr>
          <w:rFonts w:ascii="Arial" w:hAnsi="Arial"/>
          <w:color w:val="1E293B"/>
          <w:sz w:val="19"/>
        </w:rPr>
        <w:t>To prevent store floor conflict, the allocation engine enforces three non-negotiable business rules:</w:t>
      </w:r>
    </w:p>
    <w:p>
      <w:pPr>
        <w:spacing w:after="80" w:line="276" w:lineRule="auto"/>
      </w:pPr>
      <w:r>
        <w:rPr>
          <w:rFonts w:ascii="Arial" w:hAnsi="Arial"/>
          <w:color w:val="1E293B"/>
          <w:sz w:val="19"/>
        </w:rPr>
        <w:t xml:space="preserve">1. </w:t>
      </w:r>
      <w:r>
        <w:rPr>
          <w:rFonts w:ascii="Arial" w:hAnsi="Arial"/>
          <w:b/>
          <w:sz w:val="19"/>
        </w:rPr>
        <w:t>Single Case per Employee</w:t>
      </w:r>
      <w:r>
        <w:rPr>
          <w:rFonts w:ascii="Arial" w:hAnsi="Arial"/>
          <w:color w:val="1E293B"/>
          <w:sz w:val="19"/>
        </w:rPr>
        <w:t>: An employee cannot hold simultaneous allocations across multiple cases.</w:t>
      </w:r>
    </w:p>
    <w:p>
      <w:pPr>
        <w:spacing w:after="80" w:line="276" w:lineRule="auto"/>
      </w:pPr>
      <w:r>
        <w:rPr>
          <w:rFonts w:ascii="Arial" w:hAnsi="Arial"/>
          <w:color w:val="1E293B"/>
          <w:sz w:val="19"/>
        </w:rPr>
        <w:t xml:space="preserve">2. </w:t>
      </w:r>
      <w:r>
        <w:rPr>
          <w:rFonts w:ascii="Arial" w:hAnsi="Arial"/>
          <w:b/>
          <w:sz w:val="19"/>
        </w:rPr>
        <w:t>Single Employee per Case</w:t>
      </w:r>
      <w:r>
        <w:rPr>
          <w:rFonts w:ascii="Arial" w:hAnsi="Arial"/>
          <w:color w:val="1E293B"/>
          <w:sz w:val="19"/>
        </w:rPr>
        <w:t>: A display case cannot be allocated to more than one active salesperson concurrently.</w:t>
      </w:r>
    </w:p>
    <w:p>
      <w:pPr>
        <w:spacing w:after="80" w:line="276" w:lineRule="auto"/>
      </w:pPr>
      <w:r>
        <w:rPr>
          <w:rFonts w:ascii="Arial" w:hAnsi="Arial"/>
          <w:color w:val="1E293B"/>
          <w:sz w:val="19"/>
        </w:rPr>
        <w:t xml:space="preserve">3. </w:t>
      </w:r>
      <w:r>
        <w:rPr>
          <w:rFonts w:ascii="Arial" w:hAnsi="Arial"/>
          <w:b/>
          <w:sz w:val="19"/>
        </w:rPr>
        <w:t>Deterministic Priority Queue</w:t>
      </w:r>
      <w:r>
        <w:rPr>
          <w:rFonts w:ascii="Arial" w:hAnsi="Arial"/>
          <w:color w:val="1E293B"/>
          <w:sz w:val="19"/>
        </w:rPr>
        <w:t>: Available functional cases are assigned sequentially (CASE-01 first, followed by CASE-02, then CASE-03). Future/inactive cases (CASE-04 and CASE-05) are permanently ignored by the auto-allocator.</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20" w:type="dxa"/>
              <w:right w:w="120" w:type="dxa"/>
            </w:tcMar>
          </w:tcPr>
          <w:p>
            <w:pPr>
              <w:spacing w:after="0"/>
            </w:pPr>
            <w:r>
              <w:rPr>
                <w:rFonts w:ascii="Consolas" w:hAnsi="Consolas"/>
                <w:color w:val="1E293B"/>
                <w:sz w:val="16"/>
              </w:rPr>
              <w:t># Priority Case Allocation Algorithm in case_service.py</w:t>
              <w:br/>
              <w:t>for case_id in ['CASE-01', 'CASE-02', 'CASE-03']:</w:t>
              <w:br/>
              <w:t xml:space="preserve">    case = db.execute("SELECT * FROM cases WHERE case_id=? AND functional=1", (case_id,)).fetchone()</w:t>
              <w:br/>
              <w:t xml:space="preserve">    if not case:</w:t>
              <w:br/>
              <w:t xml:space="preserve">        continue</w:t>
              <w:br/>
              <w:t xml:space="preserve">    active = db.execute("SELECT id FROM case_assignments WHERE case_id=? AND status='ACTIVE'", (case_id,)).fetchone()</w:t>
              <w:br/>
              <w:t xml:space="preserve">    if not active:</w:t>
              <w:br/>
              <w:t xml:space="preserve">        # Commit Allocation</w:t>
              <w:br/>
              <w:t xml:space="preserve">        db.execute("INSERT INTO case_assignments (case_id, employee_id, assigned_at, status) VALUES (?,?,?,?)",</w:t>
              <w:br/>
              <w:t xml:space="preserve">                   (case_id, employee_id, now, 'ACTIVE'))</w:t>
              <w:br/>
              <w:t xml:space="preserve">        db.execute("UPDATE cases SET current_status='ASSIGNED' WHERE case_id=?", (case_id,))</w:t>
              <w:br/>
              <w:t xml:space="preserve">        db.commit()</w:t>
              <w:br/>
              <w:t xml:space="preserve">        return case_id, None</w:t>
            </w:r>
          </w:p>
        </w:tc>
      </w:tr>
    </w:tbl>
    <w:p>
      <w:pPr>
        <w:spacing w:after="80"/>
      </w:pPr>
    </w:p>
    <w:p>
      <w:pPr>
        <w:spacing w:before="160" w:after="40"/>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workflow_lifecycle_diagram.jpg"/>
                    <pic:cNvPicPr/>
                  </pic:nvPicPr>
                  <pic:blipFill>
                    <a:blip r:embed="rId12"/>
                    <a:stretch>
                      <a:fillRect/>
                    </a:stretch>
                  </pic:blipFill>
                  <pic:spPr>
                    <a:xfrm>
                      <a:off x="0" y="0"/>
                      <a:ext cx="5669280" cy="3164249"/>
                    </a:xfrm>
                    <a:prstGeom prst="rect"/>
                  </pic:spPr>
                </pic:pic>
              </a:graphicData>
            </a:graphic>
          </wp:inline>
        </w:drawing>
      </w:r>
    </w:p>
    <w:p>
      <w:pPr>
        <w:spacing w:after="240"/>
        <w:jc w:val="center"/>
      </w:pPr>
      <w:r>
        <w:rPr>
          <w:rFonts w:ascii="Arial" w:hAnsi="Arial"/>
          <w:i/>
          <w:color w:val="64748B"/>
          <w:sz w:val="17"/>
        </w:rPr>
        <w:t>Technical Diagram: Mandatory Product State Machine &amp; Tag Reusability Lifecycle</w:t>
      </w:r>
    </w:p>
    <w:p>
      <w:pPr>
        <w:keepNext/>
        <w:spacing w:before="200" w:after="60"/>
      </w:pPr>
      <w:r>
        <w:rPr>
          <w:rFonts w:ascii="Arial" w:hAnsi="Arial"/>
          <w:b/>
          <w:color w:val="2563EB"/>
          <w:sz w:val="22"/>
        </w:rPr>
        <w:t>5.3 Mandatory Product Lifecycle State Machine (`product_service.py`)</w:t>
      </w:r>
    </w:p>
    <w:p>
      <w:pPr>
        <w:spacing w:after="80" w:line="276" w:lineRule="auto"/>
      </w:pPr>
      <w:r>
        <w:rPr>
          <w:rFonts w:ascii="Arial" w:hAnsi="Arial"/>
          <w:color w:val="1E293B"/>
          <w:sz w:val="19"/>
        </w:rPr>
        <w:t>Jewellery pieces follow a formal finite state automaton. Transitions outside the defined graph are rejected by the backend with HTTP 409 Conflict.</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20" w:type="dxa"/>
              <w:right w:w="120" w:type="dxa"/>
            </w:tcMar>
          </w:tcPr>
          <w:p>
            <w:pPr>
              <w:spacing w:after="0"/>
            </w:pPr>
            <w:r>
              <w:rPr>
                <w:rFonts w:ascii="Consolas" w:hAnsi="Consolas"/>
                <w:color w:val="1E293B"/>
                <w:sz w:val="16"/>
              </w:rPr>
              <w:t xml:space="preserve">                        ┌──────────────┐</w:t>
              <w:br/>
              <w:t xml:space="preserve">                        │  AVAILABLE   │</w:t>
              <w:br/>
              <w:t xml:space="preserve">                        └──────┬───────┘</w:t>
              <w:br/>
              <w:t xml:space="preserve">                     Remove    │   ▲ Return</w:t>
              <w:br/>
              <w:t xml:space="preserve">                      Item     │   │  Item</w:t>
              <w:br/>
              <w:t xml:space="preserve">                               ▼   │</w:t>
              <w:br/>
              <w:t xml:space="preserve">                        ┌──────────────┐</w:t>
              <w:br/>
              <w:t xml:space="preserve">                        │ IN_HANDLING  │</w:t>
              <w:br/>
              <w:t xml:space="preserve">                        └──────┬───────┘</w:t>
              <w:br/>
              <w:t xml:space="preserve">                     Billing   │   ▲ Cancel</w:t>
              <w:br/>
              <w:t xml:space="preserve">                      Scan     │   │ Billing</w:t>
              <w:br/>
              <w:t xml:space="preserve">                               ▼   │</w:t>
              <w:br/>
              <w:t xml:space="preserve">                        ┌──────────────┐</w:t>
              <w:br/>
              <w:t xml:space="preserve">                        │   BILLING    │</w:t>
              <w:br/>
              <w:t xml:space="preserve">                        └──────┬───────┘</w:t>
              <w:br/>
              <w:t xml:space="preserve">                     Complete  │</w:t>
              <w:br/>
              <w:t xml:space="preserve">                       Sale    ▼</w:t>
              <w:br/>
              <w:t xml:space="preserve">                        ┌──────────────┐</w:t>
              <w:br/>
              <w:t xml:space="preserve">                        │     SOLD     │</w:t>
              <w:br/>
              <w:t xml:space="preserve">                        └──────────────┘</w:t>
            </w:r>
          </w:p>
        </w:tc>
      </w:tr>
    </w:tbl>
    <w:p>
      <w:pPr>
        <w:spacing w:after="80"/>
      </w:pPr>
    </w:p>
    <w:p>
      <w:pPr>
        <w:spacing w:after="80" w:line="276" w:lineRule="auto"/>
      </w:pPr>
      <w:r>
        <w:rPr>
          <w:rFonts w:ascii="Arial" w:hAnsi="Arial"/>
          <w:color w:val="1E293B"/>
          <w:sz w:val="19"/>
        </w:rPr>
        <w:t>Allowed State Transitions:</w:t>
      </w:r>
    </w:p>
    <w:p>
      <w:pPr>
        <w:pStyle w:val="ListBullet"/>
        <w:spacing w:after="40"/>
      </w:pPr>
      <w:r>
        <w:rPr>
          <w:rFonts w:ascii="Arial" w:hAnsi="Arial"/>
          <w:color w:val="1E293B"/>
          <w:sz w:val="19"/>
        </w:rPr>
        <w:t>AVAILABLE $\rightarrow$ IN_HANDLING (Custody transferred to salesperson)</w:t>
      </w:r>
    </w:p>
    <w:p>
      <w:pPr>
        <w:pStyle w:val="ListBullet"/>
        <w:spacing w:after="40"/>
      </w:pPr>
      <w:r>
        <w:rPr>
          <w:rFonts w:ascii="Arial" w:hAnsi="Arial"/>
          <w:color w:val="1E293B"/>
          <w:sz w:val="19"/>
        </w:rPr>
        <w:t>IN_HANDLING $\rightarrow$ AVAILABLE (Safe return to display case)</w:t>
      </w:r>
    </w:p>
    <w:p>
      <w:pPr>
        <w:pStyle w:val="ListBullet"/>
        <w:spacing w:after="40"/>
      </w:pPr>
      <w:r>
        <w:rPr>
          <w:rFonts w:ascii="Arial" w:hAnsi="Arial"/>
          <w:color w:val="1E293B"/>
          <w:sz w:val="19"/>
        </w:rPr>
        <w:t>IN_HANDLING $\rightarrow$ BILLING (Item moved to billing counter)</w:t>
      </w:r>
    </w:p>
    <w:p>
      <w:pPr>
        <w:pStyle w:val="ListBullet"/>
        <w:spacing w:after="40"/>
      </w:pPr>
      <w:r>
        <w:rPr>
          <w:rFonts w:ascii="Arial" w:hAnsi="Arial"/>
          <w:color w:val="1E293B"/>
          <w:sz w:val="19"/>
        </w:rPr>
        <w:t>BILLING $\rightarrow$ IN_HANDLING (Billing cancelled by cashier)</w:t>
      </w:r>
    </w:p>
    <w:p>
      <w:pPr>
        <w:pStyle w:val="ListBullet"/>
        <w:spacing w:after="40"/>
      </w:pPr>
      <w:r>
        <w:rPr>
          <w:rFonts w:ascii="Arial" w:hAnsi="Arial"/>
          <w:color w:val="1E293B"/>
          <w:sz w:val="19"/>
        </w:rPr>
        <w:t>BILLING $\rightarrow$ SOLD (Sale finalized, tag released)</w:t>
      </w:r>
    </w:p>
    <w:p>
      <w:pPr>
        <w:spacing w:after="80" w:line="276" w:lineRule="auto"/>
      </w:pPr>
      <w:r>
        <w:rPr>
          <w:rFonts w:ascii="Arial" w:hAnsi="Arial"/>
          <w:color w:val="1E293B"/>
          <w:sz w:val="19"/>
        </w:rPr>
        <w:t>Illegal Transitions (Strictly Rejected by Engine):</w:t>
      </w:r>
    </w:p>
    <w:p>
      <w:pPr>
        <w:pStyle w:val="ListBullet"/>
        <w:spacing w:after="40"/>
      </w:pPr>
      <w:r>
        <w:rPr>
          <w:rFonts w:ascii="Arial" w:hAnsi="Arial"/>
          <w:color w:val="1E293B"/>
          <w:sz w:val="19"/>
        </w:rPr>
        <w:t>AVAILABLE $\rightarrow$ SOLD (Bypasses custodial handover and billing)</w:t>
      </w:r>
    </w:p>
    <w:p>
      <w:pPr>
        <w:pStyle w:val="ListBullet"/>
        <w:spacing w:after="40"/>
      </w:pPr>
      <w:r>
        <w:rPr>
          <w:rFonts w:ascii="Arial" w:hAnsi="Arial"/>
          <w:color w:val="1E293B"/>
          <w:sz w:val="19"/>
        </w:rPr>
        <w:t>AVAILABLE $\rightarrow$ BILLING (Cannot bill an item currently sitting in an untouched case)</w:t>
      </w:r>
    </w:p>
    <w:p>
      <w:pPr>
        <w:pStyle w:val="ListBullet"/>
        <w:spacing w:after="40"/>
      </w:pPr>
      <w:r>
        <w:rPr>
          <w:rFonts w:ascii="Arial" w:hAnsi="Arial"/>
          <w:color w:val="1E293B"/>
          <w:sz w:val="19"/>
        </w:rPr>
        <w:t>SOLD $\rightarrow$ AVAILABLE (Permanent business record cannot be resurrected)</w:t>
      </w:r>
    </w:p>
    <w:p>
      <w:pPr>
        <w:pStyle w:val="ListBullet"/>
        <w:spacing w:after="40"/>
      </w:pPr>
      <w:r>
        <w:rPr>
          <w:rFonts w:ascii="Arial" w:hAnsi="Arial"/>
          <w:color w:val="1E293B"/>
          <w:sz w:val="19"/>
        </w:rPr>
        <w:t>SOLD $\rightarrow$ IN_HANDLING (Cannot handle items that have left the store)</w:t>
      </w:r>
    </w:p>
    <w:p>
      <w:pPr>
        <w:keepNext/>
        <w:spacing w:before="280" w:after="80"/>
      </w:pPr>
      <w:r>
        <w:rPr>
          <w:rFonts w:ascii="Arial" w:hAnsi="Arial"/>
          <w:b/>
          <w:color w:val="0F234B"/>
          <w:sz w:val="26"/>
        </w:rPr>
        <w:t>6. Persistence &amp; Relational Data Layer (SQLite 3)</w:t>
      </w:r>
    </w:p>
    <w:p>
      <w:pPr>
        <w:keepNext/>
        <w:spacing w:before="200" w:after="60"/>
      </w:pPr>
      <w:r>
        <w:rPr>
          <w:rFonts w:ascii="Arial" w:hAnsi="Arial"/>
          <w:b/>
          <w:color w:val="2563EB"/>
          <w:sz w:val="22"/>
        </w:rPr>
        <w:t>6.1 Relational Architecture &amp; ACID Compliance</w:t>
      </w:r>
    </w:p>
    <w:p>
      <w:pPr>
        <w:spacing w:after="80" w:line="276" w:lineRule="auto"/>
      </w:pPr>
      <w:r>
        <w:rPr>
          <w:rFonts w:ascii="Arial" w:hAnsi="Arial"/>
          <w:color w:val="1E293B"/>
          <w:sz w:val="19"/>
        </w:rPr>
        <w:t>The backend database is initialized via backend/database/init_db.py. To ensure durability and zero corruption during rapid scanning, the database connection executes:</w:t>
      </w:r>
    </w:p>
    <w:p>
      <w:pPr>
        <w:pStyle w:val="ListBullet"/>
        <w:spacing w:after="40"/>
      </w:pPr>
      <w:r>
        <w:rPr>
          <w:rFonts w:ascii="Arial" w:hAnsi="Arial"/>
          <w:color w:val="1E293B"/>
          <w:sz w:val="19"/>
        </w:rPr>
        <w:t>PRAGMA foreign_keys = ON; (Guarantees referential integrity)</w:t>
      </w:r>
    </w:p>
    <w:p>
      <w:pPr>
        <w:pStyle w:val="ListBullet"/>
        <w:spacing w:after="40"/>
      </w:pPr>
      <w:r>
        <w:rPr>
          <w:rFonts w:ascii="Arial" w:hAnsi="Arial"/>
          <w:color w:val="1E293B"/>
          <w:sz w:val="19"/>
        </w:rPr>
        <w:t>PRAGMA journal_mode = WAL; (Enables concurrent readers alongside writing threads)</w:t>
      </w:r>
    </w:p>
    <w:p>
      <w:pPr>
        <w:keepNext/>
        <w:spacing w:before="200" w:after="60"/>
      </w:pPr>
      <w:r>
        <w:rPr>
          <w:rFonts w:ascii="Arial" w:hAnsi="Arial"/>
          <w:b/>
          <w:color w:val="2563EB"/>
          <w:sz w:val="22"/>
        </w:rPr>
        <w:t>6.2 Relational Schema Definition</w:t>
      </w:r>
    </w:p>
    <w:p>
      <w:pPr>
        <w:keepNext/>
        <w:spacing w:before="160" w:after="40"/>
      </w:pPr>
      <w:r>
        <w:rPr>
          <w:rFonts w:ascii="Arial" w:hAnsi="Arial"/>
          <w:b/>
          <w:color w:val="1E293B"/>
          <w:sz w:val="20"/>
        </w:rPr>
        <w:t>1. `employees` Table</w:t>
      </w:r>
    </w:p>
    <w:p>
      <w:pPr>
        <w:spacing w:after="80" w:line="276" w:lineRule="auto"/>
      </w:pPr>
      <w:r>
        <w:rPr>
          <w:rFonts w:ascii="Arial" w:hAnsi="Arial"/>
          <w:color w:val="1E293B"/>
          <w:sz w:val="19"/>
        </w:rPr>
        <w:t>Stores staff member credentials, system roles, and assigned employee badge RFIDs.</w:t>
      </w:r>
    </w:p>
    <w:p>
      <w:pPr>
        <w:pStyle w:val="ListBullet"/>
        <w:spacing w:after="40"/>
      </w:pPr>
      <w:r>
        <w:rPr>
          <w:rFonts w:ascii="Arial" w:hAnsi="Arial"/>
          <w:color w:val="1E293B"/>
          <w:sz w:val="19"/>
        </w:rPr>
        <w:t>Columns: id, employee_id (UNIQUE), name, role (ADMIN, MANAGER, SALESPERSON), section, rfid_uid (UNIQUE), active, created_at, updated_at.</w:t>
      </w:r>
    </w:p>
    <w:p>
      <w:pPr>
        <w:keepNext/>
        <w:spacing w:before="160" w:after="40"/>
      </w:pPr>
      <w:r>
        <w:rPr>
          <w:rFonts w:ascii="Arial" w:hAnsi="Arial"/>
          <w:b/>
          <w:color w:val="1E293B"/>
          <w:sz w:val="20"/>
        </w:rPr>
        <w:t>2. `rfid_registry` Table</w:t>
      </w:r>
    </w:p>
    <w:p>
      <w:pPr>
        <w:spacing w:after="80" w:line="276" w:lineRule="auto"/>
      </w:pPr>
      <w:r>
        <w:rPr>
          <w:rFonts w:ascii="Arial" w:hAnsi="Arial"/>
          <w:color w:val="1E293B"/>
          <w:sz w:val="19"/>
        </w:rPr>
        <w:t>The central registry distinguishing employee credentials from jewellery item tags.</w:t>
      </w:r>
    </w:p>
    <w:p>
      <w:pPr>
        <w:pStyle w:val="ListBullet"/>
        <w:spacing w:after="40"/>
      </w:pPr>
      <w:r>
        <w:rPr>
          <w:rFonts w:ascii="Arial" w:hAnsi="Arial"/>
          <w:color w:val="1E293B"/>
          <w:sz w:val="19"/>
        </w:rPr>
        <w:t>Columns: id, uid (UNIQUE), rfid_type (EMPLOYEE, ITEM_TAG), status (ACTIVE, ASSIGNED, RELEASED), created_at, updated_at.</w:t>
      </w:r>
    </w:p>
    <w:p>
      <w:pPr>
        <w:keepNext/>
        <w:spacing w:before="160" w:after="40"/>
      </w:pPr>
      <w:r>
        <w:rPr>
          <w:rFonts w:ascii="Arial" w:hAnsi="Arial"/>
          <w:b/>
          <w:color w:val="1E293B"/>
          <w:sz w:val="20"/>
        </w:rPr>
        <w:t>3. `cases` Table</w:t>
      </w:r>
    </w:p>
    <w:p>
      <w:pPr>
        <w:spacing w:after="80" w:line="276" w:lineRule="auto"/>
      </w:pPr>
      <w:r>
        <w:rPr>
          <w:rFonts w:ascii="Arial" w:hAnsi="Arial"/>
          <w:color w:val="1E293B"/>
          <w:sz w:val="19"/>
        </w:rPr>
        <w:t>Tracks all physical display cabinets in the store.</w:t>
      </w:r>
    </w:p>
    <w:p>
      <w:pPr>
        <w:pStyle w:val="ListBullet"/>
        <w:spacing w:after="40"/>
      </w:pPr>
      <w:r>
        <w:rPr>
          <w:rFonts w:ascii="Arial" w:hAnsi="Arial"/>
          <w:color w:val="1E293B"/>
          <w:sz w:val="19"/>
        </w:rPr>
        <w:t>Columns: id, case_id (UNIQUE, CASE-01 to CASE-05), name, functional (1 for cases 01–03, 0 for cases 04–05), current_status (AVAILABLE, ASSIGNED), created_at.</w:t>
      </w:r>
    </w:p>
    <w:p>
      <w:pPr>
        <w:keepNext/>
        <w:spacing w:before="160" w:after="40"/>
      </w:pPr>
      <w:r>
        <w:rPr>
          <w:rFonts w:ascii="Arial" w:hAnsi="Arial"/>
          <w:b/>
          <w:color w:val="1E293B"/>
          <w:sz w:val="20"/>
        </w:rPr>
        <w:t>4. `case_assignments` Table</w:t>
      </w:r>
    </w:p>
    <w:p>
      <w:pPr>
        <w:spacing w:after="80" w:line="276" w:lineRule="auto"/>
      </w:pPr>
      <w:r>
        <w:rPr>
          <w:rFonts w:ascii="Arial" w:hAnsi="Arial"/>
          <w:color w:val="1E293B"/>
          <w:sz w:val="19"/>
        </w:rPr>
        <w:t>Preserves the complete, historical chain of staff case allocations.</w:t>
      </w:r>
    </w:p>
    <w:p>
      <w:pPr>
        <w:pStyle w:val="ListBullet"/>
        <w:spacing w:after="40"/>
      </w:pPr>
      <w:r>
        <w:rPr>
          <w:rFonts w:ascii="Arial" w:hAnsi="Arial"/>
          <w:color w:val="1E293B"/>
          <w:sz w:val="19"/>
        </w:rPr>
        <w:t>Columns: id, case_id, employee_id, assigned_at, released_at, status (ACTIVE, COMPLETED).</w:t>
      </w:r>
    </w:p>
    <w:p>
      <w:pPr>
        <w:pStyle w:val="ListBullet"/>
        <w:spacing w:after="40"/>
      </w:pPr>
      <w:r>
        <w:rPr>
          <w:rFonts w:ascii="Arial" w:hAnsi="Arial"/>
          <w:color w:val="1E293B"/>
          <w:sz w:val="19"/>
        </w:rPr>
        <w:t>*Crucial Rule:* Records in this table are never overwritten; when a staff member logs out, released_at is stamped and status moves to COMPLETED.</w:t>
      </w:r>
    </w:p>
    <w:p>
      <w:pPr>
        <w:keepNext/>
        <w:spacing w:before="160" w:after="40"/>
      </w:pPr>
      <w:r>
        <w:rPr>
          <w:rFonts w:ascii="Arial" w:hAnsi="Arial"/>
          <w:b/>
          <w:color w:val="1E293B"/>
          <w:sz w:val="20"/>
        </w:rPr>
        <w:t>5. `products` Table</w:t>
      </w:r>
    </w:p>
    <w:p>
      <w:pPr>
        <w:spacing w:after="80" w:line="276" w:lineRule="auto"/>
      </w:pPr>
      <w:r>
        <w:rPr>
          <w:rFonts w:ascii="Arial" w:hAnsi="Arial"/>
          <w:color w:val="1E293B"/>
          <w:sz w:val="19"/>
        </w:rPr>
        <w:t>Permanent inventory records of all store jewellery.</w:t>
      </w:r>
    </w:p>
    <w:p>
      <w:pPr>
        <w:pStyle w:val="ListBullet"/>
        <w:spacing w:after="40"/>
      </w:pPr>
      <w:r>
        <w:rPr>
          <w:rFonts w:ascii="Arial" w:hAnsi="Arial"/>
          <w:color w:val="1E293B"/>
          <w:sz w:val="19"/>
        </w:rPr>
        <w:t>Columns: id, product_id (UNIQUE), product_name, category, weight, price, case_id, current_status (AVAILABLE, IN_HANDLING, BILLING, SOLD), current_handler_employee_id, created_at, sold_at, updated_at.</w:t>
      </w:r>
    </w:p>
    <w:p>
      <w:pPr>
        <w:keepNext/>
        <w:spacing w:before="160" w:after="40"/>
      </w:pPr>
      <w:r>
        <w:rPr>
          <w:rFonts w:ascii="Arial" w:hAnsi="Arial"/>
          <w:b/>
          <w:color w:val="1E293B"/>
          <w:sz w:val="20"/>
        </w:rPr>
        <w:t>6. `tag_assignments` Table</w:t>
      </w:r>
    </w:p>
    <w:p>
      <w:pPr>
        <w:spacing w:after="80" w:line="276" w:lineRule="auto"/>
      </w:pPr>
      <w:r>
        <w:rPr>
          <w:rFonts w:ascii="Arial" w:hAnsi="Arial"/>
          <w:color w:val="1E293B"/>
          <w:sz w:val="19"/>
        </w:rPr>
        <w:t>Maintains the relational mapping between reusable physical RFID tags and permanent jewellery products.</w:t>
      </w:r>
    </w:p>
    <w:p>
      <w:pPr>
        <w:pStyle w:val="ListBullet"/>
        <w:spacing w:after="40"/>
      </w:pPr>
      <w:r>
        <w:rPr>
          <w:rFonts w:ascii="Arial" w:hAnsi="Arial"/>
          <w:color w:val="1E293B"/>
          <w:sz w:val="19"/>
        </w:rPr>
        <w:t>Columns: id, rfid_uid, product_id, assigned_at, released_at, status (ACTIVE, RELEASED).</w:t>
      </w:r>
    </w:p>
    <w:p>
      <w:pPr>
        <w:keepNext/>
        <w:spacing w:before="160" w:after="40"/>
      </w:pPr>
      <w:r>
        <w:rPr>
          <w:rFonts w:ascii="Arial" w:hAnsi="Arial"/>
          <w:b/>
          <w:color w:val="1E293B"/>
          <w:sz w:val="20"/>
        </w:rPr>
        <w:t>7. `product_state_history` Table</w:t>
      </w:r>
    </w:p>
    <w:p>
      <w:pPr>
        <w:spacing w:after="80" w:line="276" w:lineRule="auto"/>
      </w:pPr>
      <w:r>
        <w:rPr>
          <w:rFonts w:ascii="Arial" w:hAnsi="Arial"/>
          <w:color w:val="1E293B"/>
          <w:sz w:val="19"/>
        </w:rPr>
        <w:t>Immutable chronological ledger recording every state transition.</w:t>
      </w:r>
    </w:p>
    <w:p>
      <w:pPr>
        <w:pStyle w:val="ListBullet"/>
        <w:spacing w:after="40"/>
      </w:pPr>
      <w:r>
        <w:rPr>
          <w:rFonts w:ascii="Arial" w:hAnsi="Arial"/>
          <w:color w:val="1E293B"/>
          <w:sz w:val="19"/>
        </w:rPr>
        <w:t>Columns: id, product_id, old_state, new_state, employee_id, case_id, timestamp, reason.</w:t>
      </w:r>
    </w:p>
    <w:p>
      <w:pPr>
        <w:keepNext/>
        <w:spacing w:before="160" w:after="40"/>
      </w:pPr>
      <w:r>
        <w:rPr>
          <w:rFonts w:ascii="Arial" w:hAnsi="Arial"/>
          <w:b/>
          <w:color w:val="1E293B"/>
          <w:sz w:val="20"/>
        </w:rPr>
        <w:t>8. `activity_logs` Table</w:t>
      </w:r>
    </w:p>
    <w:p>
      <w:pPr>
        <w:spacing w:after="80" w:line="276" w:lineRule="auto"/>
      </w:pPr>
      <w:r>
        <w:rPr>
          <w:rFonts w:ascii="Arial" w:hAnsi="Arial"/>
          <w:color w:val="1E293B"/>
          <w:sz w:val="19"/>
        </w:rPr>
        <w:t>General audit trail capturing all system events with exact server timestamps.</w:t>
      </w:r>
    </w:p>
    <w:p>
      <w:pPr>
        <w:pStyle w:val="ListBullet"/>
        <w:spacing w:after="40"/>
      </w:pPr>
      <w:r>
        <w:rPr>
          <w:rFonts w:ascii="Arial" w:hAnsi="Arial"/>
          <w:color w:val="1E293B"/>
          <w:sz w:val="19"/>
        </w:rPr>
        <w:t>Columns: id, timestamp, employee_id, role, action (LOGIN, LOGOUT, CASE_ASSIGNED, ITEM_REMOVED, SALE_COMPLETED, etc.), case_id, product_id, rfid_uid, details.</w:t>
      </w:r>
    </w:p>
    <w:p>
      <w:pPr>
        <w:keepNext/>
        <w:spacing w:before="160" w:after="40"/>
      </w:pPr>
      <w:r>
        <w:rPr>
          <w:rFonts w:ascii="Arial" w:hAnsi="Arial"/>
          <w:b/>
          <w:color w:val="1E293B"/>
          <w:sz w:val="20"/>
        </w:rPr>
        <w:t>9. `sales` Table</w:t>
      </w:r>
    </w:p>
    <w:p>
      <w:pPr>
        <w:spacing w:after="80" w:line="276" w:lineRule="auto"/>
      </w:pPr>
      <w:r>
        <w:rPr>
          <w:rFonts w:ascii="Arial" w:hAnsi="Arial"/>
          <w:color w:val="1E293B"/>
          <w:sz w:val="19"/>
        </w:rPr>
        <w:t>Finalized transaction records with sequential billing numbers.</w:t>
      </w:r>
    </w:p>
    <w:p>
      <w:pPr>
        <w:pStyle w:val="ListBullet"/>
        <w:spacing w:after="40"/>
      </w:pPr>
      <w:r>
        <w:rPr>
          <w:rFonts w:ascii="Arial" w:hAnsi="Arial"/>
          <w:color w:val="1E293B"/>
          <w:sz w:val="19"/>
        </w:rPr>
        <w:t>Columns: id, bill_number (UNIQUE, BILL-0001...), product_id, employee_id, customer_name, customer_phone, amount, created_at, status.</w:t>
      </w:r>
    </w:p>
    <w:p>
      <w:pPr>
        <w:keepNext/>
        <w:spacing w:before="280" w:after="80"/>
      </w:pPr>
      <w:r>
        <w:rPr>
          <w:rFonts w:ascii="Arial" w:hAnsi="Arial"/>
          <w:b/>
          <w:color w:val="0F234B"/>
          <w:sz w:val="26"/>
        </w:rPr>
        <w:t>7. Core Business Logic &amp; Innovations</w:t>
      </w:r>
    </w:p>
    <w:p>
      <w:pPr>
        <w:keepNext/>
        <w:spacing w:before="200" w:after="60"/>
      </w:pPr>
      <w:r>
        <w:rPr>
          <w:rFonts w:ascii="Arial" w:hAnsi="Arial"/>
          <w:b/>
          <w:color w:val="2563EB"/>
          <w:sz w:val="22"/>
        </w:rPr>
        <w:t>7.1 Reusable Physical RFID Tags vs. Permanent Business Entities</w:t>
      </w:r>
    </w:p>
    <w:p>
      <w:pPr>
        <w:spacing w:after="80" w:line="276" w:lineRule="auto"/>
      </w:pPr>
      <w:r>
        <w:rPr>
          <w:rFonts w:ascii="Arial" w:hAnsi="Arial"/>
          <w:color w:val="1E293B"/>
          <w:sz w:val="19"/>
        </w:rPr>
        <w:t xml:space="preserve">A fundamental innovation of the Lumina RFID architecture is the strict decoupling of </w:t>
      </w:r>
      <w:r>
        <w:rPr>
          <w:rFonts w:ascii="Arial" w:hAnsi="Arial"/>
          <w:b/>
          <w:sz w:val="19"/>
        </w:rPr>
        <w:t>Physical RFID Tags</w:t>
      </w:r>
      <w:r>
        <w:rPr>
          <w:rFonts w:ascii="Arial" w:hAnsi="Arial"/>
          <w:color w:val="1E293B"/>
          <w:sz w:val="19"/>
        </w:rPr>
        <w:t xml:space="preserve"> from </w:t>
      </w:r>
      <w:r>
        <w:rPr>
          <w:rFonts w:ascii="Arial" w:hAnsi="Arial"/>
          <w:b/>
          <w:sz w:val="19"/>
        </w:rPr>
        <w:t>Jewellery Product Records</w:t>
      </w:r>
      <w:r>
        <w:rPr>
          <w:rFonts w:ascii="Arial" w:hAnsi="Arial"/>
          <w:color w:val="1E293B"/>
          <w:sz w:val="19"/>
        </w:rPr>
        <w:t>.</w:t>
      </w:r>
    </w:p>
    <w:p>
      <w:pPr>
        <w:spacing w:after="80" w:line="276" w:lineRule="auto"/>
      </w:pPr>
      <w:r>
        <w:rPr>
          <w:rFonts w:ascii="Arial" w:hAnsi="Arial"/>
          <w:color w:val="1E293B"/>
          <w:sz w:val="19"/>
        </w:rPr>
        <w:t>In physical retail:</w:t>
      </w:r>
    </w:p>
    <w:p>
      <w:pPr>
        <w:pStyle w:val="ListBullet"/>
        <w:spacing w:after="40"/>
      </w:pPr>
      <w:r>
        <w:rPr>
          <w:rFonts w:ascii="Arial" w:hAnsi="Arial"/>
          <w:color w:val="1E293B"/>
          <w:sz w:val="19"/>
        </w:rPr>
        <w:t>A jewellery piece (JWL001, Gold Ring) is a permanent legal business entity that must be stored in financial history forever.</w:t>
      </w:r>
    </w:p>
    <w:p>
      <w:pPr>
        <w:pStyle w:val="ListBullet"/>
        <w:spacing w:after="40"/>
      </w:pPr>
      <w:r>
        <w:rPr>
          <w:rFonts w:ascii="Arial" w:hAnsi="Arial"/>
          <w:color w:val="1E293B"/>
          <w:sz w:val="19"/>
        </w:rPr>
        <w:t>An RFID tag (TAG001) is a physical piece of silicon that costs money and must be recycled once an item is purchased and boxed.</w:t>
      </w:r>
    </w:p>
    <w:p>
      <w:pPr>
        <w:spacing w:after="80" w:line="276" w:lineRule="auto"/>
      </w:pPr>
      <w:r>
        <w:rPr>
          <w:rFonts w:ascii="Arial" w:hAnsi="Arial"/>
          <w:color w:val="1E293B"/>
          <w:sz w:val="19"/>
        </w:rPr>
        <w:t>When a sale is completed in billing_service.py:</w:t>
      </w:r>
    </w:p>
    <w:p>
      <w:pPr>
        <w:spacing w:after="80" w:line="276" w:lineRule="auto"/>
      </w:pPr>
      <w:r>
        <w:rPr>
          <w:rFonts w:ascii="Arial" w:hAnsi="Arial"/>
          <w:color w:val="1E293B"/>
          <w:sz w:val="19"/>
        </w:rPr>
        <w:t>1. products.current_status becomes SOLD and sold_at is stamped.</w:t>
      </w:r>
    </w:p>
    <w:p>
      <w:pPr>
        <w:spacing w:after="80" w:line="276" w:lineRule="auto"/>
      </w:pPr>
      <w:r>
        <w:rPr>
          <w:rFonts w:ascii="Arial" w:hAnsi="Arial"/>
          <w:color w:val="1E293B"/>
          <w:sz w:val="19"/>
        </w:rPr>
        <w:t>2. The active tag_assignments record is closed by populating released_at and setting status = 'RELEASED'.</w:t>
      </w:r>
    </w:p>
    <w:p>
      <w:pPr>
        <w:spacing w:after="80" w:line="276" w:lineRule="auto"/>
      </w:pPr>
      <w:r>
        <w:rPr>
          <w:rFonts w:ascii="Arial" w:hAnsi="Arial"/>
          <w:color w:val="1E293B"/>
          <w:sz w:val="19"/>
        </w:rPr>
        <w:t>3. rfid_registry.status transitions from ASSIGNED to RELEASED.</w:t>
      </w:r>
    </w:p>
    <w:p>
      <w:pPr>
        <w:spacing w:after="80" w:line="276" w:lineRule="auto"/>
      </w:pPr>
      <w:r>
        <w:rPr>
          <w:rFonts w:ascii="Arial" w:hAnsi="Arial"/>
          <w:color w:val="1E293B"/>
          <w:sz w:val="19"/>
        </w:rPr>
        <w:t xml:space="preserve">4. *Crucial:* The original tag_assignments row is </w:t>
      </w:r>
      <w:r>
        <w:rPr>
          <w:rFonts w:ascii="Arial" w:hAnsi="Arial"/>
          <w:b/>
          <w:sz w:val="19"/>
        </w:rPr>
        <w:t>never deleted or overwritten</w:t>
      </w:r>
      <w:r>
        <w:rPr>
          <w:rFonts w:ascii="Arial" w:hAnsi="Arial"/>
          <w:color w:val="1E293B"/>
          <w:sz w:val="19"/>
        </w:rPr>
        <w:t>.</w:t>
      </w:r>
    </w:p>
    <w:p>
      <w:pPr>
        <w:spacing w:after="80" w:line="276" w:lineRule="auto"/>
      </w:pPr>
      <w:r>
        <w:rPr>
          <w:rFonts w:ascii="Arial" w:hAnsi="Arial"/>
          <w:color w:val="1E293B"/>
          <w:sz w:val="19"/>
        </w:rPr>
        <w:t>When the same physical tag is scanned during a future registration:</w:t>
      </w:r>
    </w:p>
    <w:p>
      <w:pPr>
        <w:spacing w:after="80" w:line="276" w:lineRule="auto"/>
      </w:pPr>
      <w:r>
        <w:rPr>
          <w:rFonts w:ascii="Arial" w:hAnsi="Arial"/>
          <w:color w:val="1E293B"/>
          <w:sz w:val="19"/>
        </w:rPr>
        <w:t>1. The system checks rfid_registry. It detects the tag is in RELEASED status.</w:t>
      </w:r>
    </w:p>
    <w:p>
      <w:pPr>
        <w:spacing w:after="80" w:line="276" w:lineRule="auto"/>
      </w:pPr>
      <w:r>
        <w:rPr>
          <w:rFonts w:ascii="Arial" w:hAnsi="Arial"/>
          <w:color w:val="1E293B"/>
          <w:sz w:val="19"/>
        </w:rPr>
        <w:t>2. It fetches historical assignments from tag_assignments and displays:</w:t>
      </w:r>
    </w:p>
    <w:p>
      <w:pPr>
        <w:spacing w:after="80" w:line="276" w:lineRule="auto"/>
      </w:pPr>
      <w:r>
        <w:rPr>
          <w:rFonts w:ascii="Arial" w:hAnsi="Arial"/>
          <w:color w:val="1E293B"/>
          <w:sz w:val="19"/>
        </w:rPr>
        <w:t xml:space="preserve">   &gt; "RFID AVAILABLE FOR REUSE: Previously bound to JWL001 (SOLD on 2026-10-07). Confirm Reassignment to JWL007?"</w:t>
      </w:r>
    </w:p>
    <w:p>
      <w:pPr>
        <w:spacing w:after="80" w:line="276" w:lineRule="auto"/>
      </w:pPr>
      <w:r>
        <w:rPr>
          <w:rFonts w:ascii="Arial" w:hAnsi="Arial"/>
          <w:color w:val="1E293B"/>
          <w:sz w:val="19"/>
        </w:rPr>
        <w:t xml:space="preserve">3. Upon confirmation, a </w:t>
      </w:r>
      <w:r>
        <w:rPr>
          <w:rFonts w:ascii="Arial" w:hAnsi="Arial"/>
          <w:b/>
          <w:sz w:val="19"/>
        </w:rPr>
        <w:t>brand new row</w:t>
      </w:r>
      <w:r>
        <w:rPr>
          <w:rFonts w:ascii="Arial" w:hAnsi="Arial"/>
          <w:color w:val="1E293B"/>
          <w:sz w:val="19"/>
        </w:rPr>
        <w:t xml:space="preserve"> is inserted into tag_assignments linking TAG001 to JWL007.</w:t>
      </w:r>
    </w:p>
    <w:p>
      <w:pPr>
        <w:spacing w:after="80" w:line="276" w:lineRule="auto"/>
      </w:pPr>
      <w:r>
        <w:rPr>
          <w:rFonts w:ascii="Arial" w:hAnsi="Arial"/>
          <w:color w:val="1E293B"/>
          <w:sz w:val="19"/>
        </w:rPr>
        <w:t>4. Result: Both historical relationships (TAG001 $\rightarrow$ JWL001 and TAG001 $\rightarrow$ JWL007) remain in the database permanently.</w:t>
      </w:r>
    </w:p>
    <w:p>
      <w:pPr>
        <w:keepNext/>
        <w:spacing w:before="200" w:after="60"/>
      </w:pPr>
      <w:r>
        <w:rPr>
          <w:rFonts w:ascii="Arial" w:hAnsi="Arial"/>
          <w:b/>
          <w:color w:val="2563EB"/>
          <w:sz w:val="22"/>
        </w:rPr>
        <w:t>7.2 Preventative Logout Validation (Custodial Anti-Shrink Engine)</w:t>
      </w:r>
    </w:p>
    <w:p>
      <w:pPr>
        <w:spacing w:after="80" w:line="276" w:lineRule="auto"/>
      </w:pPr>
      <w:r>
        <w:rPr>
          <w:rFonts w:ascii="Arial" w:hAnsi="Arial"/>
          <w:color w:val="1E293B"/>
          <w:sz w:val="19"/>
        </w:rPr>
        <w:t>To prevent staff from clocking out while high-value merchandise is still unreturned or unbilled, the release_case service interrogates the inventory table before allowing session termination:</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20" w:type="dxa"/>
              <w:right w:w="120" w:type="dxa"/>
            </w:tcMar>
          </w:tcPr>
          <w:p>
            <w:pPr>
              <w:spacing w:after="0"/>
            </w:pPr>
            <w:r>
              <w:rPr>
                <w:rFonts w:ascii="Consolas" w:hAnsi="Consolas"/>
                <w:color w:val="1E293B"/>
                <w:sz w:val="16"/>
              </w:rPr>
              <w:t># Custodial Anti-Shrink Check in case_service.py</w:t>
              <w:br/>
              <w:t>unresolved = db.execute(</w:t>
              <w:br/>
              <w:t xml:space="preserve">    "SELECT product_id, product_name, current_status FROM products "</w:t>
              <w:br/>
              <w:t xml:space="preserve">    "WHERE current_handler_employee_id=? AND current_status IN ('IN_HANDLING', 'BILLING')",</w:t>
              <w:br/>
              <w:t xml:space="preserve">    (employee_id,)</w:t>
              <w:br/>
              <w:t>).fetchall()</w:t>
              <w:br/>
              <w:br/>
              <w:t>if unresolved:</w:t>
              <w:br/>
              <w:t xml:space="preserve">    return None, {</w:t>
              <w:br/>
              <w:t xml:space="preserve">        "message": "LOGOUT BLOCKED: You still have unresolved jewellery items.",</w:t>
              <w:br/>
              <w:t xml:space="preserve">        "items": [dict(row) for row in unresolved]</w:t>
              <w:br/>
              <w:t xml:space="preserve">    }</w:t>
            </w:r>
          </w:p>
        </w:tc>
      </w:tr>
    </w:tbl>
    <w:p>
      <w:pPr>
        <w:spacing w:after="80"/>
      </w:pPr>
    </w:p>
    <w:p>
      <w:pPr>
        <w:spacing w:after="80" w:line="276" w:lineRule="auto"/>
      </w:pPr>
      <w:r>
        <w:rPr>
          <w:rFonts w:ascii="Arial" w:hAnsi="Arial"/>
          <w:color w:val="1E293B"/>
          <w:sz w:val="19"/>
        </w:rPr>
        <w:t>If unresolved items exist, logout is blocked with HTTP 409, and the frontend displays the list of items that must be returned or billed.</w:t>
      </w:r>
    </w:p>
    <w:p>
      <w:pPr>
        <w:keepNext/>
        <w:spacing w:before="200" w:after="60"/>
      </w:pPr>
      <w:r>
        <w:rPr>
          <w:rFonts w:ascii="Arial" w:hAnsi="Arial"/>
          <w:b/>
          <w:color w:val="2563EB"/>
          <w:sz w:val="22"/>
        </w:rPr>
        <w:t>7.3 Multi-Table Atomic Transactions</w:t>
      </w:r>
    </w:p>
    <w:p>
      <w:pPr>
        <w:spacing w:after="80" w:line="276" w:lineRule="auto"/>
      </w:pPr>
      <w:r>
        <w:rPr>
          <w:rFonts w:ascii="Arial" w:hAnsi="Arial"/>
          <w:color w:val="1E293B"/>
          <w:sz w:val="19"/>
        </w:rPr>
        <w:t xml:space="preserve">Operations that alter state across multiple tables are executed inside explicit SQLite transactions (try ... db.commit() except: db.rollback()). </w:t>
      </w:r>
    </w:p>
    <w:p>
      <w:pPr>
        <w:spacing w:after="80" w:line="276" w:lineRule="auto"/>
      </w:pPr>
      <w:r>
        <w:rPr>
          <w:rFonts w:ascii="Arial" w:hAnsi="Arial"/>
          <w:color w:val="1E293B"/>
          <w:sz w:val="19"/>
        </w:rPr>
        <w:t>During a sale completion, five distinct database mutations occur simultaneously:</w:t>
      </w:r>
    </w:p>
    <w:p>
      <w:pPr>
        <w:spacing w:after="80" w:line="276" w:lineRule="auto"/>
      </w:pPr>
      <w:r>
        <w:rPr>
          <w:rFonts w:ascii="Arial" w:hAnsi="Arial"/>
          <w:color w:val="1E293B"/>
          <w:sz w:val="19"/>
        </w:rPr>
        <w:t>1. Product state transitions to SOLD.</w:t>
      </w:r>
    </w:p>
    <w:p>
      <w:pPr>
        <w:spacing w:after="80" w:line="276" w:lineRule="auto"/>
      </w:pPr>
      <w:r>
        <w:rPr>
          <w:rFonts w:ascii="Arial" w:hAnsi="Arial"/>
          <w:color w:val="1E293B"/>
          <w:sz w:val="19"/>
        </w:rPr>
        <w:t>2. Sales record is created with an auto-incrementing invoice number.</w:t>
      </w:r>
    </w:p>
    <w:p>
      <w:pPr>
        <w:spacing w:after="80" w:line="276" w:lineRule="auto"/>
      </w:pPr>
      <w:r>
        <w:rPr>
          <w:rFonts w:ascii="Arial" w:hAnsi="Arial"/>
          <w:color w:val="1E293B"/>
          <w:sz w:val="19"/>
        </w:rPr>
        <w:t>3. Active tag assignment is marked RELEASED.</w:t>
      </w:r>
    </w:p>
    <w:p>
      <w:pPr>
        <w:spacing w:after="80" w:line="276" w:lineRule="auto"/>
      </w:pPr>
      <w:r>
        <w:rPr>
          <w:rFonts w:ascii="Arial" w:hAnsi="Arial"/>
          <w:color w:val="1E293B"/>
          <w:sz w:val="19"/>
        </w:rPr>
        <w:t>4. Central RFID registry status is updated to RELEASED.</w:t>
      </w:r>
    </w:p>
    <w:p>
      <w:pPr>
        <w:spacing w:after="80" w:line="276" w:lineRule="auto"/>
      </w:pPr>
      <w:r>
        <w:rPr>
          <w:rFonts w:ascii="Arial" w:hAnsi="Arial"/>
          <w:color w:val="1E293B"/>
          <w:sz w:val="19"/>
        </w:rPr>
        <w:t>5. State history and audit logs are recorded.</w:t>
      </w:r>
    </w:p>
    <w:p>
      <w:pPr>
        <w:spacing w:after="80" w:line="276" w:lineRule="auto"/>
      </w:pPr>
      <w:r>
        <w:rPr>
          <w:rFonts w:ascii="Arial" w:hAnsi="Arial"/>
          <w:color w:val="1E293B"/>
          <w:sz w:val="19"/>
        </w:rPr>
        <w:t>If any single step fails, the entire transaction rolls back, preventing orphaned records.</w:t>
      </w:r>
    </w:p>
    <w:p>
      <w:pPr>
        <w:keepNext/>
        <w:spacing w:before="280" w:after="80"/>
      </w:pPr>
      <w:r>
        <w:rPr>
          <w:rFonts w:ascii="Arial" w:hAnsi="Arial"/>
          <w:b/>
          <w:color w:val="0F234B"/>
          <w:sz w:val="26"/>
        </w:rPr>
        <w:t>8. Automated Verification &amp; Inspection Tooling</w:t>
      </w:r>
    </w:p>
    <w:p>
      <w:pPr>
        <w:spacing w:after="80" w:line="276" w:lineRule="auto"/>
      </w:pPr>
      <w:r>
        <w:rPr>
          <w:rFonts w:ascii="Arial" w:hAnsi="Arial"/>
          <w:color w:val="1E293B"/>
          <w:sz w:val="19"/>
        </w:rPr>
        <w:t>To ensure the system can be validated without manual UI testing, two dedicated verification utilities are integrated directly into the repository root:</w:t>
      </w:r>
    </w:p>
    <w:p>
      <w:pPr>
        <w:keepNext/>
        <w:spacing w:before="200" w:after="60"/>
      </w:pPr>
      <w:r>
        <w:rPr>
          <w:rFonts w:ascii="Arial" w:hAnsi="Arial"/>
          <w:b/>
          <w:color w:val="2563EB"/>
          <w:sz w:val="22"/>
        </w:rPr>
        <w:t>8.1 Automated Integration Test Suite (`e2e_full_workflow.py`)</w:t>
      </w:r>
    </w:p>
    <w:p>
      <w:pPr>
        <w:spacing w:after="80" w:line="276" w:lineRule="auto"/>
      </w:pPr>
      <w:r>
        <w:rPr>
          <w:rFonts w:ascii="Arial" w:hAnsi="Arial"/>
          <w:color w:val="1E293B"/>
          <w:sz w:val="19"/>
        </w:rPr>
        <w:t>An automated end-to-end Python test script that connects to the live Vite proxy (http://localhost:5173/api) and executes all 11 core lifecycle operations:</w:t>
      </w:r>
    </w:p>
    <w:p>
      <w:pPr>
        <w:spacing w:after="80" w:line="276" w:lineRule="auto"/>
      </w:pPr>
      <w:r>
        <w:rPr>
          <w:rFonts w:ascii="Arial" w:hAnsi="Arial"/>
          <w:color w:val="1E293B"/>
          <w:sz w:val="19"/>
        </w:rPr>
        <w:t>1. Health and reverse proxy verification.</w:t>
      </w:r>
    </w:p>
    <w:p>
      <w:pPr>
        <w:spacing w:after="80" w:line="276" w:lineRule="auto"/>
      </w:pPr>
      <w:r>
        <w:rPr>
          <w:rFonts w:ascii="Arial" w:hAnsi="Arial"/>
          <w:color w:val="1E293B"/>
          <w:sz w:val="19"/>
        </w:rPr>
        <w:t>2. Employee registration &amp; duplicate validation.</w:t>
      </w:r>
    </w:p>
    <w:p>
      <w:pPr>
        <w:spacing w:after="80" w:line="276" w:lineRule="auto"/>
      </w:pPr>
      <w:r>
        <w:rPr>
          <w:rFonts w:ascii="Arial" w:hAnsi="Arial"/>
          <w:color w:val="1E293B"/>
          <w:sz w:val="19"/>
        </w:rPr>
        <w:t>3. Product registration &amp; active tag collision blocking.</w:t>
      </w:r>
    </w:p>
    <w:p>
      <w:pPr>
        <w:spacing w:after="80" w:line="276" w:lineRule="auto"/>
      </w:pPr>
      <w:r>
        <w:rPr>
          <w:rFonts w:ascii="Arial" w:hAnsi="Arial"/>
          <w:color w:val="1E293B"/>
          <w:sz w:val="19"/>
        </w:rPr>
        <w:t>4. Salesperson badge authentication &amp; priority allocation (CASE-01).</w:t>
      </w:r>
    </w:p>
    <w:p>
      <w:pPr>
        <w:spacing w:after="80" w:line="276" w:lineRule="auto"/>
      </w:pPr>
      <w:r>
        <w:rPr>
          <w:rFonts w:ascii="Arial" w:hAnsi="Arial"/>
          <w:color w:val="1E293B"/>
          <w:sz w:val="19"/>
        </w:rPr>
        <w:t>5. Single-reader item removal (AVAILABLE $\rightarrow$ IN_HANDLING).</w:t>
      </w:r>
    </w:p>
    <w:p>
      <w:pPr>
        <w:spacing w:after="80" w:line="276" w:lineRule="auto"/>
      </w:pPr>
      <w:r>
        <w:rPr>
          <w:rFonts w:ascii="Arial" w:hAnsi="Arial"/>
          <w:color w:val="1E293B"/>
          <w:sz w:val="19"/>
        </w:rPr>
        <w:t>6. Single-reader item return (IN_HANDLING $\rightarrow$ AVAILABLE).</w:t>
      </w:r>
    </w:p>
    <w:p>
      <w:pPr>
        <w:spacing w:after="80" w:line="276" w:lineRule="auto"/>
      </w:pPr>
      <w:r>
        <w:rPr>
          <w:rFonts w:ascii="Arial" w:hAnsi="Arial"/>
          <w:color w:val="1E293B"/>
          <w:sz w:val="19"/>
        </w:rPr>
        <w:t>7. Custodial logout block verification.</w:t>
      </w:r>
    </w:p>
    <w:p>
      <w:pPr>
        <w:spacing w:after="80" w:line="276" w:lineRule="auto"/>
      </w:pPr>
      <w:r>
        <w:rPr>
          <w:rFonts w:ascii="Arial" w:hAnsi="Arial"/>
          <w:color w:val="1E293B"/>
          <w:sz w:val="19"/>
        </w:rPr>
        <w:t>8. Admin billing scan (IN_HANDLING $\rightarrow$ BILLING) &amp; cancellation recovery.</w:t>
      </w:r>
    </w:p>
    <w:p>
      <w:pPr>
        <w:spacing w:after="80" w:line="276" w:lineRule="auto"/>
      </w:pPr>
      <w:r>
        <w:rPr>
          <w:rFonts w:ascii="Arial" w:hAnsi="Arial"/>
          <w:color w:val="1E293B"/>
          <w:sz w:val="19"/>
        </w:rPr>
        <w:t>9. Atomic sale finalization (BILLING $\rightarrow$ SOLD), bill generation, and tag release.</w:t>
      </w:r>
    </w:p>
    <w:p>
      <w:pPr>
        <w:spacing w:after="80" w:line="276" w:lineRule="auto"/>
      </w:pPr>
      <w:r>
        <w:rPr>
          <w:rFonts w:ascii="Arial" w:hAnsi="Arial"/>
          <w:color w:val="1E293B"/>
          <w:sz w:val="19"/>
        </w:rPr>
        <w:t>10. Explicit tag reassignment confirmation workflow.</w:t>
      </w:r>
    </w:p>
    <w:p>
      <w:pPr>
        <w:spacing w:after="80" w:line="276" w:lineRule="auto"/>
      </w:pPr>
      <w:r>
        <w:rPr>
          <w:rFonts w:ascii="Arial" w:hAnsi="Arial"/>
          <w:color w:val="1E293B"/>
          <w:sz w:val="19"/>
        </w:rPr>
        <w:t>11. Full Manager audit trail verification across all 5 cases.</w:t>
      </w:r>
    </w:p>
    <w:p>
      <w:pPr>
        <w:spacing w:after="80" w:line="276" w:lineRule="auto"/>
      </w:pPr>
      <w:r>
        <w:rPr>
          <w:rFonts w:ascii="Arial" w:hAnsi="Arial"/>
          <w:color w:val="1E293B"/>
          <w:sz w:val="19"/>
        </w:rPr>
        <w:t>Execution command:</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20" w:type="dxa"/>
              <w:right w:w="120" w:type="dxa"/>
            </w:tcMar>
          </w:tcPr>
          <w:p>
            <w:pPr>
              <w:spacing w:after="0"/>
            </w:pPr>
            <w:r>
              <w:rPr>
                <w:rFonts w:ascii="Consolas" w:hAnsi="Consolas"/>
                <w:color w:val="1E293B"/>
                <w:sz w:val="16"/>
              </w:rPr>
              <w:t>.\backend\venv\Scripts\python.exe e2e_full_workflow.py</w:t>
            </w:r>
          </w:p>
        </w:tc>
      </w:tr>
    </w:tbl>
    <w:p>
      <w:pPr>
        <w:spacing w:after="80"/>
      </w:pPr>
    </w:p>
    <w:p>
      <w:pPr>
        <w:keepNext/>
        <w:spacing w:before="200" w:after="60"/>
      </w:pPr>
      <w:r>
        <w:rPr>
          <w:rFonts w:ascii="Arial" w:hAnsi="Arial"/>
          <w:b/>
          <w:color w:val="2563EB"/>
          <w:sz w:val="22"/>
        </w:rPr>
        <w:t>8.2 Real-Time Database Inspector (`view_db.py`)</w:t>
      </w:r>
    </w:p>
    <w:p>
      <w:pPr>
        <w:spacing w:after="80" w:line="276" w:lineRule="auto"/>
      </w:pPr>
      <w:r>
        <w:rPr>
          <w:rFonts w:ascii="Arial" w:hAnsi="Arial"/>
          <w:color w:val="1E293B"/>
          <w:sz w:val="19"/>
        </w:rPr>
        <w:t>A command-line database inspection utility that formats and outputs all 8 database tables with aligned headers, timestamps, and relational foreign key values:</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20" w:type="dxa"/>
              <w:right w:w="120" w:type="dxa"/>
            </w:tcMar>
          </w:tcPr>
          <w:p>
            <w:pPr>
              <w:spacing w:after="0"/>
            </w:pPr>
            <w:r>
              <w:rPr>
                <w:rFonts w:ascii="Consolas" w:hAnsi="Consolas"/>
                <w:color w:val="1E293B"/>
                <w:sz w:val="16"/>
              </w:rPr>
              <w:t>.\backend\venv\Scripts\python.exe view_db.py</w:t>
            </w:r>
          </w:p>
        </w:tc>
      </w:tr>
    </w:tbl>
    <w:p>
      <w:pPr>
        <w:spacing w:after="80"/>
      </w:pPr>
    </w:p>
    <w:p>
      <w:pPr>
        <w:keepNext/>
        <w:spacing w:before="280" w:after="80"/>
      </w:pPr>
      <w:r>
        <w:rPr>
          <w:rFonts w:ascii="Arial" w:hAnsi="Arial"/>
          <w:b/>
          <w:color w:val="0F234B"/>
          <w:sz w:val="26"/>
        </w:rPr>
        <w:t>9. Conclusion</w:t>
      </w:r>
    </w:p>
    <w:p>
      <w:pPr>
        <w:spacing w:after="80" w:line="276" w:lineRule="auto"/>
      </w:pPr>
      <w:r>
        <w:rPr>
          <w:rFonts w:ascii="Arial" w:hAnsi="Arial"/>
          <w:color w:val="1E293B"/>
          <w:sz w:val="19"/>
        </w:rPr>
        <w:t xml:space="preserve">The </w:t>
      </w:r>
      <w:r>
        <w:rPr>
          <w:rFonts w:ascii="Arial" w:hAnsi="Arial"/>
          <w:b/>
          <w:sz w:val="19"/>
        </w:rPr>
        <w:t>Lumina RFID Phase-1 Technical Architecture</w:t>
      </w:r>
      <w:r>
        <w:rPr>
          <w:rFonts w:ascii="Arial" w:hAnsi="Arial"/>
          <w:color w:val="1E293B"/>
          <w:sz w:val="19"/>
        </w:rPr>
        <w:t xml:space="preserve"> provides a robust, production-grade proof of concept for luxury retail asset tracking. By utilizing a disciplined technology stack—React 18, Vite, Python Flask, and SQLite—the system proves that complex custodial accountability, context-aware hardware abstraction, and immutable audit logging can be achieved with exceptional speed, stability, and zero unnecessary operational complexity.</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