
<file path=[Content_Types].xml><?xml version="1.0" encoding="utf-8"?>
<Types xmlns="http://schemas.openxmlformats.org/package/2006/content-types">
  <Default Extension="xlsx" ContentType="application/vnd.openxmlformats-officedocument.spreadsheetml.sheet"/>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31"/>
        <w:pBdr/>
        <w:spacing/>
        <w:ind/>
        <w:jc w:val="both"/>
        <w:rPr>
          <w:sz w:val="28"/>
          <w:szCs w:val="28"/>
        </w:rPr>
      </w:pPr>
      <w:r>
        <w:rPr>
          <w:sz w:val="28"/>
          <w:szCs w:val="28"/>
        </w:rPr>
        <w:t xml:space="preserve">Result Analysis</w:t>
      </w:r>
      <w:r>
        <w:rPr>
          <w:sz w:val="28"/>
          <w:szCs w:val="28"/>
        </w:rPr>
      </w:r>
      <w:r>
        <w:rPr>
          <w:sz w:val="28"/>
          <w:szCs w:val="28"/>
        </w:rPr>
      </w:r>
    </w:p>
    <w:p w14:paraId="2E4D94B2">
      <w:pPr>
        <w:pBdr/>
        <w:spacing/>
        <w:ind/>
        <w:jc w:val="both"/>
        <w:rPr/>
      </w:pPr>
      <w:r/>
      <w:r/>
    </w:p>
    <w:p w14:paraId="716A3528">
      <w:pPr>
        <w:pBdr/>
        <w:spacing/>
        <w:ind/>
        <w:jc w:val="both"/>
        <w:rPr>
          <w:b/>
          <w:bCs/>
          <w:sz w:val="18"/>
          <w:szCs w:val="18"/>
        </w:rPr>
      </w:pPr>
      <w:r>
        <w:rPr>
          <w:b/>
          <w:bCs/>
          <w:sz w:val="22"/>
          <w:szCs w:val="22"/>
        </w:rPr>
        <w:t xml:space="preserve">Dataset Characteristics and Class Distribution:</w:t>
      </w:r>
      <w:r>
        <w:rPr>
          <w:b/>
          <w:bCs/>
          <w:sz w:val="18"/>
          <w:szCs w:val="18"/>
        </w:rPr>
      </w:r>
      <w:r>
        <w:rPr>
          <w:b/>
          <w:bCs/>
          <w:sz w:val="18"/>
          <w:szCs w:val="18"/>
        </w:rPr>
      </w:r>
    </w:p>
    <w:p w14:paraId="43851B06">
      <w:pPr>
        <w:pBdr/>
        <w:spacing/>
        <w:ind/>
        <w:jc w:val="both"/>
        <w:rPr>
          <w:sz w:val="22"/>
          <w:szCs w:val="22"/>
          <w:highlight w:val="none"/>
        </w:rPr>
      </w:pPr>
      <w:r>
        <w:rPr>
          <w:sz w:val="22"/>
          <w:szCs w:val="22"/>
        </w:rPr>
        <w:t xml:space="preserve">From two independent glioma </w:t>
      </w:r>
      <w:r>
        <w:rPr>
          <w:sz w:val="22"/>
          <w:szCs w:val="22"/>
        </w:rPr>
        <w:t xml:space="preserve">cohorts the study utilized mutation and clinical data. Training and testing was conducted on TCGA dataset that contains 839 patients and the CGGA dataset which contains 286 patients was used only for external validation to evaluate cross-cohort generalizat</w:t>
      </w:r>
      <w:r>
        <w:rPr>
          <w:sz w:val="22"/>
          <w:szCs w:val="22"/>
        </w:rPr>
        <w:t xml:space="preserve">ion. The TCGA shows a mild class imbalance with 487 LGG[Grade 0] (58%) and 352 GBM[Grade 1], which shows an imbalance ratio of approximately 1.38:1. A test set of 168 patients (98 Grade-0 and 70 Grade 1) was held out and never used during model training.  </w:t>
      </w:r>
      <w:r>
        <w:rPr>
          <w:sz w:val="22"/>
          <w:szCs w:val="22"/>
        </w:rPr>
        <w:t xml:space="preserve">The CGGA cohort has bit stronger imbalance with 64% Grade-0 and 36% Grade-1 samples. </w:t>
      </w:r>
      <w:r>
        <w:rPr>
          <w:sz w:val="22"/>
          <w:szCs w:val="22"/>
          <w:highlight w:val="none"/>
        </w:rPr>
      </w:r>
      <w:r>
        <w:rPr>
          <w:sz w:val="22"/>
          <w:szCs w:val="22"/>
          <w:highlight w:val="none"/>
        </w:rPr>
      </w:r>
    </w:p>
    <w:p w14:paraId="2348A5F8">
      <w:pPr>
        <w:pBdr/>
        <w:spacing/>
        <w:ind/>
        <w:jc w:val="both"/>
        <w:rPr>
          <w:b w:val="0"/>
          <w:bCs w:val="0"/>
          <w:i w:val="0"/>
          <w:sz w:val="22"/>
          <w:szCs w:val="22"/>
          <w:highlight w:val="none"/>
        </w:rPr>
      </w:pPr>
      <w:r>
        <w:rPr>
          <w:b w:val="0"/>
          <w:bCs w:val="0"/>
          <w:i/>
          <w:iCs/>
          <w:sz w:val="22"/>
          <w:szCs w:val="22"/>
        </w:rPr>
        <w:t xml:space="preserve">Interpretation: </w:t>
      </w:r>
      <w:r>
        <w:rPr>
          <w:b w:val="0"/>
          <w:bCs w:val="0"/>
          <w:i w:val="0"/>
          <w:iCs w:val="0"/>
          <w:sz w:val="22"/>
          <w:szCs w:val="22"/>
        </w:rPr>
        <w:t xml:space="preserve">The observation of mild imbalance indicates that advance resampling strategies are not strictly required for numerical stability. This is later confirmed in the pipeline comparison experiments where baseline performance remains robust.</w:t>
      </w:r>
      <w:r>
        <w:rPr>
          <w:b w:val="0"/>
          <w:bCs w:val="0"/>
          <w:i w:val="0"/>
          <w:sz w:val="22"/>
          <w:szCs w:val="22"/>
          <w:highlight w:val="none"/>
        </w:rPr>
      </w:r>
      <w:r>
        <w:rPr>
          <w:b w:val="0"/>
          <w:bCs w:val="0"/>
          <w:i w:val="0"/>
          <w:sz w:val="22"/>
          <w:szCs w:val="22"/>
          <w:highlight w:val="none"/>
        </w:rPr>
      </w:r>
    </w:p>
    <w:p w14:paraId="77E27A2D">
      <w:pPr>
        <w:pBdr/>
        <w:spacing/>
        <w:ind/>
        <w:jc w:val="both"/>
        <w:rPr>
          <w:b/>
          <w:bCs w:val="0"/>
          <w:i w:val="0"/>
          <w:sz w:val="22"/>
          <w:szCs w:val="22"/>
          <w:highlight w:val="none"/>
        </w:rPr>
      </w:pPr>
      <w:r>
        <w:rPr>
          <w:b w:val="0"/>
          <w:bCs w:val="0"/>
          <w:i w:val="0"/>
          <w:iCs w:val="0"/>
          <w:sz w:val="22"/>
          <w:szCs w:val="22"/>
          <w:highlight w:val="none"/>
        </w:rPr>
      </w:r>
      <w:r>
        <w:rPr>
          <w:b/>
          <w:bCs/>
          <w:i w:val="0"/>
          <w:iCs w:val="0"/>
          <w:sz w:val="22"/>
          <w:szCs w:val="22"/>
          <w:highlight w:val="none"/>
        </w:rPr>
        <w:t xml:space="preserve">Comparative Model Performance:</w:t>
      </w:r>
      <w:r>
        <w:rPr>
          <w:b/>
          <w:bCs/>
          <w:i w:val="0"/>
          <w:sz w:val="22"/>
          <w:szCs w:val="22"/>
          <w:highlight w:val="none"/>
        </w:rPr>
      </w:r>
      <w:r>
        <w:rPr>
          <w:b/>
          <w:bCs w:val="0"/>
          <w:i w:val="0"/>
          <w:sz w:val="22"/>
          <w:szCs w:val="22"/>
          <w:highlight w:val="none"/>
        </w:rPr>
      </w:r>
    </w:p>
    <w:p w14:paraId="3AB0242C">
      <w:pPr>
        <w:pBdr/>
        <w:spacing/>
        <w:ind/>
        <w:jc w:val="both"/>
        <w:rPr>
          <w:b w:val="0"/>
          <w:bCs w:val="0"/>
          <w:i w:val="0"/>
          <w:sz w:val="22"/>
          <w:szCs w:val="22"/>
          <w:highlight w:val="none"/>
        </w:rPr>
      </w:pPr>
      <w:r>
        <w:rPr>
          <w:b w:val="0"/>
          <w:bCs w:val="0"/>
          <w:i w:val="0"/>
          <w:iCs w:val="0"/>
          <w:sz w:val="22"/>
          <w:szCs w:val="22"/>
          <w:highlight w:val="none"/>
        </w:rPr>
        <w:t xml:space="preserve">A comparative evaluation of seven heterogeneous graph neural network (HGNN) architecture was conduc</w:t>
      </w:r>
      <w:r>
        <w:rPr>
          <w:b w:val="0"/>
          <w:bCs w:val="0"/>
          <w:i w:val="0"/>
          <w:iCs w:val="0"/>
          <w:sz w:val="22"/>
          <w:szCs w:val="22"/>
          <w:highlight w:val="none"/>
        </w:rPr>
        <w:t xml:space="preserve">ted using four different data balancing pipelines. The result shows a clear two-tier performance structure. MOGAT, FastHGTConv and HeteroGATv2 consistently outperformed the remaining architectures by approximately 0.07 - 0.10 AUC across all test scenarios.</w:t>
      </w:r>
      <w:r>
        <w:rPr>
          <w:b w:val="0"/>
          <w:bCs w:val="0"/>
          <w:i w:val="0"/>
          <w:sz w:val="22"/>
          <w:szCs w:val="22"/>
          <w:highlight w:val="none"/>
        </w:rPr>
      </w:r>
      <w:r>
        <w:rPr>
          <w:b w:val="0"/>
          <w:bCs w:val="0"/>
          <w:i w:val="0"/>
          <w:sz w:val="22"/>
          <w:szCs w:val="22"/>
          <w:highlight w:val="none"/>
        </w:rPr>
      </w:r>
    </w:p>
    <w:p w14:paraId="5ABEFD2F">
      <w:pPr>
        <w:pBdr/>
        <w:spacing/>
        <w:ind/>
        <w:jc w:val="both"/>
        <w:rPr>
          <w:b w:val="0"/>
          <w:bCs w:val="0"/>
          <w:i w:val="0"/>
          <w:sz w:val="22"/>
          <w:szCs w:val="22"/>
          <w:highlight w:val="none"/>
        </w:rPr>
      </w:pPr>
      <w:r>
        <w:rPr>
          <w:b w:val="0"/>
          <w:bCs w:val="0"/>
          <w:i w:val="0"/>
          <w:iCs w:val="0"/>
          <w:sz w:val="22"/>
          <w:szCs w:val="22"/>
          <w:highlight w:val="none"/>
        </w:rPr>
        <w:t xml:space="preserve">Among these</w:t>
      </w:r>
      <w:r>
        <w:rPr>
          <w:b w:val="0"/>
          <w:bCs w:val="0"/>
          <w:i w:val="0"/>
          <w:iCs w:val="0"/>
          <w:sz w:val="22"/>
          <w:szCs w:val="22"/>
          <w:highlight w:val="none"/>
        </w:rPr>
        <w:t xml:space="preserve">, the MOGAT model combined with random oversampling(ROS) achieves the highest predictive performance, reaching the AUC of 0.923 on TCGA test set and 0.809 on the independent CGGA cohort.</w:t>
      </w:r>
      <w:r>
        <w:rPr>
          <w:b w:val="0"/>
          <w:bCs w:val="0"/>
          <w:i w:val="0"/>
          <w:sz w:val="22"/>
          <w:szCs w:val="22"/>
          <w:highlight w:val="none"/>
        </w:rPr>
      </w:r>
      <w:r>
        <w:rPr>
          <w:b/>
          <w:bCs w:val="0"/>
          <w:i w:val="0"/>
          <w:sz w:val="22"/>
          <w:szCs w:val="22"/>
          <w:highlight w:val="none"/>
        </w:rPr>
      </w:r>
    </w:p>
    <w:p w14:paraId="2EFF258A">
      <w:pPr>
        <w:pBdr/>
        <w:spacing/>
        <w:ind/>
        <w:jc w:val="both"/>
        <w:rPr>
          <w:b/>
          <w:bCs w:val="0"/>
          <w:i w:val="0"/>
          <w:sz w:val="22"/>
          <w:szCs w:val="22"/>
          <w:highlight w:val="none"/>
        </w:rPr>
      </w:pPr>
      <w:r>
        <w:rPr>
          <w:b w:val="0"/>
          <w:bCs w:val="0"/>
          <w:i w:val="0"/>
          <w:sz w:val="22"/>
          <w:szCs w:val="22"/>
          <w:highlight w:val="none"/>
        </w:rPr>
      </w:r>
      <w:r>
        <w:rPr>
          <w:b w:val="0"/>
          <w:bCs w:val="0"/>
          <w:i w:val="0"/>
          <w:sz w:val="22"/>
          <w:szCs w:val="22"/>
          <w:highlight w:val="none"/>
        </w:rPr>
      </w:r>
      <w:r>
        <w:rPr>
          <w:b w:val="0"/>
          <w:bCs w:val="0"/>
          <w:i w:val="0"/>
          <w:sz w:val="22"/>
          <w:szCs w:val="22"/>
          <w:highlight w:val="none"/>
        </w:rPr>
      </w:r>
    </w:p>
    <w:p w14:paraId="03924FCF">
      <w:pPr>
        <w:pBdr/>
        <w:spacing/>
        <w:ind/>
        <w:jc w:val="both"/>
        <w:rPr>
          <w:b w:val="0"/>
          <w:bCs w:val="0"/>
          <w:i w:val="0"/>
          <w:sz w:val="22"/>
          <w:szCs w:val="22"/>
          <w:highlight w:val="none"/>
        </w:rPr>
      </w:pPr>
      <w:r>
        <w:rPr>
          <w:b/>
          <w:bCs/>
          <w:i w:val="0"/>
          <w:sz w:val="22"/>
          <w:szCs w:val="22"/>
          <w:highlight w:val="none"/>
        </w:rPr>
      </w:r>
      <w:r/>
      <w:r>
        <w:rPr>
          <w:b/>
          <w:bCs/>
          <w:i w:val="0"/>
          <w:sz w:val="22"/>
          <w:szCs w:val="22"/>
          <w:highlight w:val="none"/>
        </w:rPr>
      </w:r>
      <w:r>
        <mc:AlternateContent>
          <mc:Choice Requires="wpg">
            <w:drawing>
              <wp:inline xmlns:wp="http://schemas.openxmlformats.org/drawingml/2006/wordprocessingDrawing" distT="0" distB="0" distL="0" distR="0">
                <wp:extent cx="5943600" cy="258327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99562" name=""/>
                        <pic:cNvPicPr>
                          <a:picLocks noChangeAspect="1"/>
                        </pic:cNvPicPr>
                        <pic:nvPr/>
                      </pic:nvPicPr>
                      <pic:blipFill rotWithShape="1">
                        <a:blip r:embed="rId8"/>
                        <a:stretch/>
                      </pic:blipFill>
                      <pic:spPr bwMode="auto">
                        <a:xfrm rot="0" flipH="0" flipV="0">
                          <a:off x="0" y="0"/>
                          <a:ext cx="5943599" cy="25832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03.41pt;mso-wrap-distance-left:0.00pt;mso-wrap-distance-top:0.00pt;mso-wrap-distance-right:0.00pt;mso-wrap-distance-bottom:0.00pt;rotation:0;z-index:1;" stroked="false">
                <v:imagedata r:id="rId8" o:title=""/>
                <o:lock v:ext="edit" rotation="t"/>
              </v:shape>
            </w:pict>
          </mc:Fallback>
        </mc:AlternateContent>
      </w:r>
      <w:r/>
      <w:r>
        <w:rPr>
          <w:b/>
          <w:bCs/>
          <w:i w:val="0"/>
          <w:sz w:val="22"/>
          <w:szCs w:val="22"/>
          <w:highlight w:val="none"/>
        </w:rPr>
      </w:r>
      <w:r>
        <w:rPr>
          <w:b w:val="0"/>
          <w:bCs w:val="0"/>
          <w:i w:val="0"/>
          <w:sz w:val="22"/>
          <w:szCs w:val="22"/>
          <w:highlight w:val="none"/>
        </w:rPr>
      </w:r>
    </w:p>
    <w:p w14:paraId="63E579AA">
      <w:pPr>
        <w:pBdr/>
        <w:spacing/>
        <w:ind/>
        <w:jc w:val="center"/>
        <w:rPr>
          <w:b/>
          <w:bCs w:val="0"/>
          <w:i w:val="0"/>
          <w:sz w:val="22"/>
          <w:szCs w:val="22"/>
          <w:highlight w:val="none"/>
        </w:rPr>
      </w:pPr>
      <w:r>
        <w:rPr>
          <w:b/>
          <w:bCs/>
          <w:i w:val="0"/>
          <w:iCs w:val="0"/>
          <w:sz w:val="22"/>
          <w:szCs w:val="22"/>
          <w:highlight w:val="none"/>
        </w:rPr>
      </w:r>
      <w:r>
        <w:rPr>
          <w:b/>
          <w:bCs/>
          <w:i w:val="0"/>
          <w:iCs w:val="0"/>
          <w:sz w:val="22"/>
          <w:szCs w:val="22"/>
          <w:highlight w:val="none"/>
        </w:rPr>
        <w:object w:dxaOrig="8520" w:dyaOrig="135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6.19pt;height:613.16pt;mso-wrap-distance-left:0.00pt;mso-wrap-distance-top:0.00pt;mso-wrap-distance-right:0.00pt;mso-wrap-distance-bottom:0.00pt;z-index:1;" filled="f" stroked="false">
            <v:imagedata r:id="rId9" o:title=""/>
            <o:lock v:ext="edit" rotation="t"/>
          </v:shape>
          <o:OLEObject DrawAspect="Content" r:id="rId10" ObjectID="_1525041" ProgID="Excel.Sheet.12" ShapeID="_x0000_i1" Type="Embed"/>
        </w:object>
      </w:r>
      <w:r>
        <w:rPr>
          <w:b/>
          <w:bCs w:val="0"/>
          <w:i w:val="0"/>
          <w:sz w:val="22"/>
          <w:szCs w:val="22"/>
          <w:highlight w:val="none"/>
        </w:rPr>
      </w:r>
      <w:r>
        <w:rPr>
          <w:b/>
          <w:bCs w:val="0"/>
          <w:i w:val="0"/>
          <w:sz w:val="22"/>
          <w:szCs w:val="22"/>
          <w:highlight w:val="none"/>
        </w:rPr>
      </w:r>
    </w:p>
    <w:p w14:paraId="4F2EC2F6">
      <w:pPr>
        <w:pStyle w:val="865"/>
        <w:pBdr/>
        <w:spacing/>
        <w:ind/>
        <w:jc w:val="center"/>
        <w:rPr/>
      </w:pPr>
      <w:r>
        <w:t xml:space="preserve">Table </w:t>
      </w:r>
      <w:r>
        <w:fldChar w:fldCharType="begin"/>
        <w:instrText xml:space="preserve"> SEQ Table \* Arabic </w:instrText>
        <w:fldChar w:fldCharType="separate"/>
      </w:r>
      <w:r>
        <w:t xml:space="preserve">1</w:t>
      </w:r>
      <w:r/>
      <w:r>
        <w:fldChar w:fldCharType="end"/>
      </w:r>
      <w:r>
        <w:t xml:space="preserve"> - AUC, F1-Score and Accuracy for all 7 models </w:t>
      </w:r>
      <w:r/>
    </w:p>
    <w:p w14:paraId="055AAC5F">
      <w:pPr>
        <w:pBdr/>
        <w:spacing/>
        <w:ind/>
        <w:jc w:val="both"/>
        <w:rPr>
          <w:b/>
          <w:bCs w:val="0"/>
          <w:i w:val="0"/>
          <w:sz w:val="22"/>
          <w:szCs w:val="22"/>
          <w:highlight w:val="none"/>
        </w:rPr>
      </w:pPr>
      <w:r>
        <w:rPr>
          <w:b/>
          <w:bCs/>
          <w:i w:val="0"/>
          <w:iCs w:val="0"/>
          <w:sz w:val="22"/>
          <w:szCs w:val="22"/>
          <w:highlight w:val="none"/>
        </w:rPr>
      </w:r>
      <w:r>
        <w:rPr>
          <w:b/>
          <w:bCs/>
          <w:i w:val="0"/>
          <w:iCs w:val="0"/>
          <w:sz w:val="22"/>
          <w:szCs w:val="22"/>
          <w:highlight w:val="none"/>
        </w:rPr>
      </w:r>
      <w:r>
        <w:rPr>
          <w:b/>
          <w:bCs w:val="0"/>
          <w:i w:val="0"/>
          <w:sz w:val="22"/>
          <w:szCs w:val="22"/>
          <w:highlight w:val="none"/>
        </w:rPr>
      </w:r>
    </w:p>
    <w:p w14:paraId="29FC2E81">
      <w:pPr>
        <w:pBdr/>
        <w:tabs>
          <w:tab w:val="left" w:leader="none" w:pos="1440"/>
        </w:tabs>
        <w:spacing/>
        <w:ind/>
        <w:jc w:val="both"/>
        <w:rPr>
          <w:b w:val="0"/>
          <w:bCs w:val="0"/>
          <w:i w:val="0"/>
          <w:sz w:val="22"/>
          <w:szCs w:val="22"/>
          <w:highlight w:val="none"/>
        </w:rPr>
      </w:pPr>
      <w:r>
        <w:rPr>
          <w:b w:val="0"/>
          <w:bCs w:val="0"/>
          <w:i w:val="0"/>
          <w:iCs w:val="0"/>
          <w:sz w:val="22"/>
          <w:szCs w:val="22"/>
          <w:highlight w:val="none"/>
        </w:rPr>
      </w:r>
      <w:r>
        <w:rPr>
          <w:b w:val="0"/>
          <w:bCs w:val="0"/>
          <w:i w:val="0"/>
          <w:sz w:val="22"/>
          <w:szCs w:val="22"/>
          <w:highlight w:val="none"/>
        </w:rPr>
      </w:r>
      <w:r/>
      <w:r/>
      <w:r>
        <w:rPr>
          <w:b w:val="0"/>
          <w:bCs w:val="0"/>
          <w:i w:val="0"/>
          <w:sz w:val="22"/>
          <w:szCs w:val="22"/>
          <w:highlight w:val="none"/>
        </w:rPr>
      </w:r>
      <w:r>
        <w:rPr>
          <w:b w:val="0"/>
          <w:bCs w:val="0"/>
          <w:i w:val="0"/>
          <w:sz w:val="22"/>
          <w:szCs w:val="22"/>
          <w:highlight w:val="none"/>
        </w:rPr>
      </w:r>
    </w:p>
    <w:p w14:paraId="79D671A1">
      <w:pPr>
        <w:pBdr/>
        <w:tabs>
          <w:tab w:val="left" w:leader="none" w:pos="1440"/>
        </w:tabs>
        <w:spacing/>
        <w:ind/>
        <w:jc w:val="both"/>
        <w:rPr>
          <w:b w:val="0"/>
          <w:bCs w:val="0"/>
          <w:i w:val="0"/>
          <w:sz w:val="22"/>
          <w:szCs w:val="22"/>
          <w:highlight w:val="none"/>
        </w:rPr>
      </w:pPr>
      <w:r>
        <w:rPr>
          <w:b w:val="0"/>
          <w:bCs w:val="0"/>
          <w:i w:val="0"/>
          <w:iCs w:val="0"/>
          <w:sz w:val="22"/>
          <w:szCs w:val="22"/>
          <w:highlight w:val="none"/>
        </w:rPr>
      </w:r>
      <w:r>
        <w:rPr>
          <w:b w:val="0"/>
          <w:bCs w:val="0"/>
          <w:i w:val="0"/>
          <w:iCs w:val="0"/>
          <w:sz w:val="22"/>
          <w:szCs w:val="22"/>
          <w:highlight w:val="none"/>
        </w:rPr>
        <mc:AlternateContent>
          <mc:Choice Requires="wpg">
            <w:drawing>
              <wp:inline xmlns:wp="http://schemas.openxmlformats.org/drawingml/2006/wordprocessingDrawing" distT="0" distB="0" distL="0" distR="0">
                <wp:extent cx="5943600" cy="698973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1848" name=""/>
                        <pic:cNvPicPr>
                          <a:picLocks noChangeAspect="1"/>
                        </pic:cNvPicPr>
                        <pic:nvPr/>
                      </pic:nvPicPr>
                      <pic:blipFill rotWithShape="1">
                        <a:blip r:embed="rId11"/>
                        <a:stretch/>
                      </pic:blipFill>
                      <pic:spPr bwMode="auto">
                        <a:xfrm>
                          <a:off x="0" y="0"/>
                          <a:ext cx="5943599" cy="69897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550.37pt;mso-wrap-distance-left:0.00pt;mso-wrap-distance-top:0.00pt;mso-wrap-distance-right:0.00pt;mso-wrap-distance-bottom:0.00pt;z-index:1;" stroked="false">
                <v:imagedata r:id="rId11" o:title=""/>
                <o:lock v:ext="edit" rotation="t"/>
              </v:shape>
            </w:pict>
          </mc:Fallback>
        </mc:AlternateContent>
      </w:r>
      <w:r>
        <w:rPr>
          <w:b w:val="0"/>
          <w:bCs w:val="0"/>
          <w:i w:val="0"/>
          <w:sz w:val="22"/>
          <w:szCs w:val="22"/>
          <w:highlight w:val="none"/>
        </w:rPr>
      </w:r>
    </w:p>
    <w:p w14:paraId="2653F054">
      <w:pPr>
        <w:pBdr/>
        <w:tabs>
          <w:tab w:val="left" w:leader="none" w:pos="1440"/>
        </w:tabs>
        <w:spacing/>
        <w:ind/>
        <w:jc w:val="both"/>
        <w:rPr>
          <w:b/>
          <w:bCs w:val="0"/>
          <w:i w:val="0"/>
          <w:sz w:val="22"/>
          <w:szCs w:val="22"/>
          <w:highlight w:val="none"/>
        </w:rPr>
      </w:pPr>
      <w:r>
        <w:rPr>
          <w:b/>
          <w:bCs/>
          <w:i w:val="0"/>
          <w:iCs w:val="0"/>
          <w:sz w:val="22"/>
          <w:szCs w:val="22"/>
          <w:highlight w:val="none"/>
        </w:rPr>
      </w:r>
      <w:r>
        <w:rPr>
          <w:b/>
          <w:bCs/>
          <w:i w:val="0"/>
          <w:iCs w:val="0"/>
          <w:sz w:val="22"/>
          <w:szCs w:val="22"/>
          <w:highlight w:val="none"/>
        </w:rPr>
      </w:r>
      <w:r>
        <w:rPr>
          <w:b/>
          <w:bCs/>
          <w:i w:val="0"/>
          <w:iCs w:val="0"/>
          <w:sz w:val="22"/>
          <w:szCs w:val="22"/>
          <w:highlight w:val="none"/>
        </w:rPr>
      </w:r>
    </w:p>
    <w:p w14:paraId="0756EFA6">
      <w:pPr>
        <w:pBdr/>
        <w:tabs>
          <w:tab w:val="left" w:leader="none" w:pos="1440"/>
        </w:tabs>
        <w:spacing/>
        <w:ind/>
        <w:jc w:val="both"/>
        <w:rPr>
          <w:b/>
          <w:bCs w:val="0"/>
          <w:i w:val="0"/>
          <w:sz w:val="22"/>
          <w:szCs w:val="22"/>
          <w:highlight w:val="none"/>
        </w:rPr>
      </w:pPr>
      <w:r>
        <w:rPr>
          <w:b/>
          <w:bCs/>
          <w:i w:val="0"/>
          <w:iCs w:val="0"/>
          <w:sz w:val="22"/>
          <w:szCs w:val="22"/>
          <w:highlight w:val="none"/>
        </w:rPr>
        <w:t xml:space="preserve">Effect of Class Balancing Strategies</w:t>
      </w:r>
      <w:r>
        <w:rPr>
          <w:b/>
          <w:bCs/>
          <w:i w:val="0"/>
          <w:sz w:val="22"/>
          <w:szCs w:val="22"/>
          <w:highlight w:val="none"/>
        </w:rPr>
      </w:r>
    </w:p>
    <w:p w14:paraId="0B19F7B8">
      <w:pPr>
        <w:pBdr/>
        <w:tabs>
          <w:tab w:val="left" w:leader="none" w:pos="1440"/>
        </w:tabs>
        <w:spacing/>
        <w:ind/>
        <w:jc w:val="both"/>
        <w:rPr>
          <w:b w:val="0"/>
          <w:bCs w:val="0"/>
          <w:i w:val="0"/>
          <w:sz w:val="22"/>
          <w:szCs w:val="22"/>
          <w:highlight w:val="none"/>
        </w:rPr>
      </w:pPr>
      <w:r>
        <w:rPr>
          <w:b w:val="0"/>
          <w:bCs w:val="0"/>
          <w:i w:val="0"/>
          <w:iCs w:val="0"/>
          <w:sz w:val="22"/>
          <w:szCs w:val="22"/>
          <w:highlight w:val="none"/>
        </w:rPr>
        <w:t xml:space="preserve">Four balancing strategies were evaluated: No Balancing, SMOTE, CTGAN and Random Over Sampling (ROS). The average AUC across all models shows that ROS achieves the highest overall performance (mean TCGA AUC = 0.876), closely followed by the baseline without balancing (0.870).</w:t>
      </w:r>
      <w:r>
        <w:rPr>
          <w:b w:val="0"/>
          <w:bCs w:val="0"/>
          <w:i w:val="0"/>
          <w:sz w:val="22"/>
          <w:szCs w:val="22"/>
          <w:highlight w:val="none"/>
        </w:rPr>
      </w:r>
    </w:p>
    <w:p w14:paraId="4393C0DD">
      <w:pPr>
        <w:pBdr/>
        <w:tabs>
          <w:tab w:val="left" w:leader="none" w:pos="1440"/>
        </w:tabs>
        <w:spacing/>
        <w:ind/>
        <w:jc w:val="both"/>
        <w:rPr>
          <w:b w:val="0"/>
          <w:bCs w:val="0"/>
          <w:i w:val="0"/>
          <w:sz w:val="22"/>
          <w:szCs w:val="22"/>
          <w:highlight w:val="none"/>
        </w:rPr>
      </w:pPr>
      <w:r>
        <w:rPr>
          <w:b w:val="0"/>
          <w:bCs w:val="0"/>
          <w:i w:val="0"/>
          <w:iCs w:val="0"/>
          <w:sz w:val="22"/>
          <w:szCs w:val="22"/>
          <w:highlight w:val="none"/>
        </w:rPr>
        <w:t xml:space="preserve">While SMOTE provides only marginal improvement, CTGAN consistently underperforms across all architectures. These finding suggest the mild class </w:t>
      </w:r>
      <w:r>
        <w:rPr>
          <w:b w:val="0"/>
          <w:bCs w:val="0"/>
          <w:i w:val="0"/>
          <w:iCs w:val="0"/>
          <w:sz w:val="22"/>
          <w:szCs w:val="22"/>
          <w:highlight w:val="none"/>
        </w:rPr>
        <w:t xml:space="preserve">imbalance present in the dataset is properly handled by focal loss and class weighting mechanisms used during training.</w:t>
      </w:r>
      <w:r>
        <w:rPr>
          <w:b w:val="0"/>
          <w:bCs w:val="0"/>
          <w:i w:val="0"/>
          <w:sz w:val="22"/>
          <w:szCs w:val="22"/>
          <w:highlight w:val="none"/>
        </w:rPr>
      </w:r>
    </w:p>
    <w:p w14:paraId="005213CB">
      <w:pPr>
        <w:pBdr/>
        <w:tabs>
          <w:tab w:val="left" w:leader="none" w:pos="1440"/>
        </w:tabs>
        <w:spacing/>
        <w:ind/>
        <w:jc w:val="both"/>
        <w:rPr>
          <w:b w:val="0"/>
          <w:bCs w:val="0"/>
          <w:i w:val="0"/>
          <w:sz w:val="22"/>
          <w:szCs w:val="22"/>
          <w:highlight w:val="none"/>
        </w:rPr>
      </w:pPr>
      <w:r>
        <w:rPr>
          <w:b w:val="0"/>
          <w:bCs w:val="0"/>
          <w:i/>
          <w:iCs/>
          <w:sz w:val="22"/>
          <w:szCs w:val="22"/>
          <w:highlight w:val="none"/>
        </w:rPr>
        <w:t xml:space="preserve">Interpretation: </w:t>
      </w:r>
      <w:r>
        <w:rPr>
          <w:b w:val="0"/>
          <w:bCs w:val="0"/>
          <w:i w:val="0"/>
          <w:iCs w:val="0"/>
          <w:sz w:val="22"/>
          <w:szCs w:val="22"/>
          <w:highlight w:val="none"/>
        </w:rPr>
        <w:t xml:space="preserve">The underperformance of CTGAN suggests that synthetic mutation generation may disrupt the true co-mutation structure and biological constraints inherent in real world genomics networks.</w:t>
      </w:r>
      <w:r>
        <w:rPr>
          <w:b w:val="0"/>
          <w:bCs w:val="0"/>
          <w:i w:val="0"/>
          <w:sz w:val="22"/>
          <w:szCs w:val="22"/>
          <w:highlight w:val="none"/>
        </w:rPr>
      </w:r>
      <w:r>
        <w:rPr>
          <w:b w:val="0"/>
          <w:bCs w:val="0"/>
          <w:i w:val="0"/>
          <w:sz w:val="22"/>
          <w:szCs w:val="22"/>
          <w:highlight w:val="none"/>
        </w:rPr>
      </w:r>
    </w:p>
    <w:p w14:paraId="6BB14341">
      <w:pPr>
        <w:pBdr/>
        <w:tabs>
          <w:tab w:val="left" w:leader="none" w:pos="1440"/>
        </w:tabs>
        <w:spacing/>
        <w:ind/>
        <w:jc w:val="center"/>
        <w:rPr>
          <w:b w:val="0"/>
          <w:bCs w:val="0"/>
          <w:i w:val="0"/>
          <w:sz w:val="22"/>
          <w:szCs w:val="22"/>
          <w:highlight w:val="none"/>
        </w:rPr>
      </w:pPr>
      <w:r>
        <w:rPr>
          <w:b w:val="0"/>
          <w:bCs w:val="0"/>
          <w:i w:val="0"/>
          <w:sz w:val="22"/>
          <w:szCs w:val="22"/>
          <w:highlight w:val="none"/>
        </w:rPr>
      </w:r>
      <w:r>
        <w:rPr>
          <w:b w:val="0"/>
          <w:bCs w:val="0"/>
          <w:i w:val="0"/>
          <w:sz w:val="22"/>
          <w:szCs w:val="22"/>
          <w:highlight w:val="none"/>
        </w:rPr>
      </w:r>
    </w:p>
    <w:p w14:paraId="4C98851E">
      <w:pPr>
        <w:pBdr/>
        <w:tabs>
          <w:tab w:val="left" w:leader="none" w:pos="1440"/>
        </w:tabs>
        <w:spacing/>
        <w:ind/>
        <w:jc w:val="center"/>
        <w:rPr>
          <w:b w:val="0"/>
          <w:bCs w:val="0"/>
          <w:i w:val="0"/>
          <w:sz w:val="22"/>
          <w:szCs w:val="22"/>
          <w:highlight w:val="none"/>
        </w:rPr>
      </w:pPr>
      <w:r>
        <w:rPr>
          <w:b w:val="0"/>
          <w:bCs w:val="0"/>
          <w:i w:val="0"/>
          <w:iCs w:val="0"/>
          <w:sz w:val="22"/>
          <w:szCs w:val="22"/>
          <w:highlight w:val="none"/>
        </w:rPr>
        <w:object w:dxaOrig="3645" w:dyaOrig="21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42.01pt;height:140.70pt;mso-wrap-distance-left:0.00pt;mso-wrap-distance-top:0.00pt;mso-wrap-distance-right:0.00pt;mso-wrap-distance-bottom:0.00pt;z-index:1;" filled="f" stroked="false">
            <v:imagedata r:id="rId12" o:title=""/>
            <o:lock v:ext="edit" rotation="t"/>
          </v:shape>
          <o:OLEObject DrawAspect="Content" r:id="rId13" ObjectID="_1525043" ProgID="Excel.Sheet.12" ShapeID="_x0000_i3" Type="Embed"/>
        </w:object>
      </w:r>
      <w:r>
        <w:rPr>
          <w:b w:val="0"/>
          <w:bCs w:val="0"/>
          <w:i w:val="0"/>
          <w:sz w:val="22"/>
          <w:szCs w:val="22"/>
          <w:highlight w:val="none"/>
        </w:rPr>
      </w:r>
    </w:p>
    <w:p w14:paraId="4A080ABF">
      <w:pPr>
        <w:pStyle w:val="865"/>
        <w:pBdr/>
        <w:spacing/>
        <w:ind/>
        <w:jc w:val="center"/>
        <w:rPr/>
      </w:pPr>
      <w:r>
        <w:t xml:space="preserve">Table </w:t>
      </w:r>
      <w:r>
        <w:fldChar w:fldCharType="begin"/>
        <w:instrText xml:space="preserve"> SEQ Table \* Arabic </w:instrText>
        <w:fldChar w:fldCharType="separate"/>
      </w:r>
      <w:r>
        <w:t xml:space="preserve">2</w:t>
      </w:r>
      <w:r/>
      <w:r>
        <w:fldChar w:fldCharType="end"/>
      </w:r>
      <w:r>
        <w:t xml:space="preserve"> - Mean AUC grouped by balancing pipeline </w:t>
      </w:r>
      <w:r/>
    </w:p>
    <w:p w14:paraId="2007AFD4">
      <w:pPr>
        <w:pBdr/>
        <w:tabs>
          <w:tab w:val="left" w:leader="none" w:pos="1440"/>
        </w:tabs>
        <w:spacing/>
        <w:ind/>
        <w:jc w:val="both"/>
        <w:rPr>
          <w:b w:val="0"/>
          <w:bCs w:val="0"/>
          <w:i w:val="0"/>
          <w:sz w:val="22"/>
          <w:szCs w:val="22"/>
          <w:highlight w:val="none"/>
        </w:rPr>
      </w:pPr>
      <w:r>
        <w:rPr>
          <w:highlight w:val="none"/>
        </w:rPr>
      </w:r>
      <w:r>
        <w:rPr>
          <w:highlight w:val="none"/>
        </w:rPr>
      </w:r>
      <w:r>
        <w:rPr>
          <w:highlight w:val="none"/>
        </w:rPr>
      </w:r>
    </w:p>
    <w:p w14:paraId="7E7CF8DC">
      <w:pPr>
        <w:pBdr/>
        <w:tabs>
          <w:tab w:val="left" w:leader="none" w:pos="1440"/>
        </w:tabs>
        <w:spacing/>
        <w:ind/>
        <w:jc w:val="both"/>
        <w:rPr>
          <w:highlight w:val="none"/>
        </w:rPr>
      </w:pPr>
      <w:r>
        <w:rPr>
          <w:b w:val="0"/>
          <w:bCs w:val="0"/>
          <w:i w:val="0"/>
          <w:iCs w:val="0"/>
          <w:sz w:val="22"/>
          <w:szCs w:val="22"/>
          <w:highlight w:val="none"/>
        </w:rPr>
      </w:r>
      <w:r>
        <w:rPr>
          <w:b w:val="0"/>
          <w:bCs w:val="0"/>
          <w:i w:val="0"/>
          <w:iCs w:val="0"/>
          <w:sz w:val="22"/>
          <w:szCs w:val="22"/>
          <w:highlight w:val="none"/>
        </w:rPr>
      </w:r>
      <w:r>
        <mc:AlternateContent>
          <mc:Choice Requires="wpg">
            <w:drawing>
              <wp:inline xmlns:wp="http://schemas.openxmlformats.org/drawingml/2006/wordprocessingDrawing" distT="0" distB="0" distL="0" distR="0">
                <wp:extent cx="5943600" cy="213814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85766" name=""/>
                        <pic:cNvPicPr>
                          <a:picLocks noChangeAspect="1"/>
                        </pic:cNvPicPr>
                        <pic:nvPr/>
                      </pic:nvPicPr>
                      <pic:blipFill rotWithShape="1">
                        <a:blip r:embed="rId14"/>
                        <a:stretch/>
                      </pic:blipFill>
                      <pic:spPr bwMode="auto">
                        <a:xfrm>
                          <a:off x="0" y="0"/>
                          <a:ext cx="5943599" cy="21381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168.36pt;mso-wrap-distance-left:0.00pt;mso-wrap-distance-top:0.00pt;mso-wrap-distance-right:0.00pt;mso-wrap-distance-bottom:0.00pt;z-index:1;" stroked="false">
                <v:imagedata r:id="rId14" o:title=""/>
                <o:lock v:ext="edit" rotation="t"/>
              </v:shape>
            </w:pict>
          </mc:Fallback>
        </mc:AlternateContent>
      </w:r>
      <w:r>
        <w:rPr>
          <w:b w:val="0"/>
          <w:bCs w:val="0"/>
          <w:i w:val="0"/>
          <w:iCs w:val="0"/>
          <w:sz w:val="22"/>
          <w:szCs w:val="22"/>
          <w:highlight w:val="none"/>
        </w:rPr>
      </w:r>
      <w:r>
        <w:rPr>
          <w:b w:val="0"/>
          <w:bCs w:val="0"/>
          <w:i w:val="0"/>
          <w:iCs w:val="0"/>
          <w:sz w:val="22"/>
          <w:szCs w:val="22"/>
          <w:highlight w:val="none"/>
        </w:rPr>
      </w:r>
    </w:p>
    <w:p w14:paraId="3C797566">
      <w:pPr>
        <w:pBdr/>
        <w:tabs>
          <w:tab w:val="left" w:leader="none" w:pos="1440"/>
        </w:tabs>
        <w:spacing/>
        <w:ind/>
        <w:jc w:val="both"/>
        <w:rPr>
          <w:b w:val="0"/>
          <w:bCs w:val="0"/>
          <w:i w:val="0"/>
          <w:sz w:val="22"/>
          <w:szCs w:val="22"/>
          <w:highlight w:val="none"/>
        </w:rPr>
      </w:pPr>
      <w:r>
        <w:rPr>
          <w:b w:val="0"/>
          <w:bCs w:val="0"/>
          <w:i w:val="0"/>
          <w:iCs w:val="0"/>
          <w:sz w:val="22"/>
          <w:szCs w:val="22"/>
          <w:highlight w:val="none"/>
        </w:rPr>
      </w:r>
      <w:r>
        <w:rPr>
          <w:b w:val="0"/>
          <w:bCs w:val="0"/>
          <w:i w:val="0"/>
          <w:iCs w:val="0"/>
          <w:sz w:val="22"/>
          <w:szCs w:val="22"/>
          <w:highlight w:val="none"/>
        </w:rPr>
      </w:r>
      <w:r>
        <w:rPr>
          <w:b w:val="0"/>
          <w:bCs w:val="0"/>
          <w:i w:val="0"/>
          <w:iCs w:val="0"/>
          <w:sz w:val="22"/>
          <w:szCs w:val="22"/>
          <w:highlight w:val="none"/>
        </w:rPr>
        <mc:AlternateContent>
          <mc:Choice Requires="wpg">
            <w:drawing>
              <wp:inline xmlns:wp="http://schemas.openxmlformats.org/drawingml/2006/wordprocessingDrawing" distT="0" distB="0" distL="0" distR="0">
                <wp:extent cx="5943600" cy="219847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008233" name=""/>
                        <pic:cNvPicPr>
                          <a:picLocks noChangeAspect="1"/>
                        </pic:cNvPicPr>
                        <pic:nvPr/>
                      </pic:nvPicPr>
                      <pic:blipFill rotWithShape="1">
                        <a:blip r:embed="rId15"/>
                        <a:stretch/>
                      </pic:blipFill>
                      <pic:spPr bwMode="auto">
                        <a:xfrm>
                          <a:off x="0" y="0"/>
                          <a:ext cx="5943599" cy="21984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173.11pt;mso-wrap-distance-left:0.00pt;mso-wrap-distance-top:0.00pt;mso-wrap-distance-right:0.00pt;mso-wrap-distance-bottom:0.00pt;z-index:1;" stroked="false">
                <v:imagedata r:id="rId15" o:title=""/>
                <o:lock v:ext="edit" rotation="t"/>
              </v:shape>
            </w:pict>
          </mc:Fallback>
        </mc:AlternateContent>
      </w:r>
      <w:r>
        <w:rPr>
          <w:b w:val="0"/>
          <w:bCs w:val="0"/>
          <w:i w:val="0"/>
          <w:sz w:val="22"/>
          <w:szCs w:val="22"/>
          <w:highlight w:val="none"/>
        </w:rPr>
      </w:r>
    </w:p>
    <w:p w14:paraId="367BC56D">
      <w:pPr>
        <w:pBdr/>
        <w:tabs>
          <w:tab w:val="left" w:leader="none" w:pos="1440"/>
        </w:tabs>
        <w:spacing/>
        <w:ind/>
        <w:jc w:val="both"/>
        <w:rPr>
          <w:b/>
          <w:bCs w:val="0"/>
          <w:i w:val="0"/>
          <w:sz w:val="22"/>
          <w:szCs w:val="22"/>
          <w:highlight w:val="none"/>
        </w:rPr>
      </w:pPr>
      <w:r>
        <w:rPr>
          <w:b/>
          <w:bCs/>
          <w:i w:val="0"/>
          <w:iCs w:val="0"/>
          <w:sz w:val="22"/>
          <w:szCs w:val="22"/>
          <w:highlight w:val="none"/>
        </w:rPr>
      </w:r>
      <w:r>
        <w:rPr>
          <w:b/>
          <w:bCs/>
          <w:i w:val="0"/>
          <w:iCs w:val="0"/>
          <w:sz w:val="22"/>
          <w:szCs w:val="22"/>
          <w:highlight w:val="none"/>
        </w:rPr>
      </w:r>
      <w:r>
        <w:rPr>
          <w:b/>
          <w:bCs/>
          <w:i w:val="0"/>
          <w:iCs w:val="0"/>
          <w:sz w:val="22"/>
          <w:szCs w:val="22"/>
          <w:highlight w:val="none"/>
        </w:rPr>
      </w:r>
    </w:p>
    <w:p w14:paraId="07D10372">
      <w:pPr>
        <w:pBdr/>
        <w:tabs>
          <w:tab w:val="left" w:leader="none" w:pos="1440"/>
        </w:tabs>
        <w:spacing/>
        <w:ind/>
        <w:jc w:val="both"/>
        <w:rPr>
          <w:b/>
          <w:bCs w:val="0"/>
          <w:i w:val="0"/>
          <w:sz w:val="22"/>
          <w:szCs w:val="22"/>
          <w:highlight w:val="none"/>
        </w:rPr>
      </w:pPr>
      <w:r>
        <w:rPr>
          <w:b/>
          <w:bCs/>
          <w:i w:val="0"/>
          <w:iCs w:val="0"/>
          <w:sz w:val="22"/>
          <w:szCs w:val="22"/>
          <w:highlight w:val="none"/>
        </w:rPr>
        <w:t xml:space="preserve">Cross-Cohort Generalization Analysis</w:t>
      </w:r>
      <w:r>
        <w:rPr>
          <w:b/>
          <w:bCs/>
          <w:i w:val="0"/>
          <w:sz w:val="22"/>
          <w:szCs w:val="22"/>
          <w:highlight w:val="none"/>
        </w:rPr>
      </w:r>
    </w:p>
    <w:p w14:paraId="4F8B3995">
      <w:pPr>
        <w:pBdr/>
        <w:tabs>
          <w:tab w:val="left" w:leader="none" w:pos="1440"/>
        </w:tabs>
        <w:spacing/>
        <w:ind/>
        <w:jc w:val="both"/>
        <w:rPr>
          <w:b w:val="0"/>
          <w:bCs w:val="0"/>
          <w:i w:val="0"/>
          <w:sz w:val="22"/>
          <w:szCs w:val="22"/>
          <w:highlight w:val="none"/>
        </w:rPr>
      </w:pPr>
      <w:r>
        <w:rPr>
          <w:b w:val="0"/>
          <w:bCs w:val="0"/>
          <w:i w:val="0"/>
          <w:iCs w:val="0"/>
          <w:sz w:val="22"/>
          <w:szCs w:val="22"/>
          <w:highlight w:val="none"/>
        </w:rPr>
        <w:t xml:space="preserve">External validation on the CGGA cohort reveals differing levels of cross dataset generalization. The top performing model (MOGAT/ROS) experiences and AUC decrease from 0.923 on TCGA to 0.809 on CGGA, representing a generalization gap of 0.114.</w:t>
      </w:r>
      <w:r>
        <w:rPr>
          <w:b w:val="0"/>
          <w:bCs w:val="0"/>
          <w:i w:val="0"/>
          <w:iCs w:val="0"/>
          <w:sz w:val="22"/>
          <w:szCs w:val="22"/>
          <w:highlight w:val="none"/>
        </w:rPr>
      </w:r>
      <w:r>
        <w:rPr>
          <w:b w:val="0"/>
          <w:bCs w:val="0"/>
          <w:i w:val="0"/>
          <w:sz w:val="22"/>
          <w:szCs w:val="22"/>
          <w:highlight w:val="none"/>
        </w:rPr>
      </w:r>
    </w:p>
    <w:p w14:paraId="134B3ED5">
      <w:pPr>
        <w:pBdr/>
        <w:tabs>
          <w:tab w:val="left" w:leader="none" w:pos="1440"/>
        </w:tabs>
        <w:spacing/>
        <w:ind/>
        <w:jc w:val="both"/>
        <w:rPr>
          <w:b w:val="0"/>
          <w:bCs w:val="0"/>
          <w:i w:val="0"/>
          <w:sz w:val="22"/>
          <w:szCs w:val="22"/>
          <w:highlight w:val="none"/>
        </w:rPr>
      </w:pPr>
      <w:r>
        <w:rPr>
          <w:b w:val="0"/>
          <w:bCs w:val="0"/>
          <w:i w:val="0"/>
          <w:iCs w:val="0"/>
          <w:sz w:val="22"/>
          <w:szCs w:val="22"/>
          <w:highlight w:val="none"/>
        </w:rPr>
        <w:t xml:space="preserve">This level of performance loss is expected in clinical bioinformatics  </w:t>
      </w:r>
      <w:r>
        <w:rPr>
          <w:b w:val="0"/>
          <w:bCs w:val="0"/>
          <w:i w:val="0"/>
          <w:sz w:val="22"/>
          <w:szCs w:val="22"/>
          <w:highlight w:val="none"/>
        </w:rPr>
        <w:t xml:space="preserve">due to demographic differences, varying sequencing protocols and mutation shifts between the North American(TCGA) and Asian(CGGA) cohorts.</w:t>
      </w:r>
      <w:r>
        <w:rPr>
          <w:b w:val="0"/>
          <w:bCs w:val="0"/>
          <w:i w:val="0"/>
          <w:sz w:val="22"/>
          <w:szCs w:val="22"/>
          <w:highlight w:val="none"/>
        </w:rPr>
      </w:r>
    </w:p>
    <w:p w14:paraId="0CD5FDBC">
      <w:pPr>
        <w:pBdr/>
        <w:spacing/>
        <w:ind/>
        <w:jc w:val="both"/>
        <w:rPr>
          <w:b w:val="0"/>
          <w:bCs w:val="0"/>
          <w:i/>
          <w:sz w:val="22"/>
          <w:szCs w:val="22"/>
          <w:highlight w:val="none"/>
        </w:rPr>
      </w:pPr>
      <w:r>
        <w:rPr>
          <w:b w:val="0"/>
          <w:bCs w:val="0"/>
          <w:i/>
          <w:iCs/>
          <w:sz w:val="22"/>
          <w:szCs w:val="22"/>
          <w:highlight w:val="none"/>
        </w:rPr>
        <w:t xml:space="preserve">Overall Best Model</w:t>
      </w:r>
      <w:r>
        <w:rPr>
          <w:b w:val="0"/>
          <w:bCs w:val="0"/>
          <w:i/>
          <w:sz w:val="22"/>
          <w:szCs w:val="22"/>
          <w:highlight w:val="none"/>
        </w:rPr>
      </w:r>
      <w:r>
        <w:rPr>
          <w:b w:val="0"/>
          <w:bCs w:val="0"/>
          <w:i/>
          <w:sz w:val="22"/>
          <w:szCs w:val="22"/>
          <w:highlight w:val="none"/>
        </w:rPr>
      </w:r>
    </w:p>
    <w:p w14:paraId="5D090BAD">
      <w:pPr>
        <w:pBdr/>
        <w:spacing/>
        <w:ind/>
        <w:jc w:val="both"/>
        <w:rPr>
          <w:b w:val="0"/>
          <w:bCs w:val="0"/>
          <w:i w:val="0"/>
          <w:sz w:val="22"/>
          <w:szCs w:val="22"/>
          <w:highlight w:val="none"/>
        </w:rPr>
      </w:pPr>
      <w:r>
        <w:rPr>
          <w:b w:val="0"/>
          <w:bCs w:val="0"/>
          <w:i w:val="0"/>
          <w:sz w:val="22"/>
          <w:szCs w:val="22"/>
          <w:highlight w:val="none"/>
        </w:rPr>
        <w:t xml:space="preserve">MOGAT/ROS is the best model across both datasets.</w:t>
      </w:r>
      <w:r>
        <w:rPr>
          <w:b w:val="0"/>
          <w:bCs w:val="0"/>
          <w:i w:val="0"/>
          <w:sz w:val="22"/>
          <w:szCs w:val="22"/>
          <w:highlight w:val="none"/>
        </w:rPr>
      </w:r>
      <w:r>
        <w:rPr>
          <w:b w:val="0"/>
          <w:bCs w:val="0"/>
          <w:i w:val="0"/>
          <w:sz w:val="22"/>
          <w:szCs w:val="22"/>
          <w:highlight w:val="none"/>
        </w:rPr>
      </w:r>
    </w:p>
    <w:p w14:paraId="7BB24D54">
      <w:pPr>
        <w:pBdr/>
        <w:spacing/>
        <w:ind/>
        <w:jc w:val="center"/>
        <w:rPr>
          <w:b w:val="0"/>
          <w:bCs w:val="0"/>
          <w:i w:val="0"/>
          <w:sz w:val="22"/>
          <w:szCs w:val="22"/>
          <w:highlight w:val="none"/>
        </w:rPr>
      </w:pPr>
      <w:r>
        <w:rPr>
          <w:b w:val="0"/>
          <w:bCs w:val="0"/>
          <w:i w:val="0"/>
          <w:sz w:val="22"/>
          <w:szCs w:val="22"/>
          <w:highlight w:val="none"/>
        </w:rPr>
      </w:r>
      <w:r>
        <w:rPr>
          <w:b w:val="0"/>
          <w:bCs w:val="0"/>
          <w:i w:val="0"/>
          <w:sz w:val="22"/>
          <w:szCs w:val="22"/>
          <w:highlight w:val="none"/>
        </w:rPr>
      </w:r>
      <w:r>
        <w:rPr>
          <w:b w:val="0"/>
          <w:bCs w:val="0"/>
          <w:i w:val="0"/>
          <w:sz w:val="22"/>
          <w:szCs w:val="22"/>
          <w:highlight w:val="none"/>
        </w:rPr>
        <w:object w:dxaOrig="2745" w:dyaOrig="49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83.58pt;height:229.16pt;mso-wrap-distance-left:0.00pt;mso-wrap-distance-top:0.00pt;mso-wrap-distance-right:0.00pt;mso-wrap-distance-bottom:0.00pt;z-index:1;" filled="f" stroked="false">
            <v:imagedata r:id="rId16" o:title=""/>
            <o:lock v:ext="edit" rotation="t"/>
          </v:shape>
          <o:OLEObject DrawAspect="Content" r:id="rId17" ObjectID="_1525046" ProgID="Excel.Sheet.12" ShapeID="_x0000_i6" Type="Embed"/>
        </w:object>
      </w:r>
      <w:r>
        <w:rPr>
          <w:b w:val="0"/>
          <w:bCs w:val="0"/>
          <w:i w:val="0"/>
          <w:sz w:val="22"/>
          <w:szCs w:val="22"/>
          <w:highlight w:val="none"/>
        </w:rPr>
      </w:r>
      <w:r>
        <w:rPr>
          <w:b w:val="0"/>
          <w:bCs w:val="0"/>
          <w:i w:val="0"/>
          <w:sz w:val="22"/>
          <w:szCs w:val="22"/>
          <w:highlight w:val="none"/>
        </w:rPr>
      </w:r>
    </w:p>
    <w:p w14:paraId="5F454F85">
      <w:pPr>
        <w:pStyle w:val="865"/>
        <w:pBdr/>
        <w:spacing/>
        <w:ind/>
        <w:jc w:val="center"/>
        <w:rPr/>
      </w:pPr>
      <w:r>
        <w:t xml:space="preserve">Table </w:t>
      </w:r>
      <w:r>
        <w:fldChar w:fldCharType="begin"/>
        <w:instrText xml:space="preserve"> SEQ Table \* Arabic </w:instrText>
        <w:fldChar w:fldCharType="separate"/>
      </w:r>
      <w:r>
        <w:t xml:space="preserve">3</w:t>
      </w:r>
      <w:r/>
      <w:r>
        <w:fldChar w:fldCharType="end"/>
      </w:r>
      <w:r>
        <w:t xml:space="preserve"> - MOGAT in ROS Pipeline </w:t>
      </w:r>
      <w:r/>
    </w:p>
    <w:p w14:paraId="12DCBF68">
      <w:pPr>
        <w:pBdr/>
        <w:spacing/>
        <w:ind/>
        <w:jc w:val="both"/>
        <w:rPr>
          <w:b w:val="0"/>
          <w:bCs w:val="0"/>
          <w:i w:val="0"/>
          <w:sz w:val="22"/>
          <w:szCs w:val="22"/>
          <w:highlight w:val="none"/>
        </w:rPr>
      </w:pPr>
      <w:r>
        <w:rPr>
          <w:b w:val="0"/>
          <w:bCs w:val="0"/>
          <w:i w:val="0"/>
          <w:sz w:val="22"/>
          <w:szCs w:val="22"/>
          <w:highlight w:val="none"/>
        </w:rPr>
      </w:r>
      <w:r>
        <w:rPr>
          <w:b w:val="0"/>
          <w:bCs w:val="0"/>
          <w:i w:val="0"/>
          <w:sz w:val="22"/>
          <w:szCs w:val="22"/>
          <w:highlight w:val="none"/>
        </w:rPr>
      </w:r>
      <w:r>
        <w:rPr>
          <w:b w:val="0"/>
          <w:bCs w:val="0"/>
          <w:i w:val="0"/>
          <w:sz w:val="22"/>
          <w:szCs w:val="22"/>
          <w:highlight w:val="none"/>
        </w:rPr>
      </w:r>
    </w:p>
    <w:p w14:paraId="1472C598">
      <w:pPr>
        <w:pBdr/>
        <w:tabs>
          <w:tab w:val="left" w:leader="none" w:pos="1440"/>
        </w:tabs>
        <w:spacing/>
        <w:ind/>
        <w:jc w:val="center"/>
        <w:rPr>
          <w:b w:val="0"/>
          <w:bCs w:val="0"/>
          <w:i w:val="0"/>
          <w:sz w:val="22"/>
          <w:szCs w:val="22"/>
          <w:highlight w:val="none"/>
        </w:rPr>
      </w:pPr>
      <w:r>
        <w:rPr>
          <w:b w:val="0"/>
          <w:bCs w:val="0"/>
          <w:i w:val="0"/>
          <w:iCs w:val="0"/>
          <w:sz w:val="22"/>
          <w:szCs w:val="22"/>
          <w:highlight w:val="none"/>
        </w:rPr>
        <w:object w:dxaOrig="7305" w:dyaOrig="8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6.58pt;height:474.46pt;mso-wrap-distance-left:0.00pt;mso-wrap-distance-top:0.00pt;mso-wrap-distance-right:0.00pt;mso-wrap-distance-bottom:0.00pt;z-index:1;" filled="f" stroked="false">
            <v:imagedata r:id="rId18" o:title=""/>
            <o:lock v:ext="edit" rotation="t"/>
          </v:shape>
          <o:OLEObject DrawAspect="Content" r:id="rId19" ObjectID="_1525047" ProgID="Excel.Sheet.12" ShapeID="_x0000_i7" Type="Embed"/>
        </w:object>
      </w:r>
      <w:r>
        <w:rPr>
          <w:b w:val="0"/>
          <w:bCs w:val="0"/>
          <w:i w:val="0"/>
          <w:iCs w:val="0"/>
          <w:sz w:val="22"/>
          <w:szCs w:val="22"/>
          <w:highlight w:val="none"/>
        </w:rPr>
      </w:r>
      <w:r>
        <w:rPr>
          <w:b w:val="0"/>
          <w:bCs w:val="0"/>
          <w:i w:val="0"/>
          <w:iCs w:val="0"/>
          <w:sz w:val="22"/>
          <w:szCs w:val="22"/>
          <w:highlight w:val="none"/>
        </w:rPr>
      </w:r>
    </w:p>
    <w:p w14:paraId="02A8513A">
      <w:pPr>
        <w:pStyle w:val="865"/>
        <w:pBdr/>
        <w:spacing/>
        <w:ind/>
        <w:jc w:val="center"/>
        <w:rPr/>
      </w:pPr>
      <w:r>
        <w:t xml:space="preserve">Table </w:t>
      </w:r>
      <w:r>
        <w:fldChar w:fldCharType="begin"/>
        <w:instrText xml:space="preserve"> SEQ Table \* Arabic </w:instrText>
        <w:fldChar w:fldCharType="separate"/>
      </w:r>
      <w:r>
        <w:t xml:space="preserve">4</w:t>
      </w:r>
      <w:r/>
      <w:r>
        <w:fldChar w:fldCharType="end"/>
      </w:r>
      <w:r>
        <w:t xml:space="preserve"> - Generalization gap (AUC(TCGA) - AUC(CGGA)) for each model </w:t>
      </w:r>
      <w:r/>
    </w:p>
    <w:p w14:paraId="07AA1A19">
      <w:pPr>
        <w:pBdr/>
        <w:tabs>
          <w:tab w:val="left" w:leader="none" w:pos="1440"/>
        </w:tabs>
        <w:spacing/>
        <w:ind/>
        <w:jc w:val="both"/>
        <w:rPr>
          <w:highlight w:val="none"/>
        </w:rPr>
      </w:pPr>
      <w:r>
        <w:rPr>
          <w:b w:val="0"/>
          <w:bCs w:val="0"/>
          <w:i w:val="0"/>
          <w:iCs w:val="0"/>
          <w:sz w:val="22"/>
          <w:szCs w:val="22"/>
          <w:highlight w:val="none"/>
        </w:rPr>
      </w:r>
      <w:r>
        <w:rPr>
          <w:b w:val="0"/>
          <w:bCs w:val="0"/>
          <w:i w:val="0"/>
          <w:iCs w:val="0"/>
          <w:sz w:val="22"/>
          <w:szCs w:val="22"/>
          <w:highlight w:val="none"/>
        </w:rPr>
      </w:r>
      <w:r/>
      <w:r>
        <w:rPr>
          <w:b w:val="0"/>
          <w:bCs w:val="0"/>
          <w:i w:val="0"/>
          <w:sz w:val="22"/>
          <w:szCs w:val="22"/>
          <w:highlight w:val="none"/>
        </w:rPr>
      </w:r>
    </w:p>
    <w:p w14:paraId="7DE56FA9">
      <w:pPr>
        <w:pBdr/>
        <w:tabs>
          <w:tab w:val="left" w:leader="none" w:pos="1440"/>
        </w:tabs>
        <w:spacing/>
        <w:ind/>
        <w:jc w:val="both"/>
        <w:rPr>
          <w:b/>
          <w:bCs/>
          <w:highlight w:val="none"/>
        </w:rPr>
      </w:pPr>
      <w:r>
        <w:rPr>
          <w:highlight w:val="none"/>
        </w:rPr>
      </w:r>
      <w:r>
        <w:rPr>
          <w:b/>
          <w:bCs/>
          <w:highlight w:val="none"/>
        </w:rPr>
        <w:t xml:space="preserve">Clinical Error Analysis(Recall Balance)</w:t>
      </w:r>
      <w:r>
        <w:rPr>
          <w:b/>
          <w:bCs/>
          <w:i w:val="0"/>
          <w:sz w:val="22"/>
          <w:szCs w:val="22"/>
          <w:highlight w:val="none"/>
        </w:rPr>
      </w:r>
    </w:p>
    <w:p w14:paraId="06069626">
      <w:pPr>
        <w:pBdr/>
        <w:tabs>
          <w:tab w:val="left" w:leader="none" w:pos="1440"/>
        </w:tabs>
        <w:spacing/>
        <w:ind/>
        <w:jc w:val="both"/>
        <w:rPr>
          <w:b w:val="0"/>
          <w:bCs w:val="0"/>
          <w:highlight w:val="none"/>
        </w:rPr>
      </w:pPr>
      <w:r>
        <w:rPr>
          <w:b w:val="0"/>
          <w:bCs w:val="0"/>
          <w:highlight w:val="none"/>
        </w:rPr>
        <w:t xml:space="preserve">From a clinical point of view, the most critical error in glioma grading is a false negative (misclassifying) a high grade tumor as low grade. The MOGAT/ROS model achives a Grade 1 recall of 0.914 while maintaining a Grade 0 recall of 0.827, providing an optimal balance between sensitivity and specificity.</w:t>
      </w:r>
      <w:r>
        <w:rPr>
          <w:b w:val="0"/>
          <w:bCs w:val="0"/>
          <w:i w:val="0"/>
          <w:sz w:val="22"/>
          <w:szCs w:val="22"/>
          <w:highlight w:val="none"/>
        </w:rPr>
      </w:r>
    </w:p>
    <w:p w14:paraId="4E9B5A6A">
      <w:pPr>
        <w:pBdr/>
        <w:tabs>
          <w:tab w:val="left" w:leader="none" w:pos="1440"/>
        </w:tabs>
        <w:spacing/>
        <w:ind/>
        <w:jc w:val="both"/>
        <w:rPr>
          <w:b w:val="0"/>
          <w:bCs w:val="0"/>
          <w:highlight w:val="none"/>
        </w:rPr>
      </w:pPr>
      <w:r>
        <w:rPr>
          <w:b w:val="0"/>
          <w:bCs w:val="0"/>
          <w:highlight w:val="none"/>
        </w:rPr>
        <w:t xml:space="preserve">In contrast, several models shows huge class bias. For instance, HyperTMO achieves a Grade 1 recall of 0.986 but only 0.265 for Grade 0, indicating a failure to distinguish classes by simply defaulting to high grade level.</w:t>
      </w:r>
      <w:r>
        <w:rPr>
          <w:b w:val="0"/>
          <w:bCs w:val="0"/>
          <w:i w:val="0"/>
          <w:sz w:val="22"/>
          <w:szCs w:val="22"/>
          <w:highlight w:val="none"/>
        </w:rPr>
      </w:r>
    </w:p>
    <w:p w14:paraId="7A262865">
      <w:pPr>
        <w:pBdr/>
        <w:tabs>
          <w:tab w:val="left" w:leader="none" w:pos="1440"/>
        </w:tabs>
        <w:spacing/>
        <w:ind/>
        <w:jc w:val="both"/>
        <w:rPr>
          <w:b w:val="0"/>
          <w:bCs w:val="0"/>
          <w:i w:val="0"/>
          <w:sz w:val="22"/>
          <w:szCs w:val="22"/>
          <w:highlight w:val="none"/>
        </w:rPr>
      </w:pPr>
      <w:r>
        <w:rPr>
          <w:b w:val="0"/>
          <w:bCs w:val="0"/>
          <w:i/>
          <w:iCs/>
          <w:highlight w:val="none"/>
        </w:rPr>
        <w:t xml:space="preserve">Interpretation: </w:t>
      </w:r>
      <w:r>
        <w:rPr>
          <w:b w:val="0"/>
          <w:bCs w:val="0"/>
          <w:i w:val="0"/>
          <w:iCs w:val="0"/>
          <w:highlight w:val="none"/>
        </w:rPr>
        <w:t xml:space="preserve">Achieving balanced recall is essential for clinical screening applications to ensure that high risk patients are identified </w:t>
      </w:r>
      <w:r>
        <w:rPr>
          <w:b w:val="0"/>
          <w:bCs w:val="0"/>
          <w:highlight w:val="none"/>
        </w:rPr>
        <w:t xml:space="preserve">without overwhelming the system with false positives.</w:t>
      </w:r>
      <w:r>
        <w:rPr>
          <w:b w:val="0"/>
          <w:bCs w:val="0"/>
          <w:i w:val="0"/>
          <w:sz w:val="22"/>
          <w:szCs w:val="22"/>
          <w:highlight w:val="none"/>
        </w:rPr>
      </w:r>
      <w:r>
        <w:rPr>
          <w:b w:val="0"/>
          <w:bCs w:val="0"/>
          <w:highlight w:val="none"/>
        </w:rPr>
      </w:r>
    </w:p>
    <w:p w14:paraId="77E0F130">
      <w:pPr>
        <w:pBdr/>
        <w:tabs>
          <w:tab w:val="left" w:leader="none" w:pos="1440"/>
        </w:tabs>
        <w:spacing/>
        <w:ind/>
        <w:jc w:val="center"/>
        <w:rPr>
          <w:b w:val="0"/>
          <w:bCs w:val="0"/>
          <w:highlight w:val="none"/>
        </w:rPr>
      </w:pPr>
      <w:r>
        <w:rPr>
          <w:b w:val="0"/>
          <w:bCs w:val="0"/>
          <w:i w:val="0"/>
          <w:sz w:val="22"/>
          <w:szCs w:val="22"/>
          <w:highlight w:val="none"/>
        </w:rPr>
      </w:r>
      <w:r>
        <mc:AlternateContent>
          <mc:Choice Requires="wpg">
            <w:drawing>
              <wp:inline xmlns:wp="http://schemas.openxmlformats.org/drawingml/2006/wordprocessingDrawing" distT="0" distB="0" distL="0" distR="0">
                <wp:extent cx="5943600" cy="213814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64351" name=""/>
                        <pic:cNvPicPr>
                          <a:picLocks noChangeAspect="1"/>
                        </pic:cNvPicPr>
                        <pic:nvPr/>
                      </pic:nvPicPr>
                      <pic:blipFill rotWithShape="1">
                        <a:blip r:embed="rId20"/>
                        <a:stretch/>
                      </pic:blipFill>
                      <pic:spPr bwMode="auto">
                        <a:xfrm flipH="0" flipV="0">
                          <a:off x="0" y="0"/>
                          <a:ext cx="5943599" cy="213814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168.36pt;mso-wrap-distance-left:0.00pt;mso-wrap-distance-top:0.00pt;mso-wrap-distance-right:0.00pt;mso-wrap-distance-bottom:0.00pt;z-index:1;" stroked="false">
                <v:imagedata r:id="rId20" o:title=""/>
                <o:lock v:ext="edit" rotation="t"/>
              </v:shape>
            </w:pict>
          </mc:Fallback>
        </mc:AlternateContent>
      </w:r>
      <w:r>
        <w:rPr>
          <w:b w:val="0"/>
          <w:bCs w:val="0"/>
          <w:i w:val="0"/>
          <w:sz w:val="22"/>
          <w:szCs w:val="22"/>
          <w:highlight w:val="none"/>
        </w:rPr>
      </w:r>
      <w:r>
        <w:rPr>
          <w:b w:val="0"/>
          <w:bCs w:val="0"/>
          <w:i w:val="0"/>
          <w:sz w:val="22"/>
          <w:szCs w:val="22"/>
          <w:highlight w:val="none"/>
        </w:rPr>
      </w:r>
      <w:r>
        <w:rPr>
          <w:b w:val="0"/>
          <w:bCs w:val="0"/>
          <w:i w:val="0"/>
          <w:sz w:val="22"/>
          <w:szCs w:val="22"/>
          <w:highlight w:val="none"/>
        </w:rPr>
      </w:r>
    </w:p>
    <w:p w14:paraId="56FCE0C4">
      <w:pPr>
        <w:pBdr/>
        <w:tabs>
          <w:tab w:val="left" w:leader="none" w:pos="1440"/>
        </w:tabs>
        <w:spacing/>
        <w:ind/>
        <w:jc w:val="both"/>
        <w:rPr>
          <w:b w:val="0"/>
          <w:bCs w:val="0"/>
          <w:i w:val="0"/>
          <w:sz w:val="22"/>
          <w:szCs w:val="22"/>
          <w:highlight w:val="none"/>
        </w:rPr>
      </w:pPr>
      <w:r>
        <w:rPr>
          <w:b w:val="0"/>
          <w:bCs w:val="0"/>
          <w:highlight w:val="none"/>
        </w:rPr>
      </w:r>
      <w:r>
        <w:rPr>
          <w:b w:val="0"/>
          <w:bCs w:val="0"/>
          <w:highlight w:val="none"/>
        </w:rPr>
      </w:r>
      <w:r>
        <w:rPr>
          <w:b w:val="0"/>
          <w:bCs w:val="0"/>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8030705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package" Target="embeddings/Microsoft_Excel_Worksheet1.xlsx"/><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package" Target="embeddings/Microsoft_Excel_Worksheet2.xlsx"/><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package" Target="embeddings/Microsoft_Excel_Worksheet3.xlsx"/><Relationship Id="rId18" Type="http://schemas.openxmlformats.org/officeDocument/2006/relationships/image" Target="media/image8.png"/><Relationship Id="rId19" Type="http://schemas.openxmlformats.org/officeDocument/2006/relationships/package" Target="embeddings/Microsoft_Excel_Worksheet4.xlsx"/><Relationship Id="rId20"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2026-03-07T15:40:48Z</dcterms:modified>
</cp:coreProperties>
</file>