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B2545"/>
          <w:sz w:val="44"/>
        </w:rPr>
        <w:t>Capstone Project Report</w:t>
      </w:r>
    </w:p>
    <w:p>
      <w:pPr>
        <w:jc w:val="center"/>
      </w:pPr>
      <w:r>
        <w:rPr>
          <w:rFonts w:ascii="Calibri" w:hAnsi="Calibri"/>
          <w:b/>
          <w:color w:val="2E74B5"/>
          <w:sz w:val="40"/>
        </w:rPr>
        <w:t>Report 4 - Software Design Document</w:t>
      </w:r>
    </w:p>
    <w:p>
      <w:pPr>
        <w:jc w:val="center"/>
      </w:pPr>
      <w:r>
        <w:rPr>
          <w:rFonts w:ascii="Calibri" w:hAnsi="Calibri"/>
          <w:b/>
          <w:color w:val="1F4D78"/>
          <w:sz w:val="36"/>
        </w:rPr>
        <w:t>Learning Management System (LMS)</w:t>
      </w:r>
    </w:p>
    <w:p/>
    <w:tbl>
      <w:tblPr>
        <w:tblStyle w:val="TableGrid"/>
        <w:tblW w:type="auto" w:w="0"/>
        <w:jc w:val="left"/>
        <w:tblLayout w:type="fixed"/>
        <w:tblLook w:firstColumn="1" w:firstRow="1" w:lastColumn="0" w:lastRow="0" w:noHBand="0" w:noVBand="1" w:val="04A0"/>
      </w:tblPr>
      <w:tblGrid>
        <w:gridCol w:w="4680"/>
        <w:gridCol w:w="4680"/>
      </w:tblGrid>
      <w:tr>
        <w:tc>
          <w:tcPr>
            <w:tcW w:type="dxa" w:w="2448"/>
            <w:vAlign w:val="center"/>
            <w:tcMar>
              <w:top w:w="80" w:type="dxa"/>
              <w:bottom w:w="80" w:type="dxa"/>
              <w:start w:w="120" w:type="dxa"/>
              <w:end w:w="120" w:type="dxa"/>
            </w:tcMar>
            <w:shd w:fill="F2F4F7"/>
          </w:tcPr>
          <w:p>
            <w:pPr>
              <w:spacing w:after="40"/>
            </w:pPr>
            <w:r>
              <w:rPr>
                <w:rFonts w:ascii="Calibri" w:hAnsi="Calibri"/>
                <w:b/>
                <w:color w:val="0B2545"/>
                <w:sz w:val="20"/>
              </w:rPr>
              <w:t>Item</w:t>
            </w:r>
          </w:p>
        </w:tc>
        <w:tc>
          <w:tcPr>
            <w:tcW w:type="dxa" w:w="6912"/>
            <w:vAlign w:val="center"/>
            <w:tcMar>
              <w:top w:w="80" w:type="dxa"/>
              <w:bottom w:w="80" w:type="dxa"/>
              <w:start w:w="120" w:type="dxa"/>
              <w:end w:w="120" w:type="dxa"/>
            </w:tcMar>
            <w:shd w:fill="F2F4F7"/>
          </w:tcPr>
          <w:p>
            <w:pPr>
              <w:spacing w:after="40"/>
            </w:pPr>
            <w:r>
              <w:rPr>
                <w:rFonts w:ascii="Calibri" w:hAnsi="Calibri"/>
                <w:b/>
                <w:color w:val="0B2545"/>
                <w:sz w:val="20"/>
              </w:rPr>
              <w:t>Value</w:t>
            </w:r>
          </w:p>
        </w:tc>
      </w:tr>
      <w:tr>
        <w:tc>
          <w:tcPr>
            <w:tcW w:type="dxa" w:w="2448"/>
            <w:vAlign w:val="center"/>
            <w:tcMar>
              <w:top w:w="80" w:type="dxa"/>
              <w:bottom w:w="80" w:type="dxa"/>
              <w:start w:w="120" w:type="dxa"/>
              <w:end w:w="120" w:type="dxa"/>
            </w:tcMar>
          </w:tcPr>
          <w:p>
            <w:pPr>
              <w:spacing w:after="40"/>
            </w:pPr>
            <w:r>
              <w:rPr>
                <w:rFonts w:ascii="Calibri" w:hAnsi="Calibri"/>
                <w:b w:val="0"/>
                <w:color w:val="0B2545"/>
                <w:sz w:val="20"/>
              </w:rPr>
              <w:t>Project source</w:t>
            </w:r>
          </w:p>
        </w:tc>
        <w:tc>
          <w:tcPr>
            <w:tcW w:type="dxa" w:w="6912"/>
            <w:vAlign w:val="center"/>
            <w:tcMar>
              <w:top w:w="80" w:type="dxa"/>
              <w:bottom w:w="80" w:type="dxa"/>
              <w:start w:w="120" w:type="dxa"/>
              <w:end w:w="120" w:type="dxa"/>
            </w:tcMar>
          </w:tcPr>
          <w:p>
            <w:pPr>
              <w:spacing w:after="40"/>
            </w:pPr>
            <w:r>
              <w:rPr>
                <w:rFonts w:ascii="Calibri" w:hAnsi="Calibri"/>
                <w:b w:val="0"/>
                <w:color w:val="0B2545"/>
                <w:sz w:val="20"/>
              </w:rPr>
              <w:t>BE_LMS (ExpressJS/TypeScript) + FE_LMS (React/Vite)</w:t>
            </w:r>
          </w:p>
        </w:tc>
      </w:tr>
      <w:tr>
        <w:tc>
          <w:tcPr>
            <w:tcW w:type="dxa" w:w="2448"/>
            <w:vAlign w:val="center"/>
            <w:tcMar>
              <w:top w:w="80" w:type="dxa"/>
              <w:bottom w:w="80" w:type="dxa"/>
              <w:start w:w="120" w:type="dxa"/>
              <w:end w:w="120" w:type="dxa"/>
            </w:tcMar>
          </w:tcPr>
          <w:p>
            <w:pPr>
              <w:spacing w:after="40"/>
            </w:pPr>
            <w:r>
              <w:rPr>
                <w:rFonts w:ascii="Calibri" w:hAnsi="Calibri"/>
                <w:b w:val="0"/>
                <w:color w:val="0B2545"/>
                <w:sz w:val="20"/>
              </w:rPr>
              <w:t>Document scope</w:t>
            </w:r>
          </w:p>
        </w:tc>
        <w:tc>
          <w:tcPr>
            <w:tcW w:type="dxa" w:w="6912"/>
            <w:vAlign w:val="center"/>
            <w:tcMar>
              <w:top w:w="80" w:type="dxa"/>
              <w:bottom w:w="80" w:type="dxa"/>
              <w:start w:w="120" w:type="dxa"/>
              <w:end w:w="120" w:type="dxa"/>
            </w:tcMar>
          </w:tcPr>
          <w:p>
            <w:pPr>
              <w:spacing w:after="40"/>
            </w:pPr>
            <w:r>
              <w:rPr>
                <w:rFonts w:ascii="Calibri" w:hAnsi="Calibri"/>
                <w:b w:val="0"/>
                <w:color w:val="0B2545"/>
                <w:sz w:val="20"/>
              </w:rPr>
              <w:t>System design, package design, database design, detailed class/sequence design</w:t>
            </w:r>
          </w:p>
        </w:tc>
      </w:tr>
      <w:tr>
        <w:tc>
          <w:tcPr>
            <w:tcW w:type="dxa" w:w="2448"/>
            <w:vAlign w:val="center"/>
            <w:tcMar>
              <w:top w:w="80" w:type="dxa"/>
              <w:bottom w:w="80" w:type="dxa"/>
              <w:start w:w="120" w:type="dxa"/>
              <w:end w:w="120" w:type="dxa"/>
            </w:tcMar>
          </w:tcPr>
          <w:p>
            <w:pPr>
              <w:spacing w:after="40"/>
            </w:pPr>
            <w:r>
              <w:rPr>
                <w:rFonts w:ascii="Calibri" w:hAnsi="Calibri"/>
                <w:b w:val="0"/>
                <w:color w:val="0B2545"/>
                <w:sz w:val="20"/>
              </w:rPr>
              <w:t>Prepared date</w:t>
            </w:r>
          </w:p>
        </w:tc>
        <w:tc>
          <w:tcPr>
            <w:tcW w:type="dxa" w:w="6912"/>
            <w:vAlign w:val="center"/>
            <w:tcMar>
              <w:top w:w="80" w:type="dxa"/>
              <w:bottom w:w="80" w:type="dxa"/>
              <w:start w:w="120" w:type="dxa"/>
              <w:end w:w="120" w:type="dxa"/>
            </w:tcMar>
          </w:tcPr>
          <w:p>
            <w:pPr>
              <w:spacing w:after="40"/>
            </w:pPr>
            <w:r>
              <w:rPr>
                <w:rFonts w:ascii="Calibri" w:hAnsi="Calibri"/>
                <w:b w:val="0"/>
                <w:color w:val="0B2545"/>
                <w:sz w:val="20"/>
              </w:rPr>
              <w:t>2026-07-16</w:t>
            </w:r>
          </w:p>
        </w:tc>
      </w:tr>
    </w:tbl>
    <w:p/>
    <w:p/>
    <w:p/>
    <w:p/>
    <w:p/>
    <w:p/>
    <w:p/>
    <w:p/>
    <w:p/>
    <w:p>
      <w:pPr>
        <w:jc w:val="center"/>
      </w:pPr>
      <w:r>
        <w:rPr>
          <w:rFonts w:ascii="Calibri" w:hAnsi="Calibri"/>
          <w:color w:val="5A6673"/>
          <w:sz w:val="24"/>
        </w:rPr>
        <w:t>Hanoi, July 2026</w:t>
      </w:r>
    </w:p>
    <w:p>
      <w:r>
        <w:br w:type="page"/>
      </w:r>
    </w:p>
    <w:p>
      <w:pPr>
        <w:pStyle w:val="Heading1"/>
      </w:pPr>
      <w:r>
        <w:t>I. Record of Changes</w:t>
      </w:r>
    </w:p>
    <w:p>
      <w:r>
        <w:rPr>
          <w:rFonts w:ascii="Calibri" w:hAnsi="Calibri"/>
        </w:rPr>
        <w:t>*A - Added    M - Modified    D - Deleted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655"/>
            <w:vAlign w:val="center"/>
            <w:tcMar>
              <w:top w:w="80" w:type="dxa"/>
              <w:bottom w:w="80" w:type="dxa"/>
              <w:start w:w="120" w:type="dxa"/>
              <w:end w:w="120" w:type="dxa"/>
            </w:tcMar>
            <w:shd w:fill="F2F4F7"/>
          </w:tcPr>
          <w:p>
            <w:pPr>
              <w:spacing w:after="40"/>
            </w:pPr>
            <w:r>
              <w:rPr>
                <w:rFonts w:ascii="Calibri" w:hAnsi="Calibri"/>
                <w:b/>
                <w:color w:val="0B2545"/>
                <w:sz w:val="18"/>
              </w:rPr>
              <w:t>Date</w:t>
            </w:r>
          </w:p>
        </w:tc>
        <w:tc>
          <w:tcPr>
            <w:tcW w:type="dxa" w:w="1296"/>
            <w:vAlign w:val="center"/>
            <w:tcMar>
              <w:top w:w="80" w:type="dxa"/>
              <w:bottom w:w="80" w:type="dxa"/>
              <w:start w:w="120" w:type="dxa"/>
              <w:end w:w="120" w:type="dxa"/>
            </w:tcMar>
            <w:shd w:fill="F2F4F7"/>
          </w:tcPr>
          <w:p>
            <w:pPr>
              <w:spacing w:after="40"/>
            </w:pPr>
            <w:r>
              <w:rPr>
                <w:rFonts w:ascii="Calibri" w:hAnsi="Calibri"/>
                <w:b/>
                <w:color w:val="0B2545"/>
                <w:sz w:val="18"/>
              </w:rPr>
              <w:t>A* M, D</w:t>
            </w:r>
          </w:p>
        </w:tc>
        <w:tc>
          <w:tcPr>
            <w:tcW w:type="dxa" w:w="1655"/>
            <w:vAlign w:val="center"/>
            <w:tcMar>
              <w:top w:w="80" w:type="dxa"/>
              <w:bottom w:w="80" w:type="dxa"/>
              <w:start w:w="120" w:type="dxa"/>
              <w:end w:w="120" w:type="dxa"/>
            </w:tcMar>
            <w:shd w:fill="F2F4F7"/>
          </w:tcPr>
          <w:p>
            <w:pPr>
              <w:spacing w:after="40"/>
            </w:pPr>
            <w:r>
              <w:rPr>
                <w:rFonts w:ascii="Calibri" w:hAnsi="Calibri"/>
                <w:b/>
                <w:color w:val="0B2545"/>
                <w:sz w:val="18"/>
              </w:rPr>
              <w:t>In charge</w:t>
            </w:r>
          </w:p>
        </w:tc>
        <w:tc>
          <w:tcPr>
            <w:tcW w:type="dxa" w:w="4752"/>
            <w:vAlign w:val="center"/>
            <w:tcMar>
              <w:top w:w="80" w:type="dxa"/>
              <w:bottom w:w="80" w:type="dxa"/>
              <w:start w:w="120" w:type="dxa"/>
              <w:end w:w="120" w:type="dxa"/>
            </w:tcMar>
            <w:shd w:fill="F2F4F7"/>
          </w:tcPr>
          <w:p>
            <w:pPr>
              <w:spacing w:after="40"/>
            </w:pPr>
            <w:r>
              <w:rPr>
                <w:rFonts w:ascii="Calibri" w:hAnsi="Calibri"/>
                <w:b/>
                <w:color w:val="0B2545"/>
                <w:sz w:val="18"/>
              </w:rPr>
              <w:t>Change Description</w:t>
            </w:r>
          </w:p>
        </w:tc>
      </w:tr>
      <w:tr>
        <w:tc>
          <w:tcPr>
            <w:tcW w:type="dxa" w:w="1655"/>
            <w:vAlign w:val="center"/>
            <w:tcMar>
              <w:top w:w="80" w:type="dxa"/>
              <w:bottom w:w="80" w:type="dxa"/>
              <w:start w:w="120" w:type="dxa"/>
              <w:end w:w="120" w:type="dxa"/>
            </w:tcMar>
          </w:tcPr>
          <w:p>
            <w:pPr>
              <w:spacing w:after="40"/>
            </w:pPr>
            <w:r>
              <w:rPr>
                <w:rFonts w:ascii="Calibri" w:hAnsi="Calibri"/>
                <w:b w:val="0"/>
                <w:color w:val="0B2545"/>
                <w:sz w:val="18"/>
              </w:rPr>
              <w:t>2026-07-16</w:t>
            </w:r>
          </w:p>
        </w:tc>
        <w:tc>
          <w:tcPr>
            <w:tcW w:type="dxa" w:w="1296"/>
            <w:vAlign w:val="center"/>
            <w:tcMar>
              <w:top w:w="80" w:type="dxa"/>
              <w:bottom w:w="80" w:type="dxa"/>
              <w:start w:w="120" w:type="dxa"/>
              <w:end w:w="120" w:type="dxa"/>
            </w:tcMar>
          </w:tcPr>
          <w:p>
            <w:pPr>
              <w:spacing w:after="40"/>
            </w:pPr>
            <w:r>
              <w:rPr>
                <w:rFonts w:ascii="Calibri" w:hAnsi="Calibri"/>
                <w:b w:val="0"/>
                <w:color w:val="0B2545"/>
                <w:sz w:val="18"/>
              </w:rPr>
              <w:t>A/M</w:t>
            </w:r>
          </w:p>
        </w:tc>
        <w:tc>
          <w:tcPr>
            <w:tcW w:type="dxa" w:w="1655"/>
            <w:vAlign w:val="center"/>
            <w:tcMar>
              <w:top w:w="80" w:type="dxa"/>
              <w:bottom w:w="80" w:type="dxa"/>
              <w:start w:w="120" w:type="dxa"/>
              <w:end w:w="120" w:type="dxa"/>
            </w:tcMar>
          </w:tcPr>
          <w:p>
            <w:pPr>
              <w:spacing w:after="40"/>
            </w:pPr>
            <w:r>
              <w:rPr>
                <w:rFonts w:ascii="Calibri" w:hAnsi="Calibri"/>
                <w:b w:val="0"/>
                <w:color w:val="0B2545"/>
                <w:sz w:val="18"/>
              </w:rPr>
              <w:t>Codex</w:t>
            </w:r>
          </w:p>
        </w:tc>
        <w:tc>
          <w:tcPr>
            <w:tcW w:type="dxa" w:w="4752"/>
            <w:vAlign w:val="center"/>
            <w:tcMar>
              <w:top w:w="80" w:type="dxa"/>
              <w:bottom w:w="80" w:type="dxa"/>
              <w:start w:w="120" w:type="dxa"/>
              <w:end w:w="120" w:type="dxa"/>
            </w:tcMar>
          </w:tcPr>
          <w:p>
            <w:pPr>
              <w:spacing w:after="40"/>
            </w:pPr>
            <w:r>
              <w:rPr>
                <w:rFonts w:ascii="Calibri" w:hAnsi="Calibri"/>
                <w:b w:val="0"/>
                <w:color w:val="0B2545"/>
                <w:sz w:val="18"/>
              </w:rPr>
              <w:t>Hoàn thiện toàn bộ nội dung SDD dựa trên source code LMS: system architecture, package diagrams, database design, detailed class specifications và sequence flows.</w:t>
            </w:r>
          </w:p>
        </w:tc>
      </w:tr>
    </w:tbl>
    <w:p/>
    <w:p>
      <w:pPr>
        <w:pStyle w:val="Heading1"/>
      </w:pPr>
      <w:r>
        <w:t>II. Software Design Document</w:t>
      </w:r>
    </w:p>
    <w:p>
      <w:pPr>
        <w:pStyle w:val="Heading2"/>
      </w:pPr>
      <w:r>
        <w:t>Document Navigation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152"/>
            <w:vAlign w:val="center"/>
            <w:tcMar>
              <w:top w:w="80" w:type="dxa"/>
              <w:bottom w:w="80" w:type="dxa"/>
              <w:start w:w="120" w:type="dxa"/>
              <w:end w:w="120" w:type="dxa"/>
            </w:tcMar>
            <w:shd w:fill="F2F4F7"/>
          </w:tcPr>
          <w:p>
            <w:pPr>
              <w:spacing w:after="40"/>
            </w:pPr>
            <w:r>
              <w:rPr>
                <w:rFonts w:ascii="Calibri" w:hAnsi="Calibri"/>
                <w:b/>
                <w:color w:val="0B2545"/>
                <w:sz w:val="18"/>
              </w:rPr>
              <w:t>Section</w:t>
            </w:r>
          </w:p>
        </w:tc>
        <w:tc>
          <w:tcPr>
            <w:tcW w:type="dxa" w:w="2592"/>
            <w:vAlign w:val="center"/>
            <w:tcMar>
              <w:top w:w="80" w:type="dxa"/>
              <w:bottom w:w="80" w:type="dxa"/>
              <w:start w:w="120" w:type="dxa"/>
              <w:end w:w="120" w:type="dxa"/>
            </w:tcMar>
            <w:shd w:fill="F2F4F7"/>
          </w:tcPr>
          <w:p>
            <w:pPr>
              <w:spacing w:after="40"/>
            </w:pPr>
            <w:r>
              <w:rPr>
                <w:rFonts w:ascii="Calibri" w:hAnsi="Calibri"/>
                <w:b/>
                <w:color w:val="0B2545"/>
                <w:sz w:val="18"/>
              </w:rPr>
              <w:t>Name</w:t>
            </w:r>
          </w:p>
        </w:tc>
        <w:tc>
          <w:tcPr>
            <w:tcW w:type="dxa" w:w="5616"/>
            <w:vAlign w:val="center"/>
            <w:tcMar>
              <w:top w:w="80" w:type="dxa"/>
              <w:bottom w:w="80" w:type="dxa"/>
              <w:start w:w="120" w:type="dxa"/>
              <w:end w:w="120" w:type="dxa"/>
            </w:tcMar>
            <w:shd w:fill="F2F4F7"/>
          </w:tcPr>
          <w:p>
            <w:pPr>
              <w:spacing w:after="40"/>
            </w:pPr>
            <w:r>
              <w:rPr>
                <w:rFonts w:ascii="Calibri" w:hAnsi="Calibri"/>
                <w:b/>
                <w:color w:val="0B2545"/>
                <w:sz w:val="18"/>
              </w:rPr>
              <w:t>Coverage</w:t>
            </w:r>
          </w:p>
        </w:tc>
      </w:tr>
      <w:tr>
        <w:tc>
          <w:tcPr>
            <w:tcW w:type="dxa" w:w="1152"/>
            <w:vAlign w:val="center"/>
            <w:tcMar>
              <w:top w:w="80" w:type="dxa"/>
              <w:bottom w:w="80" w:type="dxa"/>
              <w:start w:w="120" w:type="dxa"/>
              <w:end w:w="120" w:type="dxa"/>
            </w:tcMar>
          </w:tcPr>
          <w:p>
            <w:pPr>
              <w:spacing w:after="40"/>
            </w:pPr>
            <w:r>
              <w:rPr>
                <w:rFonts w:ascii="Calibri" w:hAnsi="Calibri"/>
                <w:b w:val="0"/>
                <w:color w:val="0B2545"/>
                <w:sz w:val="18"/>
              </w:rPr>
              <w:t>1</w:t>
            </w:r>
          </w:p>
        </w:tc>
        <w:tc>
          <w:tcPr>
            <w:tcW w:type="dxa" w:w="2592"/>
            <w:vAlign w:val="center"/>
            <w:tcMar>
              <w:top w:w="80" w:type="dxa"/>
              <w:bottom w:w="80" w:type="dxa"/>
              <w:start w:w="120" w:type="dxa"/>
              <w:end w:w="120" w:type="dxa"/>
            </w:tcMar>
          </w:tcPr>
          <w:p>
            <w:pPr>
              <w:spacing w:after="40"/>
            </w:pPr>
            <w:r>
              <w:rPr>
                <w:rFonts w:ascii="Calibri" w:hAnsi="Calibri"/>
                <w:b w:val="0"/>
                <w:color w:val="0B2545"/>
                <w:sz w:val="18"/>
              </w:rPr>
              <w:t>System Design</w:t>
            </w:r>
          </w:p>
        </w:tc>
        <w:tc>
          <w:tcPr>
            <w:tcW w:type="dxa" w:w="5616"/>
            <w:vAlign w:val="center"/>
            <w:tcMar>
              <w:top w:w="80" w:type="dxa"/>
              <w:bottom w:w="80" w:type="dxa"/>
              <w:start w:w="120" w:type="dxa"/>
              <w:end w:w="120" w:type="dxa"/>
            </w:tcMar>
          </w:tcPr>
          <w:p>
            <w:pPr>
              <w:spacing w:after="40"/>
            </w:pPr>
            <w:r>
              <w:rPr>
                <w:rFonts w:ascii="Calibri" w:hAnsi="Calibri"/>
                <w:b w:val="0"/>
                <w:color w:val="0B2545"/>
                <w:sz w:val="18"/>
              </w:rPr>
              <w:t>Architecture, deployment view, backend/frontend package diagrams and explanations.</w:t>
            </w:r>
          </w:p>
        </w:tc>
      </w:tr>
      <w:tr>
        <w:tc>
          <w:tcPr>
            <w:tcW w:type="dxa" w:w="1152"/>
            <w:vAlign w:val="center"/>
            <w:tcMar>
              <w:top w:w="80" w:type="dxa"/>
              <w:bottom w:w="80" w:type="dxa"/>
              <w:start w:w="120" w:type="dxa"/>
              <w:end w:w="120" w:type="dxa"/>
            </w:tcMar>
          </w:tcPr>
          <w:p>
            <w:pPr>
              <w:spacing w:after="40"/>
            </w:pPr>
            <w:r>
              <w:rPr>
                <w:rFonts w:ascii="Calibri" w:hAnsi="Calibri"/>
                <w:b w:val="0"/>
                <w:color w:val="0B2545"/>
                <w:sz w:val="18"/>
              </w:rPr>
              <w:t>2</w:t>
            </w:r>
          </w:p>
        </w:tc>
        <w:tc>
          <w:tcPr>
            <w:tcW w:type="dxa" w:w="2592"/>
            <w:vAlign w:val="center"/>
            <w:tcMar>
              <w:top w:w="80" w:type="dxa"/>
              <w:bottom w:w="80" w:type="dxa"/>
              <w:start w:w="120" w:type="dxa"/>
              <w:end w:w="120" w:type="dxa"/>
            </w:tcMar>
          </w:tcPr>
          <w:p>
            <w:pPr>
              <w:spacing w:after="40"/>
            </w:pPr>
            <w:r>
              <w:rPr>
                <w:rFonts w:ascii="Calibri" w:hAnsi="Calibri"/>
                <w:b w:val="0"/>
                <w:color w:val="0B2545"/>
                <w:sz w:val="18"/>
              </w:rPr>
              <w:t>Database Design</w:t>
            </w:r>
          </w:p>
        </w:tc>
        <w:tc>
          <w:tcPr>
            <w:tcW w:type="dxa" w:w="5616"/>
            <w:vAlign w:val="center"/>
            <w:tcMar>
              <w:top w:w="80" w:type="dxa"/>
              <w:bottom w:w="80" w:type="dxa"/>
              <w:start w:w="120" w:type="dxa"/>
              <w:end w:w="120" w:type="dxa"/>
            </w:tcMar>
          </w:tcPr>
          <w:p>
            <w:pPr>
              <w:spacing w:after="40"/>
            </w:pPr>
            <w:r>
              <w:rPr>
                <w:rFonts w:ascii="Calibri" w:hAnsi="Calibri"/>
                <w:b w:val="0"/>
                <w:color w:val="0B2545"/>
                <w:sz w:val="18"/>
              </w:rPr>
              <w:t>ERD views, collection/table descriptions, primary keys, foreign keys and constraints.</w:t>
            </w:r>
          </w:p>
        </w:tc>
      </w:tr>
      <w:tr>
        <w:tc>
          <w:tcPr>
            <w:tcW w:type="dxa" w:w="1152"/>
            <w:vAlign w:val="center"/>
            <w:tcMar>
              <w:top w:w="80" w:type="dxa"/>
              <w:bottom w:w="80" w:type="dxa"/>
              <w:start w:w="120" w:type="dxa"/>
              <w:end w:w="120" w:type="dxa"/>
            </w:tcMar>
          </w:tcPr>
          <w:p>
            <w:pPr>
              <w:spacing w:after="40"/>
            </w:pPr>
            <w:r>
              <w:rPr>
                <w:rFonts w:ascii="Calibri" w:hAnsi="Calibri"/>
                <w:b w:val="0"/>
                <w:color w:val="0B2545"/>
                <w:sz w:val="18"/>
              </w:rPr>
              <w:t>3</w:t>
            </w:r>
          </w:p>
        </w:tc>
        <w:tc>
          <w:tcPr>
            <w:tcW w:type="dxa" w:w="2592"/>
            <w:vAlign w:val="center"/>
            <w:tcMar>
              <w:top w:w="80" w:type="dxa"/>
              <w:bottom w:w="80" w:type="dxa"/>
              <w:start w:w="120" w:type="dxa"/>
              <w:end w:w="120" w:type="dxa"/>
            </w:tcMar>
          </w:tcPr>
          <w:p>
            <w:pPr>
              <w:spacing w:after="40"/>
            </w:pPr>
            <w:r>
              <w:rPr>
                <w:rFonts w:ascii="Calibri" w:hAnsi="Calibri"/>
                <w:b w:val="0"/>
                <w:color w:val="0B2545"/>
                <w:sz w:val="18"/>
              </w:rPr>
              <w:t>Detailed Design</w:t>
            </w:r>
          </w:p>
        </w:tc>
        <w:tc>
          <w:tcPr>
            <w:tcW w:type="dxa" w:w="5616"/>
            <w:vAlign w:val="center"/>
            <w:tcMar>
              <w:top w:w="80" w:type="dxa"/>
              <w:bottom w:w="80" w:type="dxa"/>
              <w:start w:w="120" w:type="dxa"/>
              <w:end w:w="120" w:type="dxa"/>
            </w:tcMar>
          </w:tcPr>
          <w:p>
            <w:pPr>
              <w:spacing w:after="40"/>
            </w:pPr>
            <w:r>
              <w:rPr>
                <w:rFonts w:ascii="Calibri" w:hAnsi="Calibri"/>
                <w:b w:val="0"/>
                <w:color w:val="0B2545"/>
                <w:sz w:val="18"/>
              </w:rPr>
              <w:t>Class diagrams, class specifications and sequence diagrams for the main LMS flows.</w:t>
            </w:r>
          </w:p>
        </w:tc>
      </w:tr>
    </w:tbl>
    <w:p/>
    <w:p>
      <w:r>
        <w:rPr>
          <w:rFonts w:ascii="Calibri" w:hAnsi="Calibri"/>
        </w:rPr>
        <w:t>This document is authored from the actual project structure and code paths under BE_LMS and FE_LMS, especially app.ts, routes, controllers, services, models, socket handlers, validators, frontend AppRoutes, services and stores.</w:t>
      </w:r>
    </w:p>
    <w:p>
      <w:pPr>
        <w:pStyle w:val="Heading2"/>
      </w:pPr>
      <w:r>
        <w:t>1. System Design</w:t>
      </w:r>
    </w:p>
    <w:p>
      <w:pPr>
        <w:pStyle w:val="Heading3"/>
      </w:pPr>
      <w:r>
        <w:t>1.1 System Architecture</w:t>
      </w:r>
    </w:p>
    <w:p>
      <w:r>
        <w:rPr>
          <w:rFonts w:ascii="Calibri" w:hAnsi="Calibri"/>
        </w:rPr>
        <w:t>The LMS is implemented as a MERN-style learning platform with a React/Vite single-page frontend, an ExpressJS TypeScript backend, MongoDB persistence through Mongoose, MinIO/S3 object storage, Resend transactional email and Socket.IO realtime communication.</w:t>
      </w:r>
    </w:p>
    <w:p>
      <w:pPr>
        <w:jc w:val="cente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943600" cy="3632200"/>
                    </a:xfrm>
                    <a:prstGeom prst="rect"/>
                  </pic:spPr>
                </pic:pic>
              </a:graphicData>
            </a:graphic>
          </wp:inline>
        </w:drawing>
      </w:r>
    </w:p>
    <w:p>
      <w:pPr>
        <w:spacing w:after="160"/>
        <w:jc w:val="center"/>
      </w:pPr>
      <w:r>
        <w:rPr>
          <w:rFonts w:ascii="Calibri" w:hAnsi="Calibri"/>
          <w:b w:val="0"/>
          <w:i/>
          <w:color w:val="5A6673"/>
          <w:sz w:val="18"/>
        </w:rPr>
        <w:t>Figure 1. System architecture for LMS runtime and external integrations.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00"/>
            <w:vAlign w:val="center"/>
            <w:tcMar>
              <w:top w:w="80" w:type="dxa"/>
              <w:bottom w:w="80" w:type="dxa"/>
              <w:start w:w="120" w:type="dxa"/>
              <w:end w:w="120" w:type="dxa"/>
            </w:tcMar>
            <w:shd w:fill="F2F4F7"/>
          </w:tcPr>
          <w:p>
            <w:pPr>
              <w:spacing w:after="40"/>
            </w:pPr>
            <w:r>
              <w:rPr>
                <w:rFonts w:ascii="Calibri" w:hAnsi="Calibri"/>
                <w:b/>
                <w:color w:val="0B2545"/>
                <w:sz w:val="16"/>
              </w:rPr>
              <w:t>Component</w:t>
            </w:r>
          </w:p>
        </w:tc>
        <w:tc>
          <w:tcPr>
            <w:tcW w:type="dxa" w:w="2592"/>
            <w:vAlign w:val="center"/>
            <w:tcMar>
              <w:top w:w="80" w:type="dxa"/>
              <w:bottom w:w="80" w:type="dxa"/>
              <w:start w:w="120" w:type="dxa"/>
              <w:end w:w="120" w:type="dxa"/>
            </w:tcMar>
            <w:shd w:fill="F2F4F7"/>
          </w:tcPr>
          <w:p>
            <w:pPr>
              <w:spacing w:after="40"/>
            </w:pPr>
            <w:r>
              <w:rPr>
                <w:rFonts w:ascii="Calibri" w:hAnsi="Calibri"/>
                <w:b/>
                <w:color w:val="0B2545"/>
                <w:sz w:val="16"/>
              </w:rPr>
              <w:t>Code Location</w:t>
            </w:r>
          </w:p>
        </w:tc>
        <w:tc>
          <w:tcPr>
            <w:tcW w:type="dxa" w:w="4968"/>
            <w:vAlign w:val="center"/>
            <w:tcMar>
              <w:top w:w="80" w:type="dxa"/>
              <w:bottom w:w="80" w:type="dxa"/>
              <w:start w:w="120" w:type="dxa"/>
              <w:end w:w="120" w:type="dxa"/>
            </w:tcMar>
            <w:shd w:fill="F2F4F7"/>
          </w:tcPr>
          <w:p>
            <w:pPr>
              <w:spacing w:after="40"/>
            </w:pPr>
            <w:r>
              <w:rPr>
                <w:rFonts w:ascii="Calibri" w:hAnsi="Calibri"/>
                <w:b/>
                <w:color w:val="0B2545"/>
                <w:sz w:val="16"/>
              </w:rPr>
              <w:t>Design Responsibility</w:t>
            </w:r>
          </w:p>
        </w:tc>
      </w:tr>
      <w:tr>
        <w:tc>
          <w:tcPr>
            <w:tcW w:type="dxa" w:w="1800"/>
            <w:vAlign w:val="center"/>
            <w:tcMar>
              <w:top w:w="80" w:type="dxa"/>
              <w:bottom w:w="80" w:type="dxa"/>
              <w:start w:w="120" w:type="dxa"/>
              <w:end w:w="120" w:type="dxa"/>
            </w:tcMar>
          </w:tcPr>
          <w:p>
            <w:pPr>
              <w:spacing w:after="40"/>
            </w:pPr>
            <w:r>
              <w:rPr>
                <w:rFonts w:ascii="Calibri" w:hAnsi="Calibri"/>
                <w:b w:val="0"/>
                <w:color w:val="0B2545"/>
                <w:sz w:val="16"/>
              </w:rPr>
              <w:t>React/Vite SPA</w:t>
            </w:r>
          </w:p>
        </w:tc>
        <w:tc>
          <w:tcPr>
            <w:tcW w:type="dxa" w:w="2592"/>
            <w:vAlign w:val="center"/>
            <w:tcMar>
              <w:top w:w="80" w:type="dxa"/>
              <w:bottom w:w="80" w:type="dxa"/>
              <w:start w:w="120" w:type="dxa"/>
              <w:end w:w="120" w:type="dxa"/>
            </w:tcMar>
          </w:tcPr>
          <w:p>
            <w:pPr>
              <w:spacing w:after="40"/>
            </w:pPr>
            <w:r>
              <w:rPr>
                <w:rFonts w:ascii="Calibri" w:hAnsi="Calibri"/>
                <w:b w:val="0"/>
                <w:color w:val="0B2545"/>
                <w:sz w:val="16"/>
              </w:rPr>
              <w:t>FE_LMS</w:t>
            </w:r>
          </w:p>
        </w:tc>
        <w:tc>
          <w:tcPr>
            <w:tcW w:type="dxa" w:w="4968"/>
            <w:vAlign w:val="center"/>
            <w:tcMar>
              <w:top w:w="80" w:type="dxa"/>
              <w:bottom w:w="80" w:type="dxa"/>
              <w:start w:w="120" w:type="dxa"/>
              <w:end w:w="120" w:type="dxa"/>
            </w:tcMar>
          </w:tcPr>
          <w:p>
            <w:pPr>
              <w:spacing w:after="40"/>
            </w:pPr>
            <w:r>
              <w:rPr>
                <w:rFonts w:ascii="Calibri" w:hAnsi="Calibri"/>
                <w:b w:val="0"/>
                <w:color w:val="0B2545"/>
                <w:sz w:val="16"/>
              </w:rPr>
              <w:t>Delivers pages, protected routes, dashboards and feature UI. Uses Axios services to call backend APIs and Socket.IO client for realtime chat/video.</w:t>
            </w:r>
          </w:p>
        </w:tc>
      </w:tr>
      <w:tr>
        <w:tc>
          <w:tcPr>
            <w:tcW w:type="dxa" w:w="1800"/>
            <w:vAlign w:val="center"/>
            <w:tcMar>
              <w:top w:w="80" w:type="dxa"/>
              <w:bottom w:w="80" w:type="dxa"/>
              <w:start w:w="120" w:type="dxa"/>
              <w:end w:w="120" w:type="dxa"/>
            </w:tcMar>
          </w:tcPr>
          <w:p>
            <w:pPr>
              <w:spacing w:after="40"/>
            </w:pPr>
            <w:r>
              <w:rPr>
                <w:rFonts w:ascii="Calibri" w:hAnsi="Calibri"/>
                <w:b w:val="0"/>
                <w:color w:val="0B2545"/>
                <w:sz w:val="16"/>
              </w:rPr>
              <w:t>Express API</w:t>
            </w:r>
          </w:p>
        </w:tc>
        <w:tc>
          <w:tcPr>
            <w:tcW w:type="dxa" w:w="2592"/>
            <w:vAlign w:val="center"/>
            <w:tcMar>
              <w:top w:w="80" w:type="dxa"/>
              <w:bottom w:w="80" w:type="dxa"/>
              <w:start w:w="120" w:type="dxa"/>
              <w:end w:w="120" w:type="dxa"/>
            </w:tcMar>
          </w:tcPr>
          <w:p>
            <w:pPr>
              <w:spacing w:after="40"/>
            </w:pPr>
            <w:r>
              <w:rPr>
                <w:rFonts w:ascii="Calibri" w:hAnsi="Calibri"/>
                <w:b w:val="0"/>
                <w:color w:val="0B2545"/>
                <w:sz w:val="16"/>
              </w:rPr>
              <w:t>BE_LMS/src/app.ts</w:t>
            </w:r>
          </w:p>
        </w:tc>
        <w:tc>
          <w:tcPr>
            <w:tcW w:type="dxa" w:w="4968"/>
            <w:vAlign w:val="center"/>
            <w:tcMar>
              <w:top w:w="80" w:type="dxa"/>
              <w:bottom w:w="80" w:type="dxa"/>
              <w:start w:w="120" w:type="dxa"/>
              <w:end w:w="120" w:type="dxa"/>
            </w:tcMar>
          </w:tcPr>
          <w:p>
            <w:pPr>
              <w:spacing w:after="40"/>
            </w:pPr>
            <w:r>
              <w:rPr>
                <w:rFonts w:ascii="Calibri" w:hAnsi="Calibri"/>
                <w:b w:val="0"/>
                <w:color w:val="0B2545"/>
                <w:sz w:val="16"/>
              </w:rPr>
              <w:t>Registers REST endpoints, CORS, cookies, custom response middleware, error handler, multer upload and Socket.IO server.</w:t>
            </w:r>
          </w:p>
        </w:tc>
      </w:tr>
      <w:tr>
        <w:tc>
          <w:tcPr>
            <w:tcW w:type="dxa" w:w="1800"/>
            <w:vAlign w:val="center"/>
            <w:tcMar>
              <w:top w:w="80" w:type="dxa"/>
              <w:bottom w:w="80" w:type="dxa"/>
              <w:start w:w="120" w:type="dxa"/>
              <w:end w:w="120" w:type="dxa"/>
            </w:tcMar>
          </w:tcPr>
          <w:p>
            <w:pPr>
              <w:spacing w:after="40"/>
            </w:pPr>
            <w:r>
              <w:rPr>
                <w:rFonts w:ascii="Calibri" w:hAnsi="Calibri"/>
                <w:b w:val="0"/>
                <w:color w:val="0B2545"/>
                <w:sz w:val="16"/>
              </w:rPr>
              <w:t>MongoDB/Mongoose</w:t>
            </w:r>
          </w:p>
        </w:tc>
        <w:tc>
          <w:tcPr>
            <w:tcW w:type="dxa" w:w="2592"/>
            <w:vAlign w:val="center"/>
            <w:tcMar>
              <w:top w:w="80" w:type="dxa"/>
              <w:bottom w:w="80" w:type="dxa"/>
              <w:start w:w="120" w:type="dxa"/>
              <w:end w:w="120" w:type="dxa"/>
            </w:tcMar>
          </w:tcPr>
          <w:p>
            <w:pPr>
              <w:spacing w:after="40"/>
            </w:pPr>
            <w:r>
              <w:rPr>
                <w:rFonts w:ascii="Calibri" w:hAnsi="Calibri"/>
                <w:b w:val="0"/>
                <w:color w:val="0B2545"/>
                <w:sz w:val="16"/>
              </w:rPr>
              <w:t>BE_LMS/src/models</w:t>
            </w:r>
          </w:p>
        </w:tc>
        <w:tc>
          <w:tcPr>
            <w:tcW w:type="dxa" w:w="4968"/>
            <w:vAlign w:val="center"/>
            <w:tcMar>
              <w:top w:w="80" w:type="dxa"/>
              <w:bottom w:w="80" w:type="dxa"/>
              <w:start w:w="120" w:type="dxa"/>
              <w:end w:w="120" w:type="dxa"/>
            </w:tcMar>
          </w:tcPr>
          <w:p>
            <w:pPr>
              <w:spacing w:after="40"/>
            </w:pPr>
            <w:r>
              <w:rPr>
                <w:rFonts w:ascii="Calibri" w:hAnsi="Calibri"/>
                <w:b w:val="0"/>
                <w:color w:val="0B2545"/>
                <w:sz w:val="16"/>
              </w:rPr>
              <w:t>Stores all business documents using 31 Mongoose models with refs and indexes.</w:t>
            </w:r>
          </w:p>
        </w:tc>
      </w:tr>
      <w:tr>
        <w:tc>
          <w:tcPr>
            <w:tcW w:type="dxa" w:w="1800"/>
            <w:vAlign w:val="center"/>
            <w:tcMar>
              <w:top w:w="80" w:type="dxa"/>
              <w:bottom w:w="80" w:type="dxa"/>
              <w:start w:w="120" w:type="dxa"/>
              <w:end w:w="120" w:type="dxa"/>
            </w:tcMar>
          </w:tcPr>
          <w:p>
            <w:pPr>
              <w:spacing w:after="40"/>
            </w:pPr>
            <w:r>
              <w:rPr>
                <w:rFonts w:ascii="Calibri" w:hAnsi="Calibri"/>
                <w:b w:val="0"/>
                <w:color w:val="0B2545"/>
                <w:sz w:val="16"/>
              </w:rPr>
              <w:t>MinIO/S3</w:t>
            </w:r>
          </w:p>
        </w:tc>
        <w:tc>
          <w:tcPr>
            <w:tcW w:type="dxa" w:w="2592"/>
            <w:vAlign w:val="center"/>
            <w:tcMar>
              <w:top w:w="80" w:type="dxa"/>
              <w:bottom w:w="80" w:type="dxa"/>
              <w:start w:w="120" w:type="dxa"/>
              <w:end w:w="120" w:type="dxa"/>
            </w:tcMar>
          </w:tcPr>
          <w:p>
            <w:pPr>
              <w:spacing w:after="40"/>
            </w:pPr>
            <w:r>
              <w:rPr>
                <w:rFonts w:ascii="Calibri" w:hAnsi="Calibri"/>
                <w:b w:val="0"/>
                <w:color w:val="0B2545"/>
                <w:sz w:val="16"/>
              </w:rPr>
              <w:t>BE_LMS/src/config/minio.ts, utils/uploadFile.ts</w:t>
            </w:r>
          </w:p>
        </w:tc>
        <w:tc>
          <w:tcPr>
            <w:tcW w:type="dxa" w:w="4968"/>
            <w:vAlign w:val="center"/>
            <w:tcMar>
              <w:top w:w="80" w:type="dxa"/>
              <w:bottom w:w="80" w:type="dxa"/>
              <w:start w:w="120" w:type="dxa"/>
              <w:end w:w="120" w:type="dxa"/>
            </w:tcMar>
          </w:tcPr>
          <w:p>
            <w:pPr>
              <w:spacing w:after="40"/>
            </w:pPr>
            <w:r>
              <w:rPr>
                <w:rFonts w:ascii="Calibri" w:hAnsi="Calibri"/>
                <w:b w:val="0"/>
                <w:color w:val="0B2545"/>
                <w:sz w:val="16"/>
              </w:rPr>
              <w:t>Stores binary files: lesson material, course logo, submissions, feedback attachments and chat files.</w:t>
            </w:r>
          </w:p>
        </w:tc>
      </w:tr>
      <w:tr>
        <w:tc>
          <w:tcPr>
            <w:tcW w:type="dxa" w:w="1800"/>
            <w:vAlign w:val="center"/>
            <w:tcMar>
              <w:top w:w="80" w:type="dxa"/>
              <w:bottom w:w="80" w:type="dxa"/>
              <w:start w:w="120" w:type="dxa"/>
              <w:end w:w="120" w:type="dxa"/>
            </w:tcMar>
          </w:tcPr>
          <w:p>
            <w:pPr>
              <w:spacing w:after="40"/>
            </w:pPr>
            <w:r>
              <w:rPr>
                <w:rFonts w:ascii="Calibri" w:hAnsi="Calibri"/>
                <w:b w:val="0"/>
                <w:color w:val="0B2545"/>
                <w:sz w:val="16"/>
              </w:rPr>
              <w:t>Resend</w:t>
            </w:r>
          </w:p>
        </w:tc>
        <w:tc>
          <w:tcPr>
            <w:tcW w:type="dxa" w:w="2592"/>
            <w:vAlign w:val="center"/>
            <w:tcMar>
              <w:top w:w="80" w:type="dxa"/>
              <w:bottom w:w="80" w:type="dxa"/>
              <w:start w:w="120" w:type="dxa"/>
              <w:end w:w="120" w:type="dxa"/>
            </w:tcMar>
          </w:tcPr>
          <w:p>
            <w:pPr>
              <w:spacing w:after="40"/>
            </w:pPr>
            <w:r>
              <w:rPr>
                <w:rFonts w:ascii="Calibri" w:hAnsi="Calibri"/>
                <w:b w:val="0"/>
                <w:color w:val="0B2545"/>
                <w:sz w:val="16"/>
              </w:rPr>
              <w:t>BE_LMS/src/utils/sendMail.ts</w:t>
            </w:r>
          </w:p>
        </w:tc>
        <w:tc>
          <w:tcPr>
            <w:tcW w:type="dxa" w:w="4968"/>
            <w:vAlign w:val="center"/>
            <w:tcMar>
              <w:top w:w="80" w:type="dxa"/>
              <w:bottom w:w="80" w:type="dxa"/>
              <w:start w:w="120" w:type="dxa"/>
              <w:end w:w="120" w:type="dxa"/>
            </w:tcMar>
          </w:tcPr>
          <w:p>
            <w:pPr>
              <w:spacing w:after="40"/>
            </w:pPr>
            <w:r>
              <w:rPr>
                <w:rFonts w:ascii="Calibri" w:hAnsi="Calibri"/>
                <w:b w:val="0"/>
                <w:color w:val="0B2545"/>
                <w:sz w:val="16"/>
              </w:rPr>
              <w:t>Sends email verification, password reset, invite and absence warning emails.</w:t>
            </w:r>
          </w:p>
        </w:tc>
      </w:tr>
      <w:tr>
        <w:tc>
          <w:tcPr>
            <w:tcW w:type="dxa" w:w="1800"/>
            <w:vAlign w:val="center"/>
            <w:tcMar>
              <w:top w:w="80" w:type="dxa"/>
              <w:bottom w:w="80" w:type="dxa"/>
              <w:start w:w="120" w:type="dxa"/>
              <w:end w:w="120" w:type="dxa"/>
            </w:tcMar>
          </w:tcPr>
          <w:p>
            <w:pPr>
              <w:spacing w:after="40"/>
            </w:pPr>
            <w:r>
              <w:rPr>
                <w:rFonts w:ascii="Calibri" w:hAnsi="Calibri"/>
                <w:b w:val="0"/>
                <w:color w:val="0B2545"/>
                <w:sz w:val="16"/>
              </w:rPr>
              <w:t>Socket.IO</w:t>
            </w:r>
          </w:p>
        </w:tc>
        <w:tc>
          <w:tcPr>
            <w:tcW w:type="dxa" w:w="2592"/>
            <w:vAlign w:val="center"/>
            <w:tcMar>
              <w:top w:w="80" w:type="dxa"/>
              <w:bottom w:w="80" w:type="dxa"/>
              <w:start w:w="120" w:type="dxa"/>
              <w:end w:w="120" w:type="dxa"/>
            </w:tcMar>
          </w:tcPr>
          <w:p>
            <w:pPr>
              <w:spacing w:after="40"/>
            </w:pPr>
            <w:r>
              <w:rPr>
                <w:rFonts w:ascii="Calibri" w:hAnsi="Calibri"/>
                <w:b w:val="0"/>
                <w:color w:val="0B2545"/>
                <w:sz w:val="16"/>
              </w:rPr>
              <w:t>BE_LMS/src/socket</w:t>
            </w:r>
          </w:p>
        </w:tc>
        <w:tc>
          <w:tcPr>
            <w:tcW w:type="dxa" w:w="4968"/>
            <w:vAlign w:val="center"/>
            <w:tcMar>
              <w:top w:w="80" w:type="dxa"/>
              <w:bottom w:w="80" w:type="dxa"/>
              <w:start w:w="120" w:type="dxa"/>
              <w:end w:w="120" w:type="dxa"/>
            </w:tcMar>
          </w:tcPr>
          <w:p>
            <w:pPr>
              <w:spacing w:after="40"/>
            </w:pPr>
            <w:r>
              <w:rPr>
                <w:rFonts w:ascii="Calibri" w:hAnsi="Calibri"/>
                <w:b w:val="0"/>
                <w:color w:val="0B2545"/>
                <w:sz w:val="16"/>
              </w:rPr>
              <w:t>Authenticates socket by JWT cookie, joins chat rooms, broadcasts messages and relays WebRTC signaling.</w:t>
            </w:r>
          </w:p>
        </w:tc>
      </w:tr>
      <w:tr>
        <w:tc>
          <w:tcPr>
            <w:tcW w:type="dxa" w:w="1800"/>
            <w:vAlign w:val="center"/>
            <w:tcMar>
              <w:top w:w="80" w:type="dxa"/>
              <w:bottom w:w="80" w:type="dxa"/>
              <w:start w:w="120" w:type="dxa"/>
              <w:end w:w="120" w:type="dxa"/>
            </w:tcMar>
          </w:tcPr>
          <w:p>
            <w:pPr>
              <w:spacing w:after="40"/>
            </w:pPr>
            <w:r>
              <w:rPr>
                <w:rFonts w:ascii="Calibri" w:hAnsi="Calibri"/>
                <w:b w:val="0"/>
                <w:color w:val="0B2545"/>
                <w:sz w:val="16"/>
              </w:rPr>
              <w:t>Google OAuth</w:t>
            </w:r>
          </w:p>
        </w:tc>
        <w:tc>
          <w:tcPr>
            <w:tcW w:type="dxa" w:w="2592"/>
            <w:vAlign w:val="center"/>
            <w:tcMar>
              <w:top w:w="80" w:type="dxa"/>
              <w:bottom w:w="80" w:type="dxa"/>
              <w:start w:w="120" w:type="dxa"/>
              <w:end w:w="120" w:type="dxa"/>
            </w:tcMar>
          </w:tcPr>
          <w:p>
            <w:pPr>
              <w:spacing w:after="40"/>
            </w:pPr>
            <w:r>
              <w:rPr>
                <w:rFonts w:ascii="Calibri" w:hAnsi="Calibri"/>
                <w:b w:val="0"/>
                <w:color w:val="0B2545"/>
                <w:sz w:val="16"/>
              </w:rPr>
              <w:t>auth.service.ts</w:t>
            </w:r>
          </w:p>
        </w:tc>
        <w:tc>
          <w:tcPr>
            <w:tcW w:type="dxa" w:w="4968"/>
            <w:vAlign w:val="center"/>
            <w:tcMar>
              <w:top w:w="80" w:type="dxa"/>
              <w:bottom w:w="80" w:type="dxa"/>
              <w:start w:w="120" w:type="dxa"/>
              <w:end w:w="120" w:type="dxa"/>
            </w:tcMar>
          </w:tcPr>
          <w:p>
            <w:pPr>
              <w:spacing w:after="40"/>
            </w:pPr>
            <w:r>
              <w:rPr>
                <w:rFonts w:ascii="Calibri" w:hAnsi="Calibri"/>
                <w:b w:val="0"/>
                <w:color w:val="0B2545"/>
                <w:sz w:val="16"/>
              </w:rPr>
              <w:t>Optional OAuth login; creates/updates verified users and sessions.</w:t>
            </w:r>
          </w:p>
        </w:tc>
      </w:tr>
    </w:tbl>
    <w:p/>
    <w:p>
      <w:r>
        <w:rPr>
          <w:rFonts w:ascii="Calibri" w:hAnsi="Calibri"/>
        </w:rPr>
        <w:t>Key architectural rule: HTTP request processing follows the same chain across modules: route -&gt; middleware -&gt; controller -&gt; validator -&gt; service -&gt; model/external integration -&gt; custom response. Realtime events follow socket middleware -&gt; event handler -&gt; service/model -&gt; room emission.</w:t>
      </w:r>
    </w:p>
    <w:p>
      <w:pPr>
        <w:pStyle w:val="Heading3"/>
      </w:pPr>
      <w:r>
        <w:t>1.2 Package Diagram</w:t>
      </w:r>
    </w:p>
    <w:p>
      <w:r>
        <w:rPr>
          <w:rFonts w:ascii="Calibri" w:hAnsi="Calibri"/>
        </w:rPr>
        <w:t>The backend is organized as a layered architecture. routes and socket are the entry points, controllers coordinate request/response, services own business rules, models own persistence, while middleware/validators/utils/config/types/constants are cross-cutting support packages.</w:t>
      </w:r>
    </w:p>
    <w:p>
      <w:pPr>
        <w:jc w:val="center"/>
      </w:pPr>
      <w:r>
        <w:drawing>
          <wp:inline xmlns:a="http://schemas.openxmlformats.org/drawingml/2006/main" xmlns:pic="http://schemas.openxmlformats.org/drawingml/2006/picture">
            <wp:extent cx="5943600" cy="3632200"/>
            <wp:docPr id="2" name="Picture 2"/>
            <wp:cNvGraphicFramePr>
              <a:graphicFrameLocks noChangeAspect="1"/>
            </wp:cNvGraphicFramePr>
            <a:graphic>
              <a:graphicData uri="http://schemas.openxmlformats.org/drawingml/2006/picture">
                <pic:pic>
                  <pic:nvPicPr>
                    <pic:cNvPr id="0" name="02_backend_package_diagram.png"/>
                    <pic:cNvPicPr/>
                  </pic:nvPicPr>
                  <pic:blipFill>
                    <a:blip r:embed="rId11"/>
                    <a:stretch>
                      <a:fillRect/>
                    </a:stretch>
                  </pic:blipFill>
                  <pic:spPr>
                    <a:xfrm>
                      <a:off x="0" y="0"/>
                      <a:ext cx="5943600" cy="3632200"/>
                    </a:xfrm>
                    <a:prstGeom prst="rect"/>
                  </pic:spPr>
                </pic:pic>
              </a:graphicData>
            </a:graphic>
          </wp:inline>
        </w:drawing>
      </w:r>
    </w:p>
    <w:p>
      <w:pPr>
        <w:spacing w:after="160"/>
        <w:jc w:val="center"/>
      </w:pPr>
      <w:r>
        <w:rPr>
          <w:rFonts w:ascii="Calibri" w:hAnsi="Calibri"/>
          <w:b w:val="0"/>
          <w:i/>
          <w:color w:val="5A6673"/>
          <w:sz w:val="18"/>
        </w:rPr>
        <w:t>Figure 2. Backend package diagram.</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648"/>
            <w:vAlign w:val="center"/>
            <w:tcMar>
              <w:top w:w="80" w:type="dxa"/>
              <w:bottom w:w="80" w:type="dxa"/>
              <w:start w:w="120" w:type="dxa"/>
              <w:end w:w="120" w:type="dxa"/>
            </w:tcMar>
            <w:shd w:fill="F2F4F7"/>
          </w:tcPr>
          <w:p>
            <w:pPr>
              <w:spacing w:after="40"/>
            </w:pPr>
            <w:r>
              <w:rPr>
                <w:rFonts w:ascii="Calibri" w:hAnsi="Calibri"/>
                <w:b/>
                <w:color w:val="0B2545"/>
                <w:sz w:val="16"/>
              </w:rPr>
              <w:t>No</w:t>
            </w:r>
          </w:p>
        </w:tc>
        <w:tc>
          <w:tcPr>
            <w:tcW w:type="dxa" w:w="1800"/>
            <w:vAlign w:val="center"/>
            <w:tcMar>
              <w:top w:w="80" w:type="dxa"/>
              <w:bottom w:w="80" w:type="dxa"/>
              <w:start w:w="120" w:type="dxa"/>
              <w:end w:w="120" w:type="dxa"/>
            </w:tcMar>
            <w:shd w:fill="F2F4F7"/>
          </w:tcPr>
          <w:p>
            <w:pPr>
              <w:spacing w:after="40"/>
            </w:pPr>
            <w:r>
              <w:rPr>
                <w:rFonts w:ascii="Calibri" w:hAnsi="Calibri"/>
                <w:b/>
                <w:color w:val="0B2545"/>
                <w:sz w:val="16"/>
              </w:rPr>
              <w:t>Package</w:t>
            </w:r>
          </w:p>
        </w:tc>
        <w:tc>
          <w:tcPr>
            <w:tcW w:type="dxa" w:w="6912"/>
            <w:vAlign w:val="center"/>
            <w:tcMar>
              <w:top w:w="80" w:type="dxa"/>
              <w:bottom w:w="80" w:type="dxa"/>
              <w:start w:w="120" w:type="dxa"/>
              <w:end w:w="120" w:type="dxa"/>
            </w:tcMar>
            <w:shd w:fill="F2F4F7"/>
          </w:tcPr>
          <w:p>
            <w:pPr>
              <w:spacing w:after="40"/>
            </w:pPr>
            <w:r>
              <w:rPr>
                <w:rFonts w:ascii="Calibri" w:hAnsi="Calibri"/>
                <w:b/>
                <w:color w:val="0B2545"/>
                <w:sz w:val="16"/>
              </w:rPr>
              <w:t>Description</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01</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routes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Đăng ký endpoint REST như /auth, /courses, /enrollments, /quiz-attempts; gắn middleware authenticate/authorize và chuyển request đến controller.</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02</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controller</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Nhận request/response Express, parse dữ liệu qua validator, lấy user context từ middleware và gọi service tương ứng.</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03</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services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Chứa nghiệp vụ lõi: kiểm tra prerequisite, capacity, cooldown, grading, attendance threshold, soft delete và transaction.</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04</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models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Định nghĩa Mongoose schema, collection, ref, index và hook cho 31 entity nghiệp vụ.</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05</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middleware</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Xác thực JWT, phân quyền RBAC, response helper, error handler tập trung.</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06</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validators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Schema kiểm tra request theo từng module để chặn dữ liệu sai trước khi vào service.</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07</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socket</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Khởi tạo Socket.IO, xác thực socket qua cookie, xử lý chat room, typing, seen state và WebRTC signaling.</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08</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config</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Cấu hình MongoDB, Multer memory storage, MinIO/S3 client, Resend và biến môi trường.</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09</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utils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Hàm dùng chung: JWT, bcrypt, sendMail, uploadFile, presigned URL, prefix file, appAssert/AppError.</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10</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types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Interface, enum và DTO TypeScript: Role, CourseStatus, EnrollmentStatus, AttemptStatus, AttendanceStatus...</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11</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constants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HTTP status, mã lỗi ứng dụng, regex, giới hạn field, env constants.</w:t>
            </w:r>
          </w:p>
        </w:tc>
      </w:tr>
    </w:tbl>
    <w:p/>
    <w:p>
      <w:r>
        <w:rPr>
          <w:rFonts w:ascii="Calibri" w:hAnsi="Calibri"/>
        </w:rPr>
        <w:t>The frontend separates navigation, feature pages, reusable components, service clients, state stores, hooks and shared type definitions. This keeps API integration and UI rendering independent while still matching the backend module names.</w:t>
      </w:r>
    </w:p>
    <w:p>
      <w:pPr>
        <w:jc w:val="center"/>
      </w:pPr>
      <w:r>
        <w:drawing>
          <wp:inline xmlns:a="http://schemas.openxmlformats.org/drawingml/2006/main" xmlns:pic="http://schemas.openxmlformats.org/drawingml/2006/picture">
            <wp:extent cx="5943600" cy="3632200"/>
            <wp:docPr id="3" name="Picture 3"/>
            <wp:cNvGraphicFramePr>
              <a:graphicFrameLocks noChangeAspect="1"/>
            </wp:cNvGraphicFramePr>
            <a:graphic>
              <a:graphicData uri="http://schemas.openxmlformats.org/drawingml/2006/picture">
                <pic:pic>
                  <pic:nvPicPr>
                    <pic:cNvPr id="0" name="03_frontend_package_diagram.png"/>
                    <pic:cNvPicPr/>
                  </pic:nvPicPr>
                  <pic:blipFill>
                    <a:blip r:embed="rId12"/>
                    <a:stretch>
                      <a:fillRect/>
                    </a:stretch>
                  </pic:blipFill>
                  <pic:spPr>
                    <a:xfrm>
                      <a:off x="0" y="0"/>
                      <a:ext cx="5943600" cy="3632200"/>
                    </a:xfrm>
                    <a:prstGeom prst="rect"/>
                  </pic:spPr>
                </pic:pic>
              </a:graphicData>
            </a:graphic>
          </wp:inline>
        </w:drawing>
      </w:r>
    </w:p>
    <w:p>
      <w:pPr>
        <w:spacing w:after="160"/>
        <w:jc w:val="center"/>
      </w:pPr>
      <w:r>
        <w:rPr>
          <w:rFonts w:ascii="Calibri" w:hAnsi="Calibri"/>
          <w:b w:val="0"/>
          <w:i/>
          <w:color w:val="5A6673"/>
          <w:sz w:val="18"/>
        </w:rPr>
        <w:t>Figure 3. Frontend package diagram.</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648"/>
            <w:vAlign w:val="center"/>
            <w:tcMar>
              <w:top w:w="80" w:type="dxa"/>
              <w:bottom w:w="80" w:type="dxa"/>
              <w:start w:w="120" w:type="dxa"/>
              <w:end w:w="120" w:type="dxa"/>
            </w:tcMar>
            <w:shd w:fill="F2F4F7"/>
          </w:tcPr>
          <w:p>
            <w:pPr>
              <w:spacing w:after="40"/>
            </w:pPr>
            <w:r>
              <w:rPr>
                <w:rFonts w:ascii="Calibri" w:hAnsi="Calibri"/>
                <w:b/>
                <w:color w:val="0B2545"/>
                <w:sz w:val="16"/>
              </w:rPr>
              <w:t>No</w:t>
            </w:r>
          </w:p>
        </w:tc>
        <w:tc>
          <w:tcPr>
            <w:tcW w:type="dxa" w:w="1800"/>
            <w:vAlign w:val="center"/>
            <w:tcMar>
              <w:top w:w="80" w:type="dxa"/>
              <w:bottom w:w="80" w:type="dxa"/>
              <w:start w:w="120" w:type="dxa"/>
              <w:end w:w="120" w:type="dxa"/>
            </w:tcMar>
            <w:shd w:fill="F2F4F7"/>
          </w:tcPr>
          <w:p>
            <w:pPr>
              <w:spacing w:after="40"/>
            </w:pPr>
            <w:r>
              <w:rPr>
                <w:rFonts w:ascii="Calibri" w:hAnsi="Calibri"/>
                <w:b/>
                <w:color w:val="0B2545"/>
                <w:sz w:val="16"/>
              </w:rPr>
              <w:t>Package</w:t>
            </w:r>
          </w:p>
        </w:tc>
        <w:tc>
          <w:tcPr>
            <w:tcW w:type="dxa" w:w="6912"/>
            <w:vAlign w:val="center"/>
            <w:tcMar>
              <w:top w:w="80" w:type="dxa"/>
              <w:bottom w:w="80" w:type="dxa"/>
              <w:start w:w="120" w:type="dxa"/>
              <w:end w:w="120" w:type="dxa"/>
            </w:tcMar>
            <w:shd w:fill="F2F4F7"/>
          </w:tcPr>
          <w:p>
            <w:pPr>
              <w:spacing w:after="40"/>
            </w:pPr>
            <w:r>
              <w:rPr>
                <w:rFonts w:ascii="Calibri" w:hAnsi="Calibri"/>
                <w:b/>
                <w:color w:val="0B2545"/>
                <w:sz w:val="16"/>
              </w:rPr>
              <w:t>Description</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01</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routes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Khai báo React Router, ProtectedRoute và phân nhánh màn hình theo student/teacher/admin.</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02</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pages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Các màn hình nghiệp vụ: dashboard, courses, quizzes, assignments, attendance, forum, chat, feedback, curriculum.</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03</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components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UI tái sử dụng: layout, course tabs, quiz cards, calendar, chat window, video call, lesson material viewer.</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04</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services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Axios API client theo module: auth, course, enrollment, quiz, submission, lesson material, chat room...</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05</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stores/context</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State chung bằng Zustand/Context: auth, chat rooms, floating chat, video call, socket, theme.</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06</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hooks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Hook điều phối message, unread chat, video call, debounce, auth và theme.</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07</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types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TypeScript contract dùng ở FE cho Course, Quiz, Assignment, Schedule, Feedback, Auth...</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08</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utils</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Tiện ích HTTP, date, slug, markdown sanitize/render.</w:t>
            </w:r>
          </w:p>
        </w:tc>
      </w:tr>
      <w:tr>
        <w:tc>
          <w:tcPr>
            <w:tcW w:type="dxa" w:w="648"/>
            <w:vAlign w:val="center"/>
            <w:tcMar>
              <w:top w:w="80" w:type="dxa"/>
              <w:bottom w:w="80" w:type="dxa"/>
              <w:start w:w="120" w:type="dxa"/>
              <w:end w:w="120" w:type="dxa"/>
            </w:tcMar>
          </w:tcPr>
          <w:p>
            <w:pPr>
              <w:spacing w:after="40"/>
            </w:pPr>
            <w:r>
              <w:rPr>
                <w:rFonts w:ascii="Calibri" w:hAnsi="Calibri"/>
                <w:b w:val="0"/>
                <w:color w:val="0B2545"/>
                <w:sz w:val="16"/>
              </w:rPr>
              <w:t>09</w:t>
            </w:r>
          </w:p>
        </w:tc>
        <w:tc>
          <w:tcPr>
            <w:tcW w:type="dxa" w:w="1800"/>
            <w:vAlign w:val="center"/>
            <w:tcMar>
              <w:top w:w="80" w:type="dxa"/>
              <w:bottom w:w="80" w:type="dxa"/>
              <w:start w:w="120" w:type="dxa"/>
              <w:end w:w="120" w:type="dxa"/>
            </w:tcMar>
          </w:tcPr>
          <w:p>
            <w:pPr>
              <w:spacing w:after="40"/>
            </w:pPr>
            <w:r>
              <w:rPr>
                <w:rFonts w:ascii="Calibri" w:hAnsi="Calibri"/>
                <w:b w:val="0"/>
                <w:color w:val="0B2545"/>
                <w:sz w:val="16"/>
              </w:rPr>
              <w:t>assets/public</w:t>
            </w:r>
          </w:p>
        </w:tc>
        <w:tc>
          <w:tcPr>
            <w:tcW w:type="dxa" w:w="6912"/>
            <w:vAlign w:val="center"/>
            <w:tcMar>
              <w:top w:w="80" w:type="dxa"/>
              <w:bottom w:w="80" w:type="dxa"/>
              <w:start w:w="120" w:type="dxa"/>
              <w:end w:w="120" w:type="dxa"/>
            </w:tcMar>
          </w:tcPr>
          <w:p>
            <w:pPr>
              <w:spacing w:after="40"/>
            </w:pPr>
            <w:r>
              <w:rPr>
                <w:rFonts w:ascii="Calibri" w:hAnsi="Calibri"/>
                <w:b w:val="0"/>
                <w:color w:val="0B2545"/>
                <w:sz w:val="16"/>
              </w:rPr>
              <w:t>Texture, model, audio và tài nguyên tĩnh dùng cho trải nghiệm học tập.</w:t>
            </w:r>
          </w:p>
        </w:tc>
      </w:tr>
    </w:tbl>
    <w:p/>
    <w:p>
      <w:pPr>
        <w:pStyle w:val="Heading2"/>
      </w:pPr>
      <w:r>
        <w:t>2. Database Design</w:t>
      </w:r>
    </w:p>
    <w:p>
      <w:r>
        <w:rPr>
          <w:rFonts w:ascii="Calibri" w:hAnsi="Calibri"/>
        </w:rPr>
        <w:t>The database layer uses MongoDB documents through Mongoose. All collections use MongoDB _id as the primary key. Relationships are represented through ObjectId refs, with indexes used for uniqueness, filtering and operational safety.</w:t>
      </w:r>
    </w:p>
    <w:p>
      <w:pPr>
        <w:jc w:val="center"/>
      </w:pPr>
      <w:r>
        <w:drawing>
          <wp:inline xmlns:a="http://schemas.openxmlformats.org/drawingml/2006/main" xmlns:pic="http://schemas.openxmlformats.org/drawingml/2006/picture">
            <wp:extent cx="5943600" cy="3632200"/>
            <wp:docPr id="4" name="Picture 4"/>
            <wp:cNvGraphicFramePr>
              <a:graphicFrameLocks noChangeAspect="1"/>
            </wp:cNvGraphicFramePr>
            <a:graphic>
              <a:graphicData uri="http://schemas.openxmlformats.org/drawingml/2006/picture">
                <pic:pic>
                  <pic:nvPicPr>
                    <pic:cNvPr id="0" name="04_erd_core.png"/>
                    <pic:cNvPicPr/>
                  </pic:nvPicPr>
                  <pic:blipFill>
                    <a:blip r:embed="rId13"/>
                    <a:stretch>
                      <a:fillRect/>
                    </a:stretch>
                  </pic:blipFill>
                  <pic:spPr>
                    <a:xfrm>
                      <a:off x="0" y="0"/>
                      <a:ext cx="5943600" cy="3632200"/>
                    </a:xfrm>
                    <a:prstGeom prst="rect"/>
                  </pic:spPr>
                </pic:pic>
              </a:graphicData>
            </a:graphic>
          </wp:inline>
        </w:drawing>
      </w:r>
    </w:p>
    <w:p>
      <w:pPr>
        <w:spacing w:after="160"/>
        <w:jc w:val="center"/>
      </w:pPr>
      <w:r>
        <w:rPr>
          <w:rFonts w:ascii="Calibri" w:hAnsi="Calibri"/>
          <w:b w:val="0"/>
          <w:i/>
          <w:color w:val="5A6673"/>
          <w:sz w:val="18"/>
        </w:rPr>
        <w:t>Figure 4. ERD for core academic domain.</w:t>
      </w:r>
    </w:p>
    <w:p>
      <w:pPr>
        <w:jc w:val="center"/>
      </w:pPr>
      <w:r>
        <w:drawing>
          <wp:inline xmlns:a="http://schemas.openxmlformats.org/drawingml/2006/main" xmlns:pic="http://schemas.openxmlformats.org/drawingml/2006/picture">
            <wp:extent cx="5943600" cy="3632200"/>
            <wp:docPr id="5" name="Picture 5"/>
            <wp:cNvGraphicFramePr>
              <a:graphicFrameLocks noChangeAspect="1"/>
            </wp:cNvGraphicFramePr>
            <a:graphic>
              <a:graphicData uri="http://schemas.openxmlformats.org/drawingml/2006/picture">
                <pic:pic>
                  <pic:nvPicPr>
                    <pic:cNvPr id="0" name="05_erd_learning_assessment.png"/>
                    <pic:cNvPicPr/>
                  </pic:nvPicPr>
                  <pic:blipFill>
                    <a:blip r:embed="rId14"/>
                    <a:stretch>
                      <a:fillRect/>
                    </a:stretch>
                  </pic:blipFill>
                  <pic:spPr>
                    <a:xfrm>
                      <a:off x="0" y="0"/>
                      <a:ext cx="5943600" cy="3632200"/>
                    </a:xfrm>
                    <a:prstGeom prst="rect"/>
                  </pic:spPr>
                </pic:pic>
              </a:graphicData>
            </a:graphic>
          </wp:inline>
        </w:drawing>
      </w:r>
    </w:p>
    <w:p>
      <w:pPr>
        <w:spacing w:after="160"/>
        <w:jc w:val="center"/>
      </w:pPr>
      <w:r>
        <w:rPr>
          <w:rFonts w:ascii="Calibri" w:hAnsi="Calibri"/>
          <w:b w:val="0"/>
          <w:i/>
          <w:color w:val="5A6673"/>
          <w:sz w:val="18"/>
        </w:rPr>
        <w:t>Figure 5. ERD for learning content and assessment.</w:t>
      </w:r>
    </w:p>
    <w:p>
      <w:pPr>
        <w:jc w:val="center"/>
      </w:pPr>
      <w:r>
        <w:drawing>
          <wp:inline xmlns:a="http://schemas.openxmlformats.org/drawingml/2006/main" xmlns:pic="http://schemas.openxmlformats.org/drawingml/2006/picture">
            <wp:extent cx="5943600" cy="3632200"/>
            <wp:docPr id="6" name="Picture 6"/>
            <wp:cNvGraphicFramePr>
              <a:graphicFrameLocks noChangeAspect="1"/>
            </wp:cNvGraphicFramePr>
            <a:graphic>
              <a:graphicData uri="http://schemas.openxmlformats.org/drawingml/2006/picture">
                <pic:pic>
                  <pic:nvPicPr>
                    <pic:cNvPr id="0" name="06_erd_schedule_attendance.png"/>
                    <pic:cNvPicPr/>
                  </pic:nvPicPr>
                  <pic:blipFill>
                    <a:blip r:embed="rId15"/>
                    <a:stretch>
                      <a:fillRect/>
                    </a:stretch>
                  </pic:blipFill>
                  <pic:spPr>
                    <a:xfrm>
                      <a:off x="0" y="0"/>
                      <a:ext cx="5943600" cy="3632200"/>
                    </a:xfrm>
                    <a:prstGeom prst="rect"/>
                  </pic:spPr>
                </pic:pic>
              </a:graphicData>
            </a:graphic>
          </wp:inline>
        </w:drawing>
      </w:r>
    </w:p>
    <w:p>
      <w:pPr>
        <w:spacing w:after="160"/>
        <w:jc w:val="center"/>
      </w:pPr>
      <w:r>
        <w:rPr>
          <w:rFonts w:ascii="Calibri" w:hAnsi="Calibri"/>
          <w:b w:val="0"/>
          <w:i/>
          <w:color w:val="5A6673"/>
          <w:sz w:val="18"/>
        </w:rPr>
        <w:t>Figure 6. ERD for schedule and attendance.</w:t>
      </w:r>
    </w:p>
    <w:p>
      <w:pPr>
        <w:jc w:val="center"/>
      </w:pPr>
      <w:r>
        <w:drawing>
          <wp:inline xmlns:a="http://schemas.openxmlformats.org/drawingml/2006/main" xmlns:pic="http://schemas.openxmlformats.org/drawingml/2006/picture">
            <wp:extent cx="5943600" cy="3632200"/>
            <wp:docPr id="7" name="Picture 7"/>
            <wp:cNvGraphicFramePr>
              <a:graphicFrameLocks noChangeAspect="1"/>
            </wp:cNvGraphicFramePr>
            <a:graphic>
              <a:graphicData uri="http://schemas.openxmlformats.org/drawingml/2006/picture">
                <pic:pic>
                  <pic:nvPicPr>
                    <pic:cNvPr id="0" name="07_erd_communication.png"/>
                    <pic:cNvPicPr/>
                  </pic:nvPicPr>
                  <pic:blipFill>
                    <a:blip r:embed="rId16"/>
                    <a:stretch>
                      <a:fillRect/>
                    </a:stretch>
                  </pic:blipFill>
                  <pic:spPr>
                    <a:xfrm>
                      <a:off x="0" y="0"/>
                      <a:ext cx="5943600" cy="3632200"/>
                    </a:xfrm>
                    <a:prstGeom prst="rect"/>
                  </pic:spPr>
                </pic:pic>
              </a:graphicData>
            </a:graphic>
          </wp:inline>
        </w:drawing>
      </w:r>
    </w:p>
    <w:p>
      <w:pPr>
        <w:spacing w:after="160"/>
        <w:jc w:val="center"/>
      </w:pPr>
      <w:r>
        <w:rPr>
          <w:rFonts w:ascii="Calibri" w:hAnsi="Calibri"/>
          <w:b w:val="0"/>
          <w:i/>
          <w:color w:val="5A6673"/>
          <w:sz w:val="18"/>
        </w:rPr>
        <w:t>Figure 7. ERD for communication and support modules.</w:t>
      </w:r>
    </w:p>
    <w:p>
      <w:pPr>
        <w:pStyle w:val="Heading3"/>
      </w:pPr>
      <w:r>
        <w:t>Table Descriptions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503"/>
            <w:vAlign w:val="center"/>
            <w:tcMar>
              <w:top w:w="80" w:type="dxa"/>
              <w:bottom w:w="80" w:type="dxa"/>
              <w:start w:w="120" w:type="dxa"/>
              <w:end w:w="120" w:type="dxa"/>
            </w:tcMar>
            <w:shd w:fill="F2F4F7"/>
          </w:tcPr>
          <w:p>
            <w:pPr>
              <w:spacing w:after="40"/>
            </w:pPr>
            <w:r>
              <w:rPr>
                <w:rFonts w:ascii="Calibri" w:hAnsi="Calibri"/>
                <w:b/>
                <w:color w:val="0B2545"/>
                <w:sz w:val="14"/>
              </w:rPr>
              <w:t>No</w:t>
            </w:r>
          </w:p>
        </w:tc>
        <w:tc>
          <w:tcPr>
            <w:tcW w:type="dxa" w:w="1655"/>
            <w:vAlign w:val="center"/>
            <w:tcMar>
              <w:top w:w="80" w:type="dxa"/>
              <w:bottom w:w="80" w:type="dxa"/>
              <w:start w:w="120" w:type="dxa"/>
              <w:end w:w="120" w:type="dxa"/>
            </w:tcMar>
            <w:shd w:fill="F2F4F7"/>
          </w:tcPr>
          <w:p>
            <w:pPr>
              <w:spacing w:after="40"/>
            </w:pPr>
            <w:r>
              <w:rPr>
                <w:rFonts w:ascii="Calibri" w:hAnsi="Calibri"/>
                <w:b/>
                <w:color w:val="0B2545"/>
                <w:sz w:val="14"/>
              </w:rPr>
              <w:t>Table / Collection</w:t>
            </w:r>
          </w:p>
        </w:tc>
        <w:tc>
          <w:tcPr>
            <w:tcW w:type="dxa" w:w="1080"/>
            <w:vAlign w:val="center"/>
            <w:tcMar>
              <w:top w:w="80" w:type="dxa"/>
              <w:bottom w:w="80" w:type="dxa"/>
              <w:start w:w="120" w:type="dxa"/>
              <w:end w:w="120" w:type="dxa"/>
            </w:tcMar>
            <w:shd w:fill="F2F4F7"/>
          </w:tcPr>
          <w:p>
            <w:pPr>
              <w:spacing w:after="40"/>
            </w:pPr>
            <w:r>
              <w:rPr>
                <w:rFonts w:ascii="Calibri" w:hAnsi="Calibri"/>
                <w:b/>
                <w:color w:val="0B2545"/>
                <w:sz w:val="14"/>
              </w:rPr>
              <w:t>Primary Key</w:t>
            </w:r>
          </w:p>
        </w:tc>
        <w:tc>
          <w:tcPr>
            <w:tcW w:type="dxa" w:w="2520"/>
            <w:vAlign w:val="center"/>
            <w:tcMar>
              <w:top w:w="80" w:type="dxa"/>
              <w:bottom w:w="80" w:type="dxa"/>
              <w:start w:w="120" w:type="dxa"/>
              <w:end w:w="120" w:type="dxa"/>
            </w:tcMar>
            <w:shd w:fill="F2F4F7"/>
          </w:tcPr>
          <w:p>
            <w:pPr>
              <w:spacing w:after="40"/>
            </w:pPr>
            <w:r>
              <w:rPr>
                <w:rFonts w:ascii="Calibri" w:hAnsi="Calibri"/>
                <w:b/>
                <w:color w:val="0B2545"/>
                <w:sz w:val="14"/>
              </w:rPr>
              <w:t>Foreign Keys</w:t>
            </w:r>
          </w:p>
        </w:tc>
        <w:tc>
          <w:tcPr>
            <w:tcW w:type="dxa" w:w="3600"/>
            <w:vAlign w:val="center"/>
            <w:tcMar>
              <w:top w:w="80" w:type="dxa"/>
              <w:bottom w:w="80" w:type="dxa"/>
              <w:start w:w="120" w:type="dxa"/>
              <w:end w:w="120" w:type="dxa"/>
            </w:tcMar>
            <w:shd w:fill="F2F4F7"/>
          </w:tcPr>
          <w:p>
            <w:pPr>
              <w:spacing w:after="40"/>
            </w:pPr>
            <w:r>
              <w:rPr>
                <w:rFonts w:ascii="Calibri" w:hAnsi="Calibri"/>
                <w:b/>
                <w:color w:val="0B2545"/>
                <w:sz w:val="14"/>
              </w:rPr>
              <w:t>Description</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01</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User</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specialistIds -&gt; Specialist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Tài khoản Student/Teacher/Admin; lưu email, mật khẩu bcrypt, role, trạng thái, hồ sơ, Google ID.</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02</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Session</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userId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Phiên đăng nhập dùng cho refresh token, user agent và thời hạn session.</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03</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VerificationCode</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userId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Mã tạm thời cho verify email và reset password, có email/type/expiresAt.</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04</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Specialist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majorId -&gt; Major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Chuyên ngành dùng để ràng buộc giáo viên với Subject/Course phù hợp.</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05</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Major</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Ngành học hoặc khoa, có name/slug/description và timestamp.</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06</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Subject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specialistIds -&gt; Specialist; prerequisites -&gt; Subject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Môn học chuẩn trong catalog; hỗ trợ prerequisite map, code, credits, active flag.</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07</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Semester</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Học kỳ/năm học với startDate/endDate; ràng buộc unique theo name và year/type.</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08</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Course</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semesterId -&gt; Semester; subjectId -&gt; Subject; teacherIds/createdBy/deletedBy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Lớp học cụ thể của một subject; có status draft/ongoing/completed, capacity, publish flag, weight, soft delete.</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09</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CourseInvite</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createdBy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Token join course có hash, expiry, maxUses, usedCount, active/deleted flags.</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10</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Enrollment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studentId/respondedBy -&gt; User; courseId -&gt; Course</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Bản ghi student tham gia course; trạng thái pending/approved/rejected/cancelled/dropped/completed và progress tổng hợp.</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11</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Lesson</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createdBy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Bài học trong course, có thứ tự, nội dung, duration, publish status.</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12</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LessonMaterial</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lessonId -&gt; Lesson; uploadedBy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Metadata tài liệu: title, note, originalName, mimeType, key MinIO, size.</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13</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LessonProgress</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lessonId -&gt; Lesson; courseId -&gt; Course; studentId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Theo dõi completedAt, timeSpentSeconds, lastAccessedAt cho từng student/lesson.</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14</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Quiz</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createdBy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Cấu hình quiz: title, time window, shuffleQuestions, snapshotQuestions, published flag.</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15</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QuizQuestion</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subjectId -&gt; Subject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Ngân hàng câu hỏi; lưu text, images, options, correctOptions, points, explanation.</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16</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QuizAttempt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quizId -&gt; Quiz; studentId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Lượt làm bài; lưu startedAt, submittedAt, duration, answers, score, status.</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17</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Assignment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createdBy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Bài tập tự luận/file upload; có maxScore, dueDate, allowLate và file đính kèm của đề.</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18</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Submission</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assignmentId -&gt; Assignment; studentId/gradedBy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Bài nộp của student; lưu file key, trạng thái, điểm, feedback, gradeHistory, isLate.</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19</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ClassSchedule</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teacherId/requestedBy/approvedBy -&gt; User; timeSlotId -&gt; TimeSlot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Lịch học tuần; model name là ClassSchedule, collection classschedules; có status và recurrencePattern.</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20</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TimeSlot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createdBy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Ca học chuẩn: slotNumber, startTime, endTime, duration, applicableDays.</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21</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ScheduleException</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scheduleId -&gt; ClassSchedule; courseId -&gt; Course; newTimeSlotId -&gt; TimeSlot; replacementTeacherId/requestedBy/approvedBy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Ngoại lệ lịch học: hủy, học bù, đổi phòng, đổi giáo viên, trạng thái duyệt.</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22</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Attendance</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studentId/markedBy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Điểm danh theo course-student-date, status notyet/present/absent; unique theo courseId/studentId/date.</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23</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Forum</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createdBy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Không gian thảo luận theo course; có title/description và text index.</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24</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ForumPost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forumId -&gt; Forum; authorId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Chủ đề thảo luận trong forum, hỗ trợ pinned và index theo forum/author.</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25</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ForumReply</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postId -&gt; ForumPost; authorId -&gt; User; parentReplyId -&gt; ForumReply</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Reply phân cấp cho forum post.</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26</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ChatRoom</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participants.userId/createdBy/seenBy -&gt; User; lastMessage.id -&gt; Message</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Phòng chat trực tiếp/nhóm; lưu participants, lastMessage, unreadCounts.</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27</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Message</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chatRoomId -&gt; ChatRoom; senderId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Tin nhắn text/link/file/system trong chat room; có metadata file khi gửi đính kèm.</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28</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Notification</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sender/recipientUser -&gt; User; recipientCourse -&gt; Course</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Thông báo trong hệ thống; có recipientType, isRead, soft delete.</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29</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Announcement</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courseId -&gt; Course; authorId -&gt; User</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Thông báo course/system với title/content/publishedAt.</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30</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Blog</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Bài viết public; có title, slug unique, content, thumbnailUrl, authorName, avatar.</w:t>
            </w:r>
          </w:p>
        </w:tc>
      </w:tr>
      <w:tr>
        <w:tc>
          <w:tcPr>
            <w:tcW w:type="dxa" w:w="503"/>
            <w:vAlign w:val="center"/>
            <w:tcMar>
              <w:top w:w="80" w:type="dxa"/>
              <w:bottom w:w="80" w:type="dxa"/>
              <w:start w:w="120" w:type="dxa"/>
              <w:end w:w="120" w:type="dxa"/>
            </w:tcMar>
          </w:tcPr>
          <w:p>
            <w:pPr>
              <w:spacing w:after="40"/>
            </w:pPr>
            <w:r>
              <w:rPr>
                <w:rFonts w:ascii="Calibri" w:hAnsi="Calibri"/>
                <w:b w:val="0"/>
                <w:color w:val="0B2545"/>
                <w:sz w:val="14"/>
              </w:rPr>
              <w:t>31</w:t>
            </w:r>
          </w:p>
        </w:tc>
        <w:tc>
          <w:tcPr>
            <w:tcW w:type="dxa" w:w="1655"/>
            <w:vAlign w:val="center"/>
            <w:tcMar>
              <w:top w:w="80" w:type="dxa"/>
              <w:bottom w:w="80" w:type="dxa"/>
              <w:start w:w="120" w:type="dxa"/>
              <w:end w:w="120" w:type="dxa"/>
            </w:tcMar>
          </w:tcPr>
          <w:p>
            <w:pPr>
              <w:spacing w:after="40"/>
            </w:pPr>
            <w:r>
              <w:rPr>
                <w:rFonts w:ascii="Calibri" w:hAnsi="Calibri"/>
                <w:b w:val="0"/>
                <w:color w:val="0B2545"/>
                <w:sz w:val="14"/>
              </w:rPr>
              <w:t>Feedback</w:t>
            </w:r>
          </w:p>
        </w:tc>
        <w:tc>
          <w:tcPr>
            <w:tcW w:type="dxa" w:w="1080"/>
            <w:vAlign w:val="center"/>
            <w:tcMar>
              <w:top w:w="80" w:type="dxa"/>
              <w:bottom w:w="80" w:type="dxa"/>
              <w:start w:w="120" w:type="dxa"/>
              <w:end w:w="120" w:type="dxa"/>
            </w:tcMar>
          </w:tcPr>
          <w:p>
            <w:pPr>
              <w:spacing w:after="40"/>
            </w:pPr>
            <w:r>
              <w:rPr>
                <w:rFonts w:ascii="Calibri" w:hAnsi="Calibri"/>
                <w:b w:val="0"/>
                <w:color w:val="0B2545"/>
                <w:sz w:val="14"/>
              </w:rPr>
              <w:t>_id</w:t>
            </w:r>
          </w:p>
        </w:tc>
        <w:tc>
          <w:tcPr>
            <w:tcW w:type="dxa" w:w="2520"/>
            <w:vAlign w:val="center"/>
            <w:tcMar>
              <w:top w:w="80" w:type="dxa"/>
              <w:bottom w:w="80" w:type="dxa"/>
              <w:start w:w="120" w:type="dxa"/>
              <w:end w:w="120" w:type="dxa"/>
            </w:tcMar>
          </w:tcPr>
          <w:p>
            <w:pPr>
              <w:spacing w:after="40"/>
            </w:pPr>
            <w:r>
              <w:rPr>
                <w:rFonts w:ascii="Calibri" w:hAnsi="Calibri"/>
                <w:b w:val="0"/>
                <w:color w:val="0B2545"/>
                <w:sz w:val="14"/>
              </w:rPr>
              <w:t>userId -&gt; User; targetId -&gt; dynamic target</w:t>
            </w:r>
          </w:p>
        </w:tc>
        <w:tc>
          <w:tcPr>
            <w:tcW w:type="dxa" w:w="3600"/>
            <w:vAlign w:val="center"/>
            <w:tcMar>
              <w:top w:w="80" w:type="dxa"/>
              <w:bottom w:w="80" w:type="dxa"/>
              <w:start w:w="120" w:type="dxa"/>
              <w:end w:w="120" w:type="dxa"/>
            </w:tcMar>
          </w:tcPr>
          <w:p>
            <w:pPr>
              <w:spacing w:after="40"/>
            </w:pPr>
            <w:r>
              <w:rPr>
                <w:rFonts w:ascii="Calibri" w:hAnsi="Calibri"/>
                <w:b w:val="0"/>
                <w:color w:val="0B2545"/>
                <w:sz w:val="14"/>
              </w:rPr>
              <w:t>Đánh giá/rating và phản hồi có thể kèm file minh chứng; targetId dùng cho course/teacher/system tùy type.</w:t>
            </w:r>
          </w:p>
        </w:tc>
      </w:tr>
    </w:tbl>
    <w:p/>
    <w:p>
      <w:pPr>
        <w:pStyle w:val="Heading3"/>
      </w:pPr>
      <w:r>
        <w:t>Important Constraints and Indexes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72"/>
            <w:vAlign w:val="center"/>
            <w:tcMar>
              <w:top w:w="80" w:type="dxa"/>
              <w:bottom w:w="80" w:type="dxa"/>
              <w:start w:w="120" w:type="dxa"/>
              <w:end w:w="120" w:type="dxa"/>
            </w:tcMar>
            <w:shd w:fill="F2F4F7"/>
          </w:tcPr>
          <w:p>
            <w:pPr>
              <w:spacing w:after="40"/>
            </w:pPr>
            <w:r>
              <w:rPr>
                <w:rFonts w:ascii="Calibri" w:hAnsi="Calibri"/>
                <w:b/>
                <w:color w:val="0B2545"/>
                <w:sz w:val="16"/>
              </w:rPr>
              <w:t>Entity</w:t>
            </w:r>
          </w:p>
        </w:tc>
        <w:tc>
          <w:tcPr>
            <w:tcW w:type="dxa" w:w="2880"/>
            <w:vAlign w:val="center"/>
            <w:tcMar>
              <w:top w:w="80" w:type="dxa"/>
              <w:bottom w:w="80" w:type="dxa"/>
              <w:start w:w="120" w:type="dxa"/>
              <w:end w:w="120" w:type="dxa"/>
            </w:tcMar>
            <w:shd w:fill="F2F4F7"/>
          </w:tcPr>
          <w:p>
            <w:pPr>
              <w:spacing w:after="40"/>
            </w:pPr>
            <w:r>
              <w:rPr>
                <w:rFonts w:ascii="Calibri" w:hAnsi="Calibri"/>
                <w:b/>
                <w:color w:val="0B2545"/>
                <w:sz w:val="16"/>
              </w:rPr>
              <w:t>Constraint / Index</w:t>
            </w:r>
          </w:p>
        </w:tc>
        <w:tc>
          <w:tcPr>
            <w:tcW w:type="dxa" w:w="4608"/>
            <w:vAlign w:val="center"/>
            <w:tcMar>
              <w:top w:w="80" w:type="dxa"/>
              <w:bottom w:w="80" w:type="dxa"/>
              <w:start w:w="120" w:type="dxa"/>
              <w:end w:w="120" w:type="dxa"/>
            </w:tcMar>
            <w:shd w:fill="F2F4F7"/>
          </w:tcPr>
          <w:p>
            <w:pPr>
              <w:spacing w:after="40"/>
            </w:pPr>
            <w:r>
              <w:rPr>
                <w:rFonts w:ascii="Calibri" w:hAnsi="Calibri"/>
                <w:b/>
                <w:color w:val="0B2545"/>
                <w:sz w:val="16"/>
              </w:rPr>
              <w:t>Design Purpose</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Enrollment</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 studentId, courseId }</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Prevents duplicated enrollment records for the same student and course.</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Attendance</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 courseId, studentId, date }</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Allows exactly one attendance status per student per course session date.</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Course</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slug; indexes on isPublished/status/isDeleted</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Supports public listing, recycle bin and course detail lookup.</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Subject</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name/code/slug; prerequisite refs</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Protects catalog identity and prerequisite map.</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ClassSchedule</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active teacher-day-timeSlot partial index</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Prevents teacher double-booking when schedule is approved/active.</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LessonProgress</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 studentId, lessonId }</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Keeps one progress record per student per lesson.</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QuizAttempt</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 quizId, studentId }</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Controls a single attempt record per quiz/student in current design.</w:t>
            </w:r>
          </w:p>
        </w:tc>
      </w:tr>
      <w:tr>
        <w:tc>
          <w:tcPr>
            <w:tcW w:type="dxa" w:w="1872"/>
            <w:vAlign w:val="center"/>
            <w:tcMar>
              <w:top w:w="80" w:type="dxa"/>
              <w:bottom w:w="80" w:type="dxa"/>
              <w:start w:w="120" w:type="dxa"/>
              <w:end w:w="120" w:type="dxa"/>
            </w:tcMar>
          </w:tcPr>
          <w:p>
            <w:pPr>
              <w:spacing w:after="40"/>
            </w:pPr>
            <w:r>
              <w:rPr>
                <w:rFonts w:ascii="Calibri" w:hAnsi="Calibri"/>
                <w:b w:val="0"/>
                <w:color w:val="0B2545"/>
                <w:sz w:val="16"/>
              </w:rPr>
              <w:t>CourseInvite</w:t>
            </w:r>
          </w:p>
        </w:tc>
        <w:tc>
          <w:tcPr>
            <w:tcW w:type="dxa" w:w="2880"/>
            <w:vAlign w:val="center"/>
            <w:tcMar>
              <w:top w:w="80" w:type="dxa"/>
              <w:bottom w:w="80" w:type="dxa"/>
              <w:start w:w="120" w:type="dxa"/>
              <w:end w:w="120" w:type="dxa"/>
            </w:tcMar>
          </w:tcPr>
          <w:p>
            <w:pPr>
              <w:spacing w:after="40"/>
            </w:pPr>
            <w:r>
              <w:rPr>
                <w:rFonts w:ascii="Calibri" w:hAnsi="Calibri"/>
                <w:b w:val="0"/>
                <w:color w:val="0B2545"/>
                <w:sz w:val="16"/>
              </w:rPr>
              <w:t>Unique tokenHash</w:t>
            </w:r>
          </w:p>
        </w:tc>
        <w:tc>
          <w:tcPr>
            <w:tcW w:type="dxa" w:w="4608"/>
            <w:vAlign w:val="center"/>
            <w:tcMar>
              <w:top w:w="80" w:type="dxa"/>
              <w:bottom w:w="80" w:type="dxa"/>
              <w:start w:w="120" w:type="dxa"/>
              <w:end w:w="120" w:type="dxa"/>
            </w:tcMar>
          </w:tcPr>
          <w:p>
            <w:pPr>
              <w:spacing w:after="40"/>
            </w:pPr>
            <w:r>
              <w:rPr>
                <w:rFonts w:ascii="Calibri" w:hAnsi="Calibri"/>
                <w:b w:val="0"/>
                <w:color w:val="0B2545"/>
                <w:sz w:val="16"/>
              </w:rPr>
              <w:t>Protects invite tokens and allows revocation/expiry checks.</w:t>
            </w:r>
          </w:p>
        </w:tc>
      </w:tr>
    </w:tbl>
    <w:p/>
    <w:p>
      <w:pPr>
        <w:pStyle w:val="Heading2"/>
      </w:pPr>
      <w:r>
        <w:t>3. Detailed Design</w:t>
      </w:r>
    </w:p>
    <w:p>
      <w:r>
        <w:rPr>
          <w:rFonts w:ascii="Calibri" w:hAnsi="Calibri"/>
        </w:rPr>
        <w:t>This section documents the principal LMS flows from UI trigger to persistence/external integration. Similar modules share the same layered pattern, so each feature presents the relevant classes, responsibilities and a representative sequence diagram.</w:t>
      </w:r>
    </w:p>
    <w:p>
      <w:pPr>
        <w:pStyle w:val="Heading3"/>
      </w:pPr>
      <w:r>
        <w:t>3.1 Authentication &amp; Session Management</w:t>
      </w:r>
    </w:p>
    <w:p>
      <w:r>
        <w:rPr>
          <w:rFonts w:ascii="Calibri" w:hAnsi="Calibri"/>
        </w:rPr>
        <w:t>Đảm bảo người dùng đăng ký, xác thực email, đăng nhập, refresh token, logout và reset password bằng luồng an toàn dựa trên JWT cookie + SessionModel.</w:t>
      </w:r>
    </w:p>
    <w:p>
      <w:pPr>
        <w:jc w:val="center"/>
      </w:pPr>
      <w:r>
        <w:drawing>
          <wp:inline xmlns:a="http://schemas.openxmlformats.org/drawingml/2006/main" xmlns:pic="http://schemas.openxmlformats.org/drawingml/2006/picture">
            <wp:extent cx="5943600" cy="3235960"/>
            <wp:docPr id="8" name="Picture 8"/>
            <wp:cNvGraphicFramePr>
              <a:graphicFrameLocks noChangeAspect="1"/>
            </wp:cNvGraphicFramePr>
            <a:graphic>
              <a:graphicData uri="http://schemas.openxmlformats.org/drawingml/2006/picture">
                <pic:pic>
                  <pic:nvPicPr>
                    <pic:cNvPr id="0" name="10_class_auth.png"/>
                    <pic:cNvPicPr/>
                  </pic:nvPicPr>
                  <pic:blipFill>
                    <a:blip r:embed="rId17"/>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Authentication &amp; Session Management.</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AuthController</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registerHandler, loginHandler, refreshHandler, verifyEmailHandler, resetPasswordHandler</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AuthService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registerUser, loginUser, refreshUserAccessToken, verifyEmail, resetPassword, googleLogin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UserModel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So sánh mật khẩu bằng comparePassword(), lưu role/status/isVerified/specialistIds.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SessionModel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Lưu sessionId trong refresh token, expiresAt và userAgent.</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VerificationCodeModel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Lưu OTP/link verify email hoặc forgot password.</w:t>
            </w:r>
          </w:p>
        </w:tc>
      </w:tr>
    </w:tbl>
    <w:p/>
    <w:p>
      <w:r>
        <w:rPr>
          <w:rFonts w:ascii="Calibri" w:hAnsi="Calibri"/>
        </w:rPr>
        <w:t>Main sequence and business flow:</w:t>
      </w:r>
    </w:p>
    <w:p>
      <w:pPr>
        <w:pStyle w:val="ListNumber"/>
      </w:pPr>
      <w:r>
        <w:rPr>
          <w:rFonts w:ascii="Calibri" w:hAnsi="Calibri"/>
        </w:rPr>
        <w:t>Register: FE gửi /auth/register, service kiểm tra email trùng, tạo User, tạo VerificationCode và gửi email qua Resend.</w:t>
      </w:r>
    </w:p>
    <w:p>
      <w:pPr>
        <w:pStyle w:val="ListNumber"/>
      </w:pPr>
      <w:r>
        <w:rPr>
          <w:rFonts w:ascii="Calibri" w:hAnsi="Calibri"/>
        </w:rPr>
        <w:t>Login: service tìm user theo email, so sánh bcrypt, tạo Session, ký accessToken/refreshToken và controller set HTTP-only cookies.</w:t>
      </w:r>
    </w:p>
    <w:p>
      <w:pPr>
        <w:pStyle w:val="ListNumber"/>
      </w:pPr>
      <w:r>
        <w:rPr>
          <w:rFonts w:ascii="Calibri" w:hAnsi="Calibri"/>
        </w:rPr>
        <w:t>Refresh: controller đọc refreshToken cookie, service xác thực session còn hạn, gia hạn session nếu gần hết hạn và trả accessToken mới.</w:t>
      </w:r>
    </w:p>
    <w:p>
      <w:pPr>
        <w:pStyle w:val="ListNumber"/>
      </w:pPr>
      <w:r>
        <w:rPr>
          <w:rFonts w:ascii="Calibri" w:hAnsi="Calibri"/>
        </w:rPr>
        <w:t>Reset password: service xác thực VerificationCode loại FORGOT_PASSWORD, hash mật khẩu mới, xóa session cũ để buộc đăng nhập lại.</w:t>
      </w:r>
    </w:p>
    <w:p>
      <w:pPr>
        <w:jc w:val="center"/>
      </w:pPr>
      <w:r>
        <w:drawing>
          <wp:inline xmlns:a="http://schemas.openxmlformats.org/drawingml/2006/main" xmlns:pic="http://schemas.openxmlformats.org/drawingml/2006/picture">
            <wp:extent cx="5943600" cy="4953000"/>
            <wp:docPr id="9" name="Picture 9"/>
            <wp:cNvGraphicFramePr>
              <a:graphicFrameLocks noChangeAspect="1"/>
            </wp:cNvGraphicFramePr>
            <a:graphic>
              <a:graphicData uri="http://schemas.openxmlformats.org/drawingml/2006/picture">
                <pic:pic>
                  <pic:nvPicPr>
                    <pic:cNvPr id="0" name="20_seq_auth.png"/>
                    <pic:cNvPicPr/>
                  </pic:nvPicPr>
                  <pic:blipFill>
                    <a:blip r:embed="rId18"/>
                    <a:stretch>
                      <a:fillRect/>
                    </a:stretch>
                  </pic:blipFill>
                  <pic:spPr>
                    <a:xfrm>
                      <a:off x="0" y="0"/>
                      <a:ext cx="5943600" cy="4953000"/>
                    </a:xfrm>
                    <a:prstGeom prst="rect"/>
                  </pic:spPr>
                </pic:pic>
              </a:graphicData>
            </a:graphic>
          </wp:inline>
        </w:drawing>
      </w:r>
    </w:p>
    <w:p>
      <w:pPr>
        <w:spacing w:after="160"/>
        <w:jc w:val="center"/>
      </w:pPr>
      <w:r>
        <w:rPr>
          <w:rFonts w:ascii="Calibri" w:hAnsi="Calibri"/>
          <w:b w:val="0"/>
          <w:i/>
          <w:color w:val="5A6673"/>
          <w:sz w:val="18"/>
        </w:rPr>
        <w:t>Sequence Diagram - Authentication &amp; Session Management.</w:t>
      </w:r>
    </w:p>
    <w:p>
      <w:pPr>
        <w:pStyle w:val="Heading3"/>
      </w:pPr>
      <w:r>
        <w:t>3.2 Course, Curriculum &amp; Enrollment</w:t>
      </w:r>
    </w:p>
    <w:p>
      <w:r>
        <w:rPr>
          <w:rFonts w:ascii="Calibri" w:hAnsi="Calibri"/>
        </w:rPr>
        <w:t>Thiết kế luồng tạo course, publish course, self-enroll và quản lý trạng thái học tập dựa trên CourseStatus, EnrollmentStatus và prerequisite map của Subject.</w:t>
      </w:r>
    </w:p>
    <w:p>
      <w:pPr>
        <w:jc w:val="center"/>
      </w:pPr>
      <w:r>
        <w:drawing>
          <wp:inline xmlns:a="http://schemas.openxmlformats.org/drawingml/2006/main" xmlns:pic="http://schemas.openxmlformats.org/drawingml/2006/picture">
            <wp:extent cx="5943600" cy="3235960"/>
            <wp:docPr id="10" name="Picture 10"/>
            <wp:cNvGraphicFramePr>
              <a:graphicFrameLocks noChangeAspect="1"/>
            </wp:cNvGraphicFramePr>
            <a:graphic>
              <a:graphicData uri="http://schemas.openxmlformats.org/drawingml/2006/picture">
                <pic:pic>
                  <pic:nvPicPr>
                    <pic:cNvPr id="0" name="10_class_enrollment.png"/>
                    <pic:cNvPicPr/>
                  </pic:nvPicPr>
                  <pic:blipFill>
                    <a:blip r:embed="rId19"/>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Course, Curriculum &amp; Enrollment.</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CourseController/Service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list, create, update, soft delete, restore, complete course, statistics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EnrollmentController/Service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self enroll, admin enroll, update status, kick student, enrollment statistics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SubjectModel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Quản lý code/slug/specialistIds/prerequisites.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CourseModel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semesterId, subjectId, teacherIds, capacity, weight, status, isPublished, soft delete.</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EnrollmentModel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studentId + courseId unique, status lifecycle, progress and finalGrade.</w:t>
            </w:r>
          </w:p>
        </w:tc>
      </w:tr>
    </w:tbl>
    <w:p/>
    <w:p>
      <w:r>
        <w:rPr>
          <w:rFonts w:ascii="Calibri" w:hAnsi="Calibri"/>
        </w:rPr>
        <w:t>Main sequence and business flow:</w:t>
      </w:r>
    </w:p>
    <w:p>
      <w:pPr>
        <w:pStyle w:val="ListNumber"/>
      </w:pPr>
      <w:r>
        <w:rPr>
          <w:rFonts w:ascii="Calibri" w:hAnsi="Calibri"/>
        </w:rPr>
        <w:t>Teacher/Admin tạo Course ở draft; service bắt buộc có teacherIds, capacity hợp lệ, teacher active và specialist của teacher phải match specialist của Subject.</w:t>
      </w:r>
    </w:p>
    <w:p>
      <w:pPr>
        <w:pStyle w:val="ListNumber"/>
      </w:pPr>
      <w:r>
        <w:rPr>
          <w:rFonts w:ascii="Calibri" w:hAnsi="Calibri"/>
        </w:rPr>
        <w:t>Admin publish course: isPublished=true sẽ chuyển status từ draft sang ongoing và thông báo cho teacher.</w:t>
      </w:r>
    </w:p>
    <w:p>
      <w:pPr>
        <w:pStyle w:val="ListNumber"/>
      </w:pPr>
      <w:r>
        <w:rPr>
          <w:rFonts w:ascii="Calibri" w:hAnsi="Calibri"/>
        </w:rPr>
        <w:t>Student self-enroll: chỉ nhận course ongoing, kiểm tra prerequisite đã completed, password nếu có, cooldown 1 phút khi re-enroll và capacity còn chỗ.</w:t>
      </w:r>
    </w:p>
    <w:p>
      <w:pPr>
        <w:pStyle w:val="ListNumber"/>
      </w:pPr>
      <w:r>
        <w:rPr>
          <w:rFonts w:ascii="Calibri" w:hAnsi="Calibri"/>
        </w:rPr>
        <w:t>Teacher/Admin cập nhật enrollment: approval/rejection/completed/dropped tạo timestamp tương ứng và gửi Notification cho student.</w:t>
      </w:r>
    </w:p>
    <w:p>
      <w:pPr>
        <w:jc w:val="center"/>
      </w:pPr>
      <w:r>
        <w:drawing>
          <wp:inline xmlns:a="http://schemas.openxmlformats.org/drawingml/2006/main" xmlns:pic="http://schemas.openxmlformats.org/drawingml/2006/picture">
            <wp:extent cx="5943600" cy="4953000"/>
            <wp:docPr id="11" name="Picture 11"/>
            <wp:cNvGraphicFramePr>
              <a:graphicFrameLocks noChangeAspect="1"/>
            </wp:cNvGraphicFramePr>
            <a:graphic>
              <a:graphicData uri="http://schemas.openxmlformats.org/drawingml/2006/picture">
                <pic:pic>
                  <pic:nvPicPr>
                    <pic:cNvPr id="0" name="21_seq_enrollment.png"/>
                    <pic:cNvPicPr/>
                  </pic:nvPicPr>
                  <pic:blipFill>
                    <a:blip r:embed="rId20"/>
                    <a:stretch>
                      <a:fillRect/>
                    </a:stretch>
                  </pic:blipFill>
                  <pic:spPr>
                    <a:xfrm>
                      <a:off x="0" y="0"/>
                      <a:ext cx="5943600" cy="4953000"/>
                    </a:xfrm>
                    <a:prstGeom prst="rect"/>
                  </pic:spPr>
                </pic:pic>
              </a:graphicData>
            </a:graphic>
          </wp:inline>
        </w:drawing>
      </w:r>
    </w:p>
    <w:p>
      <w:pPr>
        <w:spacing w:after="160"/>
        <w:jc w:val="center"/>
      </w:pPr>
      <w:r>
        <w:rPr>
          <w:rFonts w:ascii="Calibri" w:hAnsi="Calibri"/>
          <w:b w:val="0"/>
          <w:i/>
          <w:color w:val="5A6673"/>
          <w:sz w:val="18"/>
        </w:rPr>
        <w:t>Sequence Diagram - Course, Curriculum &amp; Enrollment.</w:t>
      </w:r>
    </w:p>
    <w:p>
      <w:pPr>
        <w:pStyle w:val="Heading3"/>
      </w:pPr>
      <w:r>
        <w:t>3.3 Lessons, Materials &amp; Learning Progress</w:t>
      </w:r>
    </w:p>
    <w:p>
      <w:r>
        <w:rPr>
          <w:rFonts w:ascii="Calibri" w:hAnsi="Calibri"/>
        </w:rPr>
        <w:t>Quản lý cấu trúc bài học, tài liệu học tập trên MinIO/S3 và tiến độ học tập cá nhân của student.</w:t>
      </w:r>
    </w:p>
    <w:p>
      <w:pPr>
        <w:jc w:val="center"/>
      </w:pPr>
      <w:r>
        <w:drawing>
          <wp:inline xmlns:a="http://schemas.openxmlformats.org/drawingml/2006/main" xmlns:pic="http://schemas.openxmlformats.org/drawingml/2006/picture">
            <wp:extent cx="5943600" cy="3235960"/>
            <wp:docPr id="12" name="Picture 12"/>
            <wp:cNvGraphicFramePr>
              <a:graphicFrameLocks noChangeAspect="1"/>
            </wp:cNvGraphicFramePr>
            <a:graphic>
              <a:graphicData uri="http://schemas.openxmlformats.org/drawingml/2006/picture">
                <pic:pic>
                  <pic:nvPicPr>
                    <pic:cNvPr id="0" name="10_class_lesson.png"/>
                    <pic:cNvPicPr/>
                  </pic:nvPicPr>
                  <pic:blipFill>
                    <a:blip r:embed="rId21"/>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Lessons, Materials &amp; Learning Progress.</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LessonController/Service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create/update/delete lesson, list by course, enforce order.</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LessonMaterialService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role-based access, uploadFile, removeFile, presigned URL.</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LessonProgressService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add time, mark complete, get lesson/course progress.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MinIO Client</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putObject, removeObject, presignedGetObject.</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Lesson/LessonMaterial/LessonProgress</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metadata and tracking models.</w:t>
            </w:r>
          </w:p>
        </w:tc>
      </w:tr>
    </w:tbl>
    <w:p/>
    <w:p>
      <w:r>
        <w:rPr>
          <w:rFonts w:ascii="Calibri" w:hAnsi="Calibri"/>
        </w:rPr>
        <w:t>Main sequence and business flow:</w:t>
      </w:r>
    </w:p>
    <w:p>
      <w:pPr>
        <w:pStyle w:val="ListNumber"/>
      </w:pPr>
      <w:r>
        <w:rPr>
          <w:rFonts w:ascii="Calibri" w:hAnsi="Calibri"/>
        </w:rPr>
        <w:t>Teacher upload tài liệu qua /lesson-materials/upload; Multer memoryStorage kiểm tra MIME và limit 20MB.</w:t>
      </w:r>
    </w:p>
    <w:p>
      <w:pPr>
        <w:pStyle w:val="ListNumber"/>
      </w:pPr>
      <w:r>
        <w:rPr>
          <w:rFonts w:ascii="Calibri" w:hAnsi="Calibri"/>
        </w:rPr>
        <w:t>Service xác nhận user là instructor của course, upload file lên MinIO với prefix theo course/lesson, lưu key/originalName/mimeType/size.</w:t>
      </w:r>
    </w:p>
    <w:p>
      <w:pPr>
        <w:pStyle w:val="ListNumber"/>
      </w:pPr>
      <w:r>
        <w:rPr>
          <w:rFonts w:ascii="Calibri" w:hAnsi="Calibri"/>
        </w:rPr>
        <w:t>Student mở bài học; service xác nhận enrollment, đọc material metadata và tạo presigned URL để tải/stream file.</w:t>
      </w:r>
    </w:p>
    <w:p>
      <w:pPr>
        <w:pStyle w:val="ListNumber"/>
      </w:pPr>
      <w:r>
        <w:rPr>
          <w:rFonts w:ascii="Calibri" w:hAnsi="Calibri"/>
        </w:rPr>
        <w:t>FE gửi heartbeat PATCH /lesson-progress/lessons/:lessonId/time; service cộng timeSpentSeconds và cập nhật lastAccessedAt.</w:t>
      </w:r>
    </w:p>
    <w:p>
      <w:pPr>
        <w:jc w:val="center"/>
      </w:pPr>
      <w:r>
        <w:drawing>
          <wp:inline xmlns:a="http://schemas.openxmlformats.org/drawingml/2006/main" xmlns:pic="http://schemas.openxmlformats.org/drawingml/2006/picture">
            <wp:extent cx="5943600" cy="4474210"/>
            <wp:docPr id="13" name="Picture 13"/>
            <wp:cNvGraphicFramePr>
              <a:graphicFrameLocks noChangeAspect="1"/>
            </wp:cNvGraphicFramePr>
            <a:graphic>
              <a:graphicData uri="http://schemas.openxmlformats.org/drawingml/2006/picture">
                <pic:pic>
                  <pic:nvPicPr>
                    <pic:cNvPr id="0" name="22_seq_lesson.png"/>
                    <pic:cNvPicPr/>
                  </pic:nvPicPr>
                  <pic:blipFill>
                    <a:blip r:embed="rId22"/>
                    <a:stretch>
                      <a:fillRect/>
                    </a:stretch>
                  </pic:blipFill>
                  <pic:spPr>
                    <a:xfrm>
                      <a:off x="0" y="0"/>
                      <a:ext cx="5943600" cy="4474210"/>
                    </a:xfrm>
                    <a:prstGeom prst="rect"/>
                  </pic:spPr>
                </pic:pic>
              </a:graphicData>
            </a:graphic>
          </wp:inline>
        </w:drawing>
      </w:r>
    </w:p>
    <w:p>
      <w:pPr>
        <w:spacing w:after="160"/>
        <w:jc w:val="center"/>
      </w:pPr>
      <w:r>
        <w:rPr>
          <w:rFonts w:ascii="Calibri" w:hAnsi="Calibri"/>
          <w:b w:val="0"/>
          <w:i/>
          <w:color w:val="5A6673"/>
          <w:sz w:val="18"/>
        </w:rPr>
        <w:t>Sequence Diagram - Lessons, Materials &amp; Learning Progress.</w:t>
      </w:r>
    </w:p>
    <w:p>
      <w:pPr>
        <w:pStyle w:val="Heading3"/>
      </w:pPr>
      <w:r>
        <w:t>3.4 Quiz, Question Bank &amp; Attempt Lifecycle</w:t>
      </w:r>
    </w:p>
    <w:p>
      <w:r>
        <w:rPr>
          <w:rFonts w:ascii="Calibri" w:hAnsi="Calibri"/>
        </w:rPr>
        <w:t>Thiết kế ngân hàng câu hỏi, quiz được publish theo course, lượt làm bài có auto-save, submit, ban và re-grade.</w:t>
      </w:r>
    </w:p>
    <w:p>
      <w:pPr>
        <w:jc w:val="center"/>
      </w:pPr>
      <w:r>
        <w:drawing>
          <wp:inline xmlns:a="http://schemas.openxmlformats.org/drawingml/2006/main" xmlns:pic="http://schemas.openxmlformats.org/drawingml/2006/picture">
            <wp:extent cx="5943600" cy="3235960"/>
            <wp:docPr id="14" name="Picture 14"/>
            <wp:cNvGraphicFramePr>
              <a:graphicFrameLocks noChangeAspect="1"/>
            </wp:cNvGraphicFramePr>
            <a:graphic>
              <a:graphicData uri="http://schemas.openxmlformats.org/drawingml/2006/picture">
                <pic:pic>
                  <pic:nvPicPr>
                    <pic:cNvPr id="0" name="10_class_quiz.png"/>
                    <pic:cNvPicPr/>
                  </pic:nvPicPr>
                  <pic:blipFill>
                    <a:blip r:embed="rId23"/>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Quiz, Question Bank &amp; Attempt Lifecycle.</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QuizQuestionService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import/export XML, random question selection, CRUD question bank.</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QuizService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create/update/delete quiz, snapshotQuestions, statistics.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QuizAttemptService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enroll, save, autoSave, submit, ban, re-grade.</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QuizAttemptModel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answers, score, status in_progress/submitted/abandoned.</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QuizModel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time window, shuffleQuestions, hashPassword, isPublished.</w:t>
            </w:r>
          </w:p>
        </w:tc>
      </w:tr>
    </w:tbl>
    <w:p/>
    <w:p>
      <w:r>
        <w:rPr>
          <w:rFonts w:ascii="Calibri" w:hAnsi="Calibri"/>
        </w:rPr>
        <w:t>Main sequence and business flow:</w:t>
      </w:r>
    </w:p>
    <w:p>
      <w:pPr>
        <w:pStyle w:val="ListNumber"/>
      </w:pPr>
      <w:r>
        <w:rPr>
          <w:rFonts w:ascii="Calibri" w:hAnsi="Calibri"/>
        </w:rPr>
        <w:t>Teacher tạo quiz từ bank hoặc snapshotQuestions; route /quizzes yêu cầu role teacher/admin.</w:t>
      </w:r>
    </w:p>
    <w:p>
      <w:pPr>
        <w:pStyle w:val="ListNumber"/>
      </w:pPr>
      <w:r>
        <w:rPr>
          <w:rFonts w:ascii="Calibri" w:hAnsi="Calibri"/>
        </w:rPr>
        <w:t>Student start quiz qua /quiz-attempts/enroll; service xác nhận enrollment approved và không bị abandoned/submitted.</w:t>
      </w:r>
    </w:p>
    <w:p>
      <w:pPr>
        <w:pStyle w:val="ListNumber"/>
      </w:pPr>
      <w:r>
        <w:rPr>
          <w:rFonts w:ascii="Calibri" w:hAnsi="Calibri"/>
        </w:rPr>
        <w:t>Trong lúc làm bài, FE gọi /quiz-attempts/:id/auto-save; service ghi answers nháp để chống mất dữ liệu.</w:t>
      </w:r>
    </w:p>
    <w:p>
      <w:pPr>
        <w:pStyle w:val="ListNumber"/>
      </w:pPr>
      <w:r>
        <w:rPr>
          <w:rFonts w:ascii="Calibri" w:hAnsi="Calibri"/>
        </w:rPr>
        <w:t>Submit: service grade answers, cập nhật score/status=submitted/submittedAt; teacher/admin có thể ban hoặc re-grade khi có sự cố.</w:t>
      </w:r>
    </w:p>
    <w:p>
      <w:pPr>
        <w:jc w:val="center"/>
      </w:pPr>
      <w:r>
        <w:drawing>
          <wp:inline xmlns:a="http://schemas.openxmlformats.org/drawingml/2006/main" xmlns:pic="http://schemas.openxmlformats.org/drawingml/2006/picture">
            <wp:extent cx="5943600" cy="5431790"/>
            <wp:docPr id="15" name="Picture 15"/>
            <wp:cNvGraphicFramePr>
              <a:graphicFrameLocks noChangeAspect="1"/>
            </wp:cNvGraphicFramePr>
            <a:graphic>
              <a:graphicData uri="http://schemas.openxmlformats.org/drawingml/2006/picture">
                <pic:pic>
                  <pic:nvPicPr>
                    <pic:cNvPr id="0" name="23_seq_quiz.png"/>
                    <pic:cNvPicPr/>
                  </pic:nvPicPr>
                  <pic:blipFill>
                    <a:blip r:embed="rId24"/>
                    <a:stretch>
                      <a:fillRect/>
                    </a:stretch>
                  </pic:blipFill>
                  <pic:spPr>
                    <a:xfrm>
                      <a:off x="0" y="0"/>
                      <a:ext cx="5943600" cy="5431790"/>
                    </a:xfrm>
                    <a:prstGeom prst="rect"/>
                  </pic:spPr>
                </pic:pic>
              </a:graphicData>
            </a:graphic>
          </wp:inline>
        </w:drawing>
      </w:r>
    </w:p>
    <w:p>
      <w:pPr>
        <w:spacing w:after="160"/>
        <w:jc w:val="center"/>
      </w:pPr>
      <w:r>
        <w:rPr>
          <w:rFonts w:ascii="Calibri" w:hAnsi="Calibri"/>
          <w:b w:val="0"/>
          <w:i/>
          <w:color w:val="5A6673"/>
          <w:sz w:val="18"/>
        </w:rPr>
        <w:t>Sequence Diagram - Quiz, Question Bank &amp; Attempt Lifecycle.</w:t>
      </w:r>
    </w:p>
    <w:p>
      <w:pPr>
        <w:pStyle w:val="Heading3"/>
      </w:pPr>
      <w:r>
        <w:t>3.5 Assignments, Submissions &amp; Grading</w:t>
      </w:r>
    </w:p>
    <w:p>
      <w:r>
        <w:rPr>
          <w:rFonts w:ascii="Calibri" w:hAnsi="Calibri"/>
        </w:rPr>
        <w:t>Hỗ trợ teacher tạo bài tập, student nộp file, teacher chấm điểm và xem thống kê/report.</w:t>
      </w:r>
    </w:p>
    <w:p>
      <w:pPr>
        <w:jc w:val="center"/>
      </w:pPr>
      <w:r>
        <w:drawing>
          <wp:inline xmlns:a="http://schemas.openxmlformats.org/drawingml/2006/main" xmlns:pic="http://schemas.openxmlformats.org/drawingml/2006/picture">
            <wp:extent cx="5943600" cy="3235960"/>
            <wp:docPr id="16" name="Picture 16"/>
            <wp:cNvGraphicFramePr>
              <a:graphicFrameLocks noChangeAspect="1"/>
            </wp:cNvGraphicFramePr>
            <a:graphic>
              <a:graphicData uri="http://schemas.openxmlformats.org/drawingml/2006/picture">
                <pic:pic>
                  <pic:nvPicPr>
                    <pic:cNvPr id="0" name="10_class_assignment.png"/>
                    <pic:cNvPicPr/>
                  </pic:nvPicPr>
                  <pic:blipFill>
                    <a:blip r:embed="rId25"/>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Assignments, Submissions &amp; Grading.</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AssignmentService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CRUD assignment, course scope, deadline/maxScore.</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SubmissionService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submit/resubmit, status, late check, grade and reports.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UploadFile utility</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MinIO upload and metadata extraction.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AssignmentModel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courseId, title, maxScore, dueDate, allowLate, file metadata.</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SubmissionModel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assignmentId, studentId, file key, grade, feedback, gradeHistory.</w:t>
            </w:r>
          </w:p>
        </w:tc>
      </w:tr>
    </w:tbl>
    <w:p/>
    <w:p>
      <w:r>
        <w:rPr>
          <w:rFonts w:ascii="Calibri" w:hAnsi="Calibri"/>
        </w:rPr>
        <w:t>Main sequence and business flow:</w:t>
      </w:r>
    </w:p>
    <w:p>
      <w:pPr>
        <w:pStyle w:val="ListNumber"/>
      </w:pPr>
      <w:r>
        <w:rPr>
          <w:rFonts w:ascii="Calibri" w:hAnsi="Calibri"/>
        </w:rPr>
        <w:t>Teacher tạo Assignment cho course, có dueDate, maxScore và optional file đề bài.</w:t>
      </w:r>
    </w:p>
    <w:p>
      <w:pPr>
        <w:pStyle w:val="ListNumber"/>
      </w:pPr>
      <w:r>
        <w:rPr>
          <w:rFonts w:ascii="Calibri" w:hAnsi="Calibri"/>
        </w:rPr>
        <w:t>Student nộp bài qua /submissions; service kiểm tra quyền học course, deadline/allowLate, upload file lên MinIO và lưu Submission.</w:t>
      </w:r>
    </w:p>
    <w:p>
      <w:pPr>
        <w:pStyle w:val="ListNumber"/>
      </w:pPr>
      <w:r>
        <w:rPr>
          <w:rFonts w:ascii="Calibri" w:hAnsi="Calibri"/>
        </w:rPr>
        <w:t>Teacher chấm qua /submissions/:assignmentId/grade hoặc /by-submission/:id/grade; service lưu grade, feedback và gradeHistory.</w:t>
      </w:r>
    </w:p>
    <w:p>
      <w:pPr>
        <w:pStyle w:val="ListNumber"/>
      </w:pPr>
      <w:r>
        <w:rPr>
          <w:rFonts w:ascii="Calibri" w:hAnsi="Calibri"/>
        </w:rPr>
        <w:t>Teacher/Admin xem stats/report theo assignment hoặc course để tổng hợp điểm.</w:t>
      </w:r>
    </w:p>
    <w:p>
      <w:pPr>
        <w:jc w:val="center"/>
      </w:pPr>
      <w:r>
        <w:drawing>
          <wp:inline xmlns:a="http://schemas.openxmlformats.org/drawingml/2006/main" xmlns:pic="http://schemas.openxmlformats.org/drawingml/2006/picture">
            <wp:extent cx="5943600" cy="4953000"/>
            <wp:docPr id="17" name="Picture 17"/>
            <wp:cNvGraphicFramePr>
              <a:graphicFrameLocks noChangeAspect="1"/>
            </wp:cNvGraphicFramePr>
            <a:graphic>
              <a:graphicData uri="http://schemas.openxmlformats.org/drawingml/2006/picture">
                <pic:pic>
                  <pic:nvPicPr>
                    <pic:cNvPr id="0" name="24_seq_assignment.png"/>
                    <pic:cNvPicPr/>
                  </pic:nvPicPr>
                  <pic:blipFill>
                    <a:blip r:embed="rId26"/>
                    <a:stretch>
                      <a:fillRect/>
                    </a:stretch>
                  </pic:blipFill>
                  <pic:spPr>
                    <a:xfrm>
                      <a:off x="0" y="0"/>
                      <a:ext cx="5943600" cy="4953000"/>
                    </a:xfrm>
                    <a:prstGeom prst="rect"/>
                  </pic:spPr>
                </pic:pic>
              </a:graphicData>
            </a:graphic>
          </wp:inline>
        </w:drawing>
      </w:r>
    </w:p>
    <w:p>
      <w:pPr>
        <w:spacing w:after="160"/>
        <w:jc w:val="center"/>
      </w:pPr>
      <w:r>
        <w:rPr>
          <w:rFonts w:ascii="Calibri" w:hAnsi="Calibri"/>
          <w:b w:val="0"/>
          <w:i/>
          <w:color w:val="5A6673"/>
          <w:sz w:val="18"/>
        </w:rPr>
        <w:t>Sequence Diagram - Assignments, Submissions &amp; Grading.</w:t>
      </w:r>
    </w:p>
    <w:p>
      <w:pPr>
        <w:pStyle w:val="Heading3"/>
      </w:pPr>
      <w:r>
        <w:t>3.6 Schedule &amp; Attendance</w:t>
      </w:r>
    </w:p>
    <w:p>
      <w:r>
        <w:rPr>
          <w:rFonts w:ascii="Calibri" w:hAnsi="Calibri"/>
        </w:rPr>
        <w:t>Quản lý lịch học, ca học, ngoại lệ lịch và điểm danh; tự động cảnh báo vắng khi vượt ngưỡng.</w:t>
      </w:r>
    </w:p>
    <w:p>
      <w:pPr>
        <w:jc w:val="center"/>
      </w:pPr>
      <w:r>
        <w:drawing>
          <wp:inline xmlns:a="http://schemas.openxmlformats.org/drawingml/2006/main" xmlns:pic="http://schemas.openxmlformats.org/drawingml/2006/picture">
            <wp:extent cx="5943600" cy="3235960"/>
            <wp:docPr id="18" name="Picture 18"/>
            <wp:cNvGraphicFramePr>
              <a:graphicFrameLocks noChangeAspect="1"/>
            </wp:cNvGraphicFramePr>
            <a:graphic>
              <a:graphicData uri="http://schemas.openxmlformats.org/drawingml/2006/picture">
                <pic:pic>
                  <pic:nvPicPr>
                    <pic:cNvPr id="0" name="10_class_attendance.png"/>
                    <pic:cNvPicPr/>
                  </pic:nvPicPr>
                  <pic:blipFill>
                    <a:blip r:embed="rId27"/>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Schedule &amp; Attendance.</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ScheduleService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time slots, teacher availability, pending approve, exceptions.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AttendanceService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create/update/delete/export, course/student stats, absence warning.</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TimeSlotModel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slotNumber, start/end, applicableDays.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ClassScheduleModel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courseId, teacherId, dayOfWeek, timeSlotId, status.</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AttendanceModel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courseId, studentId, date, status, markedBy.</w:t>
            </w:r>
          </w:p>
        </w:tc>
      </w:tr>
    </w:tbl>
    <w:p/>
    <w:p>
      <w:r>
        <w:rPr>
          <w:rFonts w:ascii="Calibri" w:hAnsi="Calibri"/>
        </w:rPr>
        <w:t>Main sequence and business flow:</w:t>
      </w:r>
    </w:p>
    <w:p>
      <w:pPr>
        <w:pStyle w:val="ListNumber"/>
      </w:pPr>
      <w:r>
        <w:rPr>
          <w:rFonts w:ascii="Calibri" w:hAnsi="Calibri"/>
        </w:rPr>
        <w:t>Teacher/Admin tạo schedule request; service kiểm tra availability và unique active teacher-day-slot.</w:t>
      </w:r>
    </w:p>
    <w:p>
      <w:pPr>
        <w:pStyle w:val="ListNumber"/>
      </w:pPr>
      <w:r>
        <w:rPr>
          <w:rFonts w:ascii="Calibri" w:hAnsi="Calibri"/>
        </w:rPr>
        <w:t>Admin approve schedule hoặc schedule exception để chuyển trạng thái hợp lệ.</w:t>
      </w:r>
    </w:p>
    <w:p>
      <w:pPr>
        <w:pStyle w:val="ListNumber"/>
      </w:pPr>
      <w:r>
        <w:rPr>
          <w:rFonts w:ascii="Calibri" w:hAnsi="Calibri"/>
        </w:rPr>
        <w:t>Teacher mark attendance theo course/date; service lưu unique courseId+studentId+date.</w:t>
      </w:r>
    </w:p>
    <w:p>
      <w:pPr>
        <w:pStyle w:val="ListNumber"/>
      </w:pPr>
      <w:r>
        <w:rPr>
          <w:rFonts w:ascii="Calibri" w:hAnsi="Calibri"/>
        </w:rPr>
        <w:t>Khi gửi cảnh báo, service tính số buổi absent; threshold mặc định 20% và gửi email qua Resend cho học viên liên quan.</w:t>
      </w:r>
    </w:p>
    <w:p>
      <w:pPr>
        <w:jc w:val="center"/>
      </w:pPr>
      <w:r>
        <w:drawing>
          <wp:inline xmlns:a="http://schemas.openxmlformats.org/drawingml/2006/main" xmlns:pic="http://schemas.openxmlformats.org/drawingml/2006/picture">
            <wp:extent cx="5943600" cy="4953000"/>
            <wp:docPr id="19" name="Picture 19"/>
            <wp:cNvGraphicFramePr>
              <a:graphicFrameLocks noChangeAspect="1"/>
            </wp:cNvGraphicFramePr>
            <a:graphic>
              <a:graphicData uri="http://schemas.openxmlformats.org/drawingml/2006/picture">
                <pic:pic>
                  <pic:nvPicPr>
                    <pic:cNvPr id="0" name="25_seq_attendance.png"/>
                    <pic:cNvPicPr/>
                  </pic:nvPicPr>
                  <pic:blipFill>
                    <a:blip r:embed="rId28"/>
                    <a:stretch>
                      <a:fillRect/>
                    </a:stretch>
                  </pic:blipFill>
                  <pic:spPr>
                    <a:xfrm>
                      <a:off x="0" y="0"/>
                      <a:ext cx="5943600" cy="4953000"/>
                    </a:xfrm>
                    <a:prstGeom prst="rect"/>
                  </pic:spPr>
                </pic:pic>
              </a:graphicData>
            </a:graphic>
          </wp:inline>
        </w:drawing>
      </w:r>
    </w:p>
    <w:p>
      <w:pPr>
        <w:spacing w:after="160"/>
        <w:jc w:val="center"/>
      </w:pPr>
      <w:r>
        <w:rPr>
          <w:rFonts w:ascii="Calibri" w:hAnsi="Calibri"/>
          <w:b w:val="0"/>
          <w:i/>
          <w:color w:val="5A6673"/>
          <w:sz w:val="18"/>
        </w:rPr>
        <w:t>Sequence Diagram - Schedule &amp; Attendance.</w:t>
      </w:r>
    </w:p>
    <w:p>
      <w:pPr>
        <w:pStyle w:val="Heading3"/>
      </w:pPr>
      <w:r>
        <w:t>3.7 Forums, Chat Rooms &amp; WebRTC Video Calls</w:t>
      </w:r>
    </w:p>
    <w:p>
      <w:r>
        <w:rPr>
          <w:rFonts w:ascii="Calibri" w:hAnsi="Calibri"/>
        </w:rPr>
        <w:t>Thiết kế tương tác realtime: forum theo course, chat room, tin nhắn file, typing/unread và WebRTC signaling.</w:t>
      </w:r>
    </w:p>
    <w:p>
      <w:pPr>
        <w:jc w:val="center"/>
      </w:pPr>
      <w:r>
        <w:drawing>
          <wp:inline xmlns:a="http://schemas.openxmlformats.org/drawingml/2006/main" xmlns:pic="http://schemas.openxmlformats.org/drawingml/2006/picture">
            <wp:extent cx="5943600" cy="3235960"/>
            <wp:docPr id="20" name="Picture 20"/>
            <wp:cNvGraphicFramePr>
              <a:graphicFrameLocks noChangeAspect="1"/>
            </wp:cNvGraphicFramePr>
            <a:graphic>
              <a:graphicData uri="http://schemas.openxmlformats.org/drawingml/2006/picture">
                <pic:pic>
                  <pic:nvPicPr>
                    <pic:cNvPr id="0" name="10_class_chat.png"/>
                    <pic:cNvPicPr/>
                  </pic:nvPicPr>
                  <pic:blipFill>
                    <a:blip r:embed="rId29"/>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Forums, Chat Rooms &amp; WebRTC Video Calls.</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ForumController/Service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forum, post, reply CRUD with course context.</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SocketAuthMiddleware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Đọc accessToken từ cookie, verify JWT, attach socket.user.</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socketConversation</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send message/file, mark as read, invite/leave/join room.</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socketVideoCall</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activeCalls map, start/join/leave/offer/answer/ICE/end.</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ChatRoom/Message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participants, unreadCounts, lastMessage, file metadata.</w:t>
            </w:r>
          </w:p>
        </w:tc>
      </w:tr>
    </w:tbl>
    <w:p/>
    <w:p>
      <w:r>
        <w:rPr>
          <w:rFonts w:ascii="Calibri" w:hAnsi="Calibri"/>
        </w:rPr>
        <w:t>Main sequence and business flow:</w:t>
      </w:r>
    </w:p>
    <w:p>
      <w:pPr>
        <w:pStyle w:val="ListNumber"/>
      </w:pPr>
      <w:r>
        <w:rPr>
          <w:rFonts w:ascii="Calibri" w:hAnsi="Calibri"/>
        </w:rPr>
        <w:t>Socket connection được xác thực bằng accessToken cookie; user join room riêng của mình và các chatRoom đang tham gia.</w:t>
      </w:r>
    </w:p>
    <w:p>
      <w:pPr>
        <w:pStyle w:val="ListNumber"/>
      </w:pPr>
      <w:r>
        <w:rPr>
          <w:rFonts w:ascii="Calibri" w:hAnsi="Calibri"/>
        </w:rPr>
        <w:t>Gửi message: socketConversation tạo Message, cập nhật ChatRoom.lastMessage/unreadCounts và emit chatroom:new-message.</w:t>
      </w:r>
    </w:p>
    <w:p>
      <w:pPr>
        <w:pStyle w:val="ListNumber"/>
      </w:pPr>
      <w:r>
        <w:rPr>
          <w:rFonts w:ascii="Calibri" w:hAnsi="Calibri"/>
        </w:rPr>
        <w:t>Gửi file chat: file buffer được upload lên MinIO, Message lưu file metadata rồi broadcast về room.</w:t>
      </w:r>
    </w:p>
    <w:p>
      <w:pPr>
        <w:pStyle w:val="ListNumber"/>
      </w:pPr>
      <w:r>
        <w:rPr>
          <w:rFonts w:ascii="Calibri" w:hAnsi="Calibri"/>
        </w:rPr>
        <w:t>Video call: socketVideoCall tạo callId, quản lý activeCalls/userCalls và relay offer/answer/ICE để client thiết lập WebRTC peer-to-peer.</w:t>
      </w:r>
    </w:p>
    <w:p>
      <w:pPr>
        <w:jc w:val="center"/>
      </w:pPr>
      <w:r>
        <w:drawing>
          <wp:inline xmlns:a="http://schemas.openxmlformats.org/drawingml/2006/main" xmlns:pic="http://schemas.openxmlformats.org/drawingml/2006/picture">
            <wp:extent cx="5943600" cy="4953000"/>
            <wp:docPr id="21" name="Picture 21"/>
            <wp:cNvGraphicFramePr>
              <a:graphicFrameLocks noChangeAspect="1"/>
            </wp:cNvGraphicFramePr>
            <a:graphic>
              <a:graphicData uri="http://schemas.openxmlformats.org/drawingml/2006/picture">
                <pic:pic>
                  <pic:nvPicPr>
                    <pic:cNvPr id="0" name="26_seq_chat.png"/>
                    <pic:cNvPicPr/>
                  </pic:nvPicPr>
                  <pic:blipFill>
                    <a:blip r:embed="rId30"/>
                    <a:stretch>
                      <a:fillRect/>
                    </a:stretch>
                  </pic:blipFill>
                  <pic:spPr>
                    <a:xfrm>
                      <a:off x="0" y="0"/>
                      <a:ext cx="5943600" cy="4953000"/>
                    </a:xfrm>
                    <a:prstGeom prst="rect"/>
                  </pic:spPr>
                </pic:pic>
              </a:graphicData>
            </a:graphic>
          </wp:inline>
        </w:drawing>
      </w:r>
    </w:p>
    <w:p>
      <w:pPr>
        <w:spacing w:after="160"/>
        <w:jc w:val="center"/>
      </w:pPr>
      <w:r>
        <w:rPr>
          <w:rFonts w:ascii="Calibri" w:hAnsi="Calibri"/>
          <w:b w:val="0"/>
          <w:i/>
          <w:color w:val="5A6673"/>
          <w:sz w:val="18"/>
        </w:rPr>
        <w:t>Sequence Diagram - Forums, Chat Rooms &amp; WebRTC Video Calls.</w:t>
      </w:r>
    </w:p>
    <w:p>
      <w:pPr>
        <w:pStyle w:val="Heading3"/>
      </w:pPr>
      <w:r>
        <w:t>3.8 Feedback, Announcements, Notifications &amp; Blog</w:t>
      </w:r>
    </w:p>
    <w:p>
      <w:r>
        <w:rPr>
          <w:rFonts w:ascii="Calibri" w:hAnsi="Calibri"/>
        </w:rPr>
        <w:t>Bao phủ các luồng phản hồi, thông báo khóa học/hệ thống, notification đọc/chưa đọc và bài viết public.</w:t>
      </w:r>
    </w:p>
    <w:p>
      <w:pPr>
        <w:jc w:val="center"/>
      </w:pPr>
      <w:r>
        <w:drawing>
          <wp:inline xmlns:a="http://schemas.openxmlformats.org/drawingml/2006/main" xmlns:pic="http://schemas.openxmlformats.org/drawingml/2006/picture">
            <wp:extent cx="5943600" cy="3235960"/>
            <wp:docPr id="22" name="Picture 22"/>
            <wp:cNvGraphicFramePr>
              <a:graphicFrameLocks noChangeAspect="1"/>
            </wp:cNvGraphicFramePr>
            <a:graphic>
              <a:graphicData uri="http://schemas.openxmlformats.org/drawingml/2006/picture">
                <pic:pic>
                  <pic:nvPicPr>
                    <pic:cNvPr id="0" name="10_class_feedback.png"/>
                    <pic:cNvPicPr/>
                  </pic:nvPicPr>
                  <pic:blipFill>
                    <a:blip r:embed="rId31"/>
                    <a:stretch>
                      <a:fillRect/>
                    </a:stretch>
                  </pic:blipFill>
                  <pic:spPr>
                    <a:xfrm>
                      <a:off x="0" y="0"/>
                      <a:ext cx="5943600" cy="3235960"/>
                    </a:xfrm>
                    <a:prstGeom prst="rect"/>
                  </pic:spPr>
                </pic:pic>
              </a:graphicData>
            </a:graphic>
          </wp:inline>
        </w:drawing>
      </w:r>
    </w:p>
    <w:p>
      <w:pPr>
        <w:spacing w:after="160"/>
        <w:jc w:val="center"/>
      </w:pPr>
      <w:r>
        <w:rPr>
          <w:rFonts w:ascii="Calibri" w:hAnsi="Calibri"/>
          <w:b w:val="0"/>
          <w:i/>
          <w:color w:val="5A6673"/>
          <w:sz w:val="18"/>
        </w:rPr>
        <w:t>Class Diagram - Feedback, Announcements, Notifications &amp; Blog.</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tcMar>
              <w:top w:w="80" w:type="dxa"/>
              <w:bottom w:w="80" w:type="dxa"/>
              <w:start w:w="120" w:type="dxa"/>
              <w:end w:w="120" w:type="dxa"/>
            </w:tcMar>
            <w:shd w:fill="F2F4F7"/>
          </w:tcPr>
          <w:p>
            <w:pPr>
              <w:spacing w:after="40"/>
            </w:pPr>
            <w:r>
              <w:rPr>
                <w:rFonts w:ascii="Calibri" w:hAnsi="Calibri"/>
                <w:b/>
                <w:color w:val="0B2545"/>
                <w:sz w:val="16"/>
              </w:rPr>
              <w:t>Class / Module</w:t>
            </w:r>
          </w:p>
        </w:tc>
        <w:tc>
          <w:tcPr>
            <w:tcW w:type="dxa" w:w="6840"/>
            <w:vAlign w:val="center"/>
            <w:tcMar>
              <w:top w:w="80" w:type="dxa"/>
              <w:bottom w:w="80" w:type="dxa"/>
              <w:start w:w="120" w:type="dxa"/>
              <w:end w:w="120" w:type="dxa"/>
            </w:tcMar>
            <w:shd w:fill="F2F4F7"/>
          </w:tcPr>
          <w:p>
            <w:pPr>
              <w:spacing w:after="40"/>
            </w:pPr>
            <w:r>
              <w:rPr>
                <w:rFonts w:ascii="Calibri" w:hAnsi="Calibri"/>
                <w:b/>
                <w:color w:val="0B2545"/>
                <w:sz w:val="16"/>
              </w:rPr>
              <w:t>Specification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FeedbackController/Service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create, list by target, my-feedbacks, delete moderation.</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AnnouncementController/Service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course/system announcement CRUD.</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NotificationService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create notification, read/read-all, soft/hard delete.</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BlogController/Service</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public CRUD by slug.</w:t>
            </w:r>
          </w:p>
        </w:tc>
      </w:tr>
      <w:tr>
        <w:tc>
          <w:tcPr>
            <w:tcW w:type="dxa" w:w="2520"/>
            <w:vAlign w:val="center"/>
            <w:tcMar>
              <w:top w:w="80" w:type="dxa"/>
              <w:bottom w:w="80" w:type="dxa"/>
              <w:start w:w="120" w:type="dxa"/>
              <w:end w:w="120" w:type="dxa"/>
            </w:tcMar>
          </w:tcPr>
          <w:p>
            <w:pPr>
              <w:spacing w:after="40"/>
            </w:pPr>
            <w:r>
              <w:rPr>
                <w:rFonts w:ascii="Calibri" w:hAnsi="Calibri"/>
                <w:b w:val="0"/>
                <w:color w:val="0B2545"/>
                <w:sz w:val="16"/>
              </w:rPr>
              <w:t>Feedback/Announcement/Notification/Blog</w:t>
            </w:r>
          </w:p>
        </w:tc>
        <w:tc>
          <w:tcPr>
            <w:tcW w:type="dxa" w:w="6840"/>
            <w:vAlign w:val="center"/>
            <w:tcMar>
              <w:top w:w="80" w:type="dxa"/>
              <w:bottom w:w="80" w:type="dxa"/>
              <w:start w:w="120" w:type="dxa"/>
              <w:end w:w="120" w:type="dxa"/>
            </w:tcMar>
          </w:tcPr>
          <w:p>
            <w:pPr>
              <w:spacing w:after="40"/>
            </w:pPr>
            <w:r>
              <w:rPr>
                <w:rFonts w:ascii="Calibri" w:hAnsi="Calibri"/>
                <w:b w:val="0"/>
                <w:color w:val="0B2545"/>
                <w:sz w:val="16"/>
              </w:rPr>
              <w:t>supporting communication models.</w:t>
            </w:r>
          </w:p>
        </w:tc>
      </w:tr>
    </w:tbl>
    <w:p/>
    <w:p>
      <w:r>
        <w:rPr>
          <w:rFonts w:ascii="Calibri" w:hAnsi="Calibri"/>
        </w:rPr>
        <w:t>Main sequence and business flow:</w:t>
      </w:r>
    </w:p>
    <w:p>
      <w:pPr>
        <w:pStyle w:val="ListNumber"/>
      </w:pPr>
      <w:r>
        <w:rPr>
          <w:rFonts w:ascii="Calibri" w:hAnsi="Calibri"/>
        </w:rPr>
        <w:t>Student gửi feedback có title, description, rating và optional attachment; service lưu targetId/type và file metadata nếu có.</w:t>
      </w:r>
    </w:p>
    <w:p>
      <w:pPr>
        <w:pStyle w:val="ListNumber"/>
      </w:pPr>
      <w:r>
        <w:rPr>
          <w:rFonts w:ascii="Calibri" w:hAnsi="Calibri"/>
        </w:rPr>
        <w:t>Teacher/Admin tạo announcement; route yêu cầu authenticate và service lưu course/system scope.</w:t>
      </w:r>
    </w:p>
    <w:p>
      <w:pPr>
        <w:pStyle w:val="ListNumber"/>
      </w:pPr>
      <w:r>
        <w:rPr>
          <w:rFonts w:ascii="Calibri" w:hAnsi="Calibri"/>
        </w:rPr>
        <w:t>Notification được tạo bởi các service khác khi enrollment/course/chat thay đổi; user đọc qua /notifications và mark read/delete.</w:t>
      </w:r>
    </w:p>
    <w:p>
      <w:pPr>
        <w:pStyle w:val="ListNumber"/>
      </w:pPr>
      <w:r>
        <w:rPr>
          <w:rFonts w:ascii="Calibri" w:hAnsi="Calibri"/>
        </w:rPr>
        <w:t>Blog public có slug unique và text index để hiển thị nội dung landing/knowledge sharing.</w:t>
      </w:r>
    </w:p>
    <w:p>
      <w:pPr>
        <w:jc w:val="center"/>
      </w:pPr>
      <w:r>
        <w:drawing>
          <wp:inline xmlns:a="http://schemas.openxmlformats.org/drawingml/2006/main" xmlns:pic="http://schemas.openxmlformats.org/drawingml/2006/picture">
            <wp:extent cx="5943600" cy="4953000"/>
            <wp:docPr id="23" name="Picture 23"/>
            <wp:cNvGraphicFramePr>
              <a:graphicFrameLocks noChangeAspect="1"/>
            </wp:cNvGraphicFramePr>
            <a:graphic>
              <a:graphicData uri="http://schemas.openxmlformats.org/drawingml/2006/picture">
                <pic:pic>
                  <pic:nvPicPr>
                    <pic:cNvPr id="0" name="27_seq_feedback.png"/>
                    <pic:cNvPicPr/>
                  </pic:nvPicPr>
                  <pic:blipFill>
                    <a:blip r:embed="rId32"/>
                    <a:stretch>
                      <a:fillRect/>
                    </a:stretch>
                  </pic:blipFill>
                  <pic:spPr>
                    <a:xfrm>
                      <a:off x="0" y="0"/>
                      <a:ext cx="5943600" cy="4953000"/>
                    </a:xfrm>
                    <a:prstGeom prst="rect"/>
                  </pic:spPr>
                </pic:pic>
              </a:graphicData>
            </a:graphic>
          </wp:inline>
        </w:drawing>
      </w:r>
    </w:p>
    <w:p>
      <w:pPr>
        <w:spacing w:after="160"/>
        <w:jc w:val="center"/>
      </w:pPr>
      <w:r>
        <w:rPr>
          <w:rFonts w:ascii="Calibri" w:hAnsi="Calibri"/>
          <w:b w:val="0"/>
          <w:i/>
          <w:color w:val="5A6673"/>
          <w:sz w:val="18"/>
        </w:rPr>
        <w:t>Sequence Diagram - Feedback, Announcements, Notifications &amp; Blog.</w:t>
      </w:r>
    </w:p>
    <w:p>
      <w:pPr>
        <w:pStyle w:val="Heading3"/>
      </w:pPr>
      <w:r>
        <w:t>3.9 Cross-Cutting Design Decisions</w:t>
      </w:r>
    </w:p>
    <w:tbl>
      <w:tblPr>
        <w:tblStyle w:val="TableGrid"/>
        <w:tblW w:type="auto" w:w="0"/>
        <w:jc w:val="left"/>
        <w:tblLayout w:type="fixed"/>
        <w:tblLook w:firstColumn="1" w:firstRow="1" w:lastColumn="0" w:lastRow="0" w:noHBand="0" w:noVBand="1" w:val="04A0"/>
      </w:tblPr>
      <w:tblGrid>
        <w:gridCol w:w="4680"/>
        <w:gridCol w:w="4680"/>
      </w:tblGrid>
      <w:tr>
        <w:tc>
          <w:tcPr>
            <w:tcW w:type="dxa" w:w="2088"/>
            <w:vAlign w:val="center"/>
            <w:tcMar>
              <w:top w:w="80" w:type="dxa"/>
              <w:bottom w:w="80" w:type="dxa"/>
              <w:start w:w="120" w:type="dxa"/>
              <w:end w:w="120" w:type="dxa"/>
            </w:tcMar>
            <w:shd w:fill="F2F4F7"/>
          </w:tcPr>
          <w:p>
            <w:pPr>
              <w:spacing w:after="40"/>
            </w:pPr>
            <w:r>
              <w:rPr>
                <w:rFonts w:ascii="Calibri" w:hAnsi="Calibri"/>
                <w:b/>
                <w:color w:val="0B2545"/>
                <w:sz w:val="16"/>
              </w:rPr>
              <w:t>Concern</w:t>
            </w:r>
          </w:p>
        </w:tc>
        <w:tc>
          <w:tcPr>
            <w:tcW w:type="dxa" w:w="7272"/>
            <w:vAlign w:val="center"/>
            <w:tcMar>
              <w:top w:w="80" w:type="dxa"/>
              <w:bottom w:w="80" w:type="dxa"/>
              <w:start w:w="120" w:type="dxa"/>
              <w:end w:w="120" w:type="dxa"/>
            </w:tcMar>
            <w:shd w:fill="F2F4F7"/>
          </w:tcPr>
          <w:p>
            <w:pPr>
              <w:spacing w:after="40"/>
            </w:pPr>
            <w:r>
              <w:rPr>
                <w:rFonts w:ascii="Calibri" w:hAnsi="Calibri"/>
                <w:b/>
                <w:color w:val="0B2545"/>
                <w:sz w:val="16"/>
              </w:rPr>
              <w:t>Design Decision</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Authentication</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JWT accessToken and refreshToken are stored as HTTP-only cookies. refreshToken maps to SessionModel, not localStorage.</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Authorization</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Protected routes use authenticate and authorize(Role...). Socket.IO uses socketAuthMiddleware to verify the same access token from cookies.</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Validation</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Validators parse request DTOs before service logic; services still enforce domain rules and ownership checks.</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Error handling</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Services use appAssert/AppError with HTTP constants; errorHandler centralizes failure responses.</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File upload</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Multer memoryStorage enforces MIME allow-list and 20MB limit, then uploadFile streams buffer into MinIO/S3.</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Soft delete</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Course and notification-like flows preserve history using isDeleted/deletedAt/deletedBy where applicable.</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Realtime</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Socket events update MongoDB first, then emit to chat room/user rooms to keep UI state consistent.</w:t>
            </w:r>
          </w:p>
        </w:tc>
      </w:tr>
      <w:tr>
        <w:tc>
          <w:tcPr>
            <w:tcW w:type="dxa" w:w="2088"/>
            <w:vAlign w:val="center"/>
            <w:tcMar>
              <w:top w:w="80" w:type="dxa"/>
              <w:bottom w:w="80" w:type="dxa"/>
              <w:start w:w="120" w:type="dxa"/>
              <w:end w:w="120" w:type="dxa"/>
            </w:tcMar>
          </w:tcPr>
          <w:p>
            <w:pPr>
              <w:spacing w:after="40"/>
            </w:pPr>
            <w:r>
              <w:rPr>
                <w:rFonts w:ascii="Calibri" w:hAnsi="Calibri"/>
                <w:b w:val="0"/>
                <w:color w:val="0B2545"/>
                <w:sz w:val="16"/>
              </w:rPr>
              <w:t>Observability</w:t>
            </w:r>
          </w:p>
        </w:tc>
        <w:tc>
          <w:tcPr>
            <w:tcW w:type="dxa" w:w="7272"/>
            <w:vAlign w:val="center"/>
            <w:tcMar>
              <w:top w:w="80" w:type="dxa"/>
              <w:bottom w:w="80" w:type="dxa"/>
              <w:start w:w="120" w:type="dxa"/>
              <w:end w:w="120" w:type="dxa"/>
            </w:tcMar>
          </w:tcPr>
          <w:p>
            <w:pPr>
              <w:spacing w:after="40"/>
            </w:pPr>
            <w:r>
              <w:rPr>
                <w:rFonts w:ascii="Calibri" w:hAnsi="Calibri"/>
                <w:b w:val="0"/>
                <w:color w:val="0B2545"/>
                <w:sz w:val="16"/>
              </w:rPr>
              <w:t>Service-level indexes and filtered queries support pagination, stats, text search and role-scoped access.</w:t>
            </w:r>
          </w:p>
        </w:tc>
      </w:tr>
    </w:tbl>
    <w:p/>
    <w:p>
      <w:pPr>
        <w:pStyle w:val="Heading3"/>
      </w:pPr>
      <w:r>
        <w:t>3.10 Traceability Summary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vAlign w:val="center"/>
            <w:tcMar>
              <w:top w:w="80" w:type="dxa"/>
              <w:bottom w:w="80" w:type="dxa"/>
              <w:start w:w="120" w:type="dxa"/>
              <w:end w:w="120" w:type="dxa"/>
            </w:tcMar>
            <w:shd w:fill="F2F4F7"/>
          </w:tcPr>
          <w:p>
            <w:pPr>
              <w:spacing w:after="40"/>
            </w:pPr>
            <w:r>
              <w:rPr>
                <w:rFonts w:ascii="Calibri" w:hAnsi="Calibri"/>
                <w:b/>
                <w:color w:val="0B2545"/>
                <w:sz w:val="16"/>
              </w:rPr>
              <w:t>Business Area</w:t>
            </w:r>
          </w:p>
        </w:tc>
        <w:tc>
          <w:tcPr>
            <w:tcW w:type="dxa" w:w="3096"/>
            <w:vAlign w:val="center"/>
            <w:tcMar>
              <w:top w:w="80" w:type="dxa"/>
              <w:bottom w:w="80" w:type="dxa"/>
              <w:start w:w="120" w:type="dxa"/>
              <w:end w:w="120" w:type="dxa"/>
            </w:tcMar>
            <w:shd w:fill="F2F4F7"/>
          </w:tcPr>
          <w:p>
            <w:pPr>
              <w:spacing w:after="40"/>
            </w:pPr>
            <w:r>
              <w:rPr>
                <w:rFonts w:ascii="Calibri" w:hAnsi="Calibri"/>
                <w:b/>
                <w:color w:val="0B2545"/>
                <w:sz w:val="16"/>
              </w:rPr>
              <w:t>Code Evidence</w:t>
            </w:r>
          </w:p>
        </w:tc>
        <w:tc>
          <w:tcPr>
            <w:tcW w:type="dxa" w:w="4320"/>
            <w:vAlign w:val="center"/>
            <w:tcMar>
              <w:top w:w="80" w:type="dxa"/>
              <w:bottom w:w="80" w:type="dxa"/>
              <w:start w:w="120" w:type="dxa"/>
              <w:end w:w="120" w:type="dxa"/>
            </w:tcMar>
            <w:shd w:fill="F2F4F7"/>
          </w:tcPr>
          <w:p>
            <w:pPr>
              <w:spacing w:after="40"/>
            </w:pPr>
            <w:r>
              <w:rPr>
                <w:rFonts w:ascii="Calibri" w:hAnsi="Calibri"/>
                <w:b/>
                <w:color w:val="0B2545"/>
                <w:sz w:val="16"/>
              </w:rPr>
              <w:t>Covered Flows</w:t>
            </w:r>
          </w:p>
        </w:tc>
      </w:tr>
      <w:tr>
        <w:tc>
          <w:tcPr>
            <w:tcW w:type="dxa" w:w="1944"/>
            <w:vAlign w:val="center"/>
            <w:tcMar>
              <w:top w:w="80" w:type="dxa"/>
              <w:bottom w:w="80" w:type="dxa"/>
              <w:start w:w="120" w:type="dxa"/>
              <w:end w:w="120" w:type="dxa"/>
            </w:tcMar>
          </w:tcPr>
          <w:p>
            <w:pPr>
              <w:spacing w:after="40"/>
            </w:pPr>
            <w:r>
              <w:rPr>
                <w:rFonts w:ascii="Calibri" w:hAnsi="Calibri"/>
                <w:b w:val="0"/>
                <w:color w:val="0B2545"/>
                <w:sz w:val="16"/>
              </w:rPr>
              <w:t>Authentication &amp; Users</w:t>
            </w:r>
          </w:p>
        </w:tc>
        <w:tc>
          <w:tcPr>
            <w:tcW w:type="dxa" w:w="3096"/>
            <w:vAlign w:val="center"/>
            <w:tcMar>
              <w:top w:w="80" w:type="dxa"/>
              <w:bottom w:w="80" w:type="dxa"/>
              <w:start w:w="120" w:type="dxa"/>
              <w:end w:w="120" w:type="dxa"/>
            </w:tcMar>
          </w:tcPr>
          <w:p>
            <w:pPr>
              <w:spacing w:after="40"/>
            </w:pPr>
            <w:r>
              <w:rPr>
                <w:rFonts w:ascii="Calibri" w:hAnsi="Calibri"/>
                <w:b w:val="0"/>
                <w:color w:val="0B2545"/>
                <w:sz w:val="16"/>
              </w:rPr>
              <w:t>auth.route.ts, auth.controller.ts, auth.service.ts, user/session/verificationCode models</w:t>
            </w:r>
          </w:p>
        </w:tc>
        <w:tc>
          <w:tcPr>
            <w:tcW w:type="dxa" w:w="4320"/>
            <w:vAlign w:val="center"/>
            <w:tcMar>
              <w:top w:w="80" w:type="dxa"/>
              <w:bottom w:w="80" w:type="dxa"/>
              <w:start w:w="120" w:type="dxa"/>
              <w:end w:w="120" w:type="dxa"/>
            </w:tcMar>
          </w:tcPr>
          <w:p>
            <w:pPr>
              <w:spacing w:after="40"/>
            </w:pPr>
            <w:r>
              <w:rPr>
                <w:rFonts w:ascii="Calibri" w:hAnsi="Calibri"/>
                <w:b w:val="0"/>
                <w:color w:val="0B2545"/>
                <w:sz w:val="16"/>
              </w:rPr>
              <w:t>Register, verify email, login, Google login, refresh, logout, reset password, profile/user management.</w:t>
            </w:r>
          </w:p>
        </w:tc>
      </w:tr>
      <w:tr>
        <w:tc>
          <w:tcPr>
            <w:tcW w:type="dxa" w:w="1944"/>
            <w:vAlign w:val="center"/>
            <w:tcMar>
              <w:top w:w="80" w:type="dxa"/>
              <w:bottom w:w="80" w:type="dxa"/>
              <w:start w:w="120" w:type="dxa"/>
              <w:end w:w="120" w:type="dxa"/>
            </w:tcMar>
          </w:tcPr>
          <w:p>
            <w:pPr>
              <w:spacing w:after="40"/>
            </w:pPr>
            <w:r>
              <w:rPr>
                <w:rFonts w:ascii="Calibri" w:hAnsi="Calibri"/>
                <w:b w:val="0"/>
                <w:color w:val="0B2545"/>
                <w:sz w:val="16"/>
              </w:rPr>
              <w:t>Course &amp; Enrollment</w:t>
            </w:r>
          </w:p>
        </w:tc>
        <w:tc>
          <w:tcPr>
            <w:tcW w:type="dxa" w:w="3096"/>
            <w:vAlign w:val="center"/>
            <w:tcMar>
              <w:top w:w="80" w:type="dxa"/>
              <w:bottom w:w="80" w:type="dxa"/>
              <w:start w:w="120" w:type="dxa"/>
              <w:end w:w="120" w:type="dxa"/>
            </w:tcMar>
          </w:tcPr>
          <w:p>
            <w:pPr>
              <w:spacing w:after="40"/>
            </w:pPr>
            <w:r>
              <w:rPr>
                <w:rFonts w:ascii="Calibri" w:hAnsi="Calibri"/>
                <w:b w:val="0"/>
                <w:color w:val="0B2545"/>
                <w:sz w:val="16"/>
              </w:rPr>
              <w:t>course/enrollment/subject/courseInvite services and models</w:t>
            </w:r>
          </w:p>
        </w:tc>
        <w:tc>
          <w:tcPr>
            <w:tcW w:type="dxa" w:w="4320"/>
            <w:vAlign w:val="center"/>
            <w:tcMar>
              <w:top w:w="80" w:type="dxa"/>
              <w:bottom w:w="80" w:type="dxa"/>
              <w:start w:w="120" w:type="dxa"/>
              <w:end w:w="120" w:type="dxa"/>
            </w:tcMar>
          </w:tcPr>
          <w:p>
            <w:pPr>
              <w:spacing w:after="40"/>
            </w:pPr>
            <w:r>
              <w:rPr>
                <w:rFonts w:ascii="Calibri" w:hAnsi="Calibri"/>
                <w:b w:val="0"/>
                <w:color w:val="0B2545"/>
                <w:sz w:val="16"/>
              </w:rPr>
              <w:t>Course creation, publish, soft delete, self-enroll, invite join, prerequisite, capacity and cooldown.</w:t>
            </w:r>
          </w:p>
        </w:tc>
      </w:tr>
      <w:tr>
        <w:tc>
          <w:tcPr>
            <w:tcW w:type="dxa" w:w="1944"/>
            <w:vAlign w:val="center"/>
            <w:tcMar>
              <w:top w:w="80" w:type="dxa"/>
              <w:bottom w:w="80" w:type="dxa"/>
              <w:start w:w="120" w:type="dxa"/>
              <w:end w:w="120" w:type="dxa"/>
            </w:tcMar>
          </w:tcPr>
          <w:p>
            <w:pPr>
              <w:spacing w:after="40"/>
            </w:pPr>
            <w:r>
              <w:rPr>
                <w:rFonts w:ascii="Calibri" w:hAnsi="Calibri"/>
                <w:b w:val="0"/>
                <w:color w:val="0B2545"/>
                <w:sz w:val="16"/>
              </w:rPr>
              <w:t>Learning Content</w:t>
            </w:r>
          </w:p>
        </w:tc>
        <w:tc>
          <w:tcPr>
            <w:tcW w:type="dxa" w:w="3096"/>
            <w:vAlign w:val="center"/>
            <w:tcMar>
              <w:top w:w="80" w:type="dxa"/>
              <w:bottom w:w="80" w:type="dxa"/>
              <w:start w:w="120" w:type="dxa"/>
              <w:end w:w="120" w:type="dxa"/>
            </w:tcMar>
          </w:tcPr>
          <w:p>
            <w:pPr>
              <w:spacing w:after="40"/>
            </w:pPr>
            <w:r>
              <w:rPr>
                <w:rFonts w:ascii="Calibri" w:hAnsi="Calibri"/>
                <w:b w:val="0"/>
                <w:color w:val="0B2545"/>
                <w:sz w:val="16"/>
              </w:rPr>
              <w:t>lesson, lessonMaterial, lessonProgress modules</w:t>
            </w:r>
          </w:p>
        </w:tc>
        <w:tc>
          <w:tcPr>
            <w:tcW w:type="dxa" w:w="4320"/>
            <w:vAlign w:val="center"/>
            <w:tcMar>
              <w:top w:w="80" w:type="dxa"/>
              <w:bottom w:w="80" w:type="dxa"/>
              <w:start w:w="120" w:type="dxa"/>
              <w:end w:w="120" w:type="dxa"/>
            </w:tcMar>
          </w:tcPr>
          <w:p>
            <w:pPr>
              <w:spacing w:after="40"/>
            </w:pPr>
            <w:r>
              <w:rPr>
                <w:rFonts w:ascii="Calibri" w:hAnsi="Calibri"/>
                <w:b w:val="0"/>
                <w:color w:val="0B2545"/>
                <w:sz w:val="16"/>
              </w:rPr>
              <w:t>Lesson CRUD, material upload/download, presigned URL, time-on-task and completion.</w:t>
            </w:r>
          </w:p>
        </w:tc>
      </w:tr>
      <w:tr>
        <w:tc>
          <w:tcPr>
            <w:tcW w:type="dxa" w:w="1944"/>
            <w:vAlign w:val="center"/>
            <w:tcMar>
              <w:top w:w="80" w:type="dxa"/>
              <w:bottom w:w="80" w:type="dxa"/>
              <w:start w:w="120" w:type="dxa"/>
              <w:end w:w="120" w:type="dxa"/>
            </w:tcMar>
          </w:tcPr>
          <w:p>
            <w:pPr>
              <w:spacing w:after="40"/>
            </w:pPr>
            <w:r>
              <w:rPr>
                <w:rFonts w:ascii="Calibri" w:hAnsi="Calibri"/>
                <w:b w:val="0"/>
                <w:color w:val="0B2545"/>
                <w:sz w:val="16"/>
              </w:rPr>
              <w:t>Assessment</w:t>
            </w:r>
          </w:p>
        </w:tc>
        <w:tc>
          <w:tcPr>
            <w:tcW w:type="dxa" w:w="3096"/>
            <w:vAlign w:val="center"/>
            <w:tcMar>
              <w:top w:w="80" w:type="dxa"/>
              <w:bottom w:w="80" w:type="dxa"/>
              <w:start w:w="120" w:type="dxa"/>
              <w:end w:w="120" w:type="dxa"/>
            </w:tcMar>
          </w:tcPr>
          <w:p>
            <w:pPr>
              <w:spacing w:after="40"/>
            </w:pPr>
            <w:r>
              <w:rPr>
                <w:rFonts w:ascii="Calibri" w:hAnsi="Calibri"/>
                <w:b w:val="0"/>
                <w:color w:val="0B2545"/>
                <w:sz w:val="16"/>
              </w:rPr>
              <w:t>quiz, quizQuestion, quizAttempt, assignment, submission modules</w:t>
            </w:r>
          </w:p>
        </w:tc>
        <w:tc>
          <w:tcPr>
            <w:tcW w:type="dxa" w:w="4320"/>
            <w:vAlign w:val="center"/>
            <w:tcMar>
              <w:top w:w="80" w:type="dxa"/>
              <w:bottom w:w="80" w:type="dxa"/>
              <w:start w:w="120" w:type="dxa"/>
              <w:end w:w="120" w:type="dxa"/>
            </w:tcMar>
          </w:tcPr>
          <w:p>
            <w:pPr>
              <w:spacing w:after="40"/>
            </w:pPr>
            <w:r>
              <w:rPr>
                <w:rFonts w:ascii="Calibri" w:hAnsi="Calibri"/>
                <w:b w:val="0"/>
                <w:color w:val="0B2545"/>
                <w:sz w:val="16"/>
              </w:rPr>
              <w:t>Question import/export, quiz attempt auto-save/submit/regrade/ban, assignment submission/grading/report.</w:t>
            </w:r>
          </w:p>
        </w:tc>
      </w:tr>
      <w:tr>
        <w:tc>
          <w:tcPr>
            <w:tcW w:type="dxa" w:w="1944"/>
            <w:vAlign w:val="center"/>
            <w:tcMar>
              <w:top w:w="80" w:type="dxa"/>
              <w:bottom w:w="80" w:type="dxa"/>
              <w:start w:w="120" w:type="dxa"/>
              <w:end w:w="120" w:type="dxa"/>
            </w:tcMar>
          </w:tcPr>
          <w:p>
            <w:pPr>
              <w:spacing w:after="40"/>
            </w:pPr>
            <w:r>
              <w:rPr>
                <w:rFonts w:ascii="Calibri" w:hAnsi="Calibri"/>
                <w:b w:val="0"/>
                <w:color w:val="0B2545"/>
                <w:sz w:val="16"/>
              </w:rPr>
              <w:t>Schedule &amp; Attendance</w:t>
            </w:r>
          </w:p>
        </w:tc>
        <w:tc>
          <w:tcPr>
            <w:tcW w:type="dxa" w:w="3096"/>
            <w:vAlign w:val="center"/>
            <w:tcMar>
              <w:top w:w="80" w:type="dxa"/>
              <w:bottom w:w="80" w:type="dxa"/>
              <w:start w:w="120" w:type="dxa"/>
              <w:end w:w="120" w:type="dxa"/>
            </w:tcMar>
          </w:tcPr>
          <w:p>
            <w:pPr>
              <w:spacing w:after="40"/>
            </w:pPr>
            <w:r>
              <w:rPr>
                <w:rFonts w:ascii="Calibri" w:hAnsi="Calibri"/>
                <w:b w:val="0"/>
                <w:color w:val="0B2545"/>
                <w:sz w:val="16"/>
              </w:rPr>
              <w:t>schedule, timeSlot, scheduleException, attendance modules</w:t>
            </w:r>
          </w:p>
        </w:tc>
        <w:tc>
          <w:tcPr>
            <w:tcW w:type="dxa" w:w="4320"/>
            <w:vAlign w:val="center"/>
            <w:tcMar>
              <w:top w:w="80" w:type="dxa"/>
              <w:bottom w:w="80" w:type="dxa"/>
              <w:start w:w="120" w:type="dxa"/>
              <w:end w:w="120" w:type="dxa"/>
            </w:tcMar>
          </w:tcPr>
          <w:p>
            <w:pPr>
              <w:spacing w:after="40"/>
            </w:pPr>
            <w:r>
              <w:rPr>
                <w:rFonts w:ascii="Calibri" w:hAnsi="Calibri"/>
                <w:b w:val="0"/>
                <w:color w:val="0B2545"/>
                <w:sz w:val="16"/>
              </w:rPr>
              <w:t>Weekly schedule, exception approval, attendance marking, exports and absence email warning.</w:t>
            </w:r>
          </w:p>
        </w:tc>
      </w:tr>
      <w:tr>
        <w:tc>
          <w:tcPr>
            <w:tcW w:type="dxa" w:w="1944"/>
            <w:vAlign w:val="center"/>
            <w:tcMar>
              <w:top w:w="80" w:type="dxa"/>
              <w:bottom w:w="80" w:type="dxa"/>
              <w:start w:w="120" w:type="dxa"/>
              <w:end w:w="120" w:type="dxa"/>
            </w:tcMar>
          </w:tcPr>
          <w:p>
            <w:pPr>
              <w:spacing w:after="40"/>
            </w:pPr>
            <w:r>
              <w:rPr>
                <w:rFonts w:ascii="Calibri" w:hAnsi="Calibri"/>
                <w:b w:val="0"/>
                <w:color w:val="0B2545"/>
                <w:sz w:val="16"/>
              </w:rPr>
              <w:t>Communication</w:t>
            </w:r>
          </w:p>
        </w:tc>
        <w:tc>
          <w:tcPr>
            <w:tcW w:type="dxa" w:w="3096"/>
            <w:vAlign w:val="center"/>
            <w:tcMar>
              <w:top w:w="80" w:type="dxa"/>
              <w:bottom w:w="80" w:type="dxa"/>
              <w:start w:w="120" w:type="dxa"/>
              <w:end w:w="120" w:type="dxa"/>
            </w:tcMar>
          </w:tcPr>
          <w:p>
            <w:pPr>
              <w:spacing w:after="40"/>
            </w:pPr>
            <w:r>
              <w:rPr>
                <w:rFonts w:ascii="Calibri" w:hAnsi="Calibri"/>
                <w:b w:val="0"/>
                <w:color w:val="0B2545"/>
                <w:sz w:val="16"/>
              </w:rPr>
              <w:t>forum, chatRoom, message, notification, announcement, feedback, blog, socket modules</w:t>
            </w:r>
          </w:p>
        </w:tc>
        <w:tc>
          <w:tcPr>
            <w:tcW w:type="dxa" w:w="4320"/>
            <w:vAlign w:val="center"/>
            <w:tcMar>
              <w:top w:w="80" w:type="dxa"/>
              <w:bottom w:w="80" w:type="dxa"/>
              <w:start w:w="120" w:type="dxa"/>
              <w:end w:w="120" w:type="dxa"/>
            </w:tcMar>
          </w:tcPr>
          <w:p>
            <w:pPr>
              <w:spacing w:after="40"/>
            </w:pPr>
            <w:r>
              <w:rPr>
                <w:rFonts w:ascii="Calibri" w:hAnsi="Calibri"/>
                <w:b w:val="0"/>
                <w:color w:val="0B2545"/>
                <w:sz w:val="16"/>
              </w:rPr>
              <w:t>Forum threads/replies, realtime chat, WebRTC signaling, notifications, announcements, ratings and public posts.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673"/>
        <w:sz w:val="18"/>
      </w:rPr>
      <w:t>LMS Software Design Document | Report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