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i w:val="false"/>
          <w:iCs w:val="false"/>
          <w:sz w:val="28"/>
          <w:szCs w:val="28"/>
        </w:rPr>
        <w:t>BYLAWS OF</w:t>
      </w:r>
    </w:p>
    <w:p>
      <w:pPr>
        <w:pStyle w:val="Normal"/>
        <w:spacing w:before="0" w:after="80"/>
        <w:jc w:val="center"/>
        <w:rPr/>
      </w:pPr>
      <w:r>
        <w:rPr>
          <w:b/>
          <w:bCs/>
          <w:i w:val="false"/>
          <w:iCs w:val="false"/>
          <w:sz w:val="32"/>
          <w:szCs w:val="32"/>
        </w:rPr>
        <w:t>NETWORK THEORY APPLIED RESEARCH INSTITUTE, INC.</w:t>
      </w:r>
    </w:p>
    <w:p>
      <w:pPr>
        <w:pStyle w:val="Normal"/>
        <w:spacing w:before="0" w:after="80"/>
        <w:jc w:val="center"/>
        <w:rPr/>
      </w:pPr>
      <w:r>
        <w:rPr>
          <w:b w:val="false"/>
          <w:bCs w:val="false"/>
          <w:i w:val="false"/>
          <w:iCs w:val="false"/>
          <w:sz w:val="22"/>
          <w:szCs w:val="22"/>
        </w:rPr>
        <w:t>EIN: 92-3047136  •  Document ID: P1-001</w:t>
      </w:r>
    </w:p>
    <w:p>
      <w:pPr>
        <w:pStyle w:val="Normal"/>
        <w:spacing w:before="0" w:after="80"/>
        <w:jc w:val="center"/>
        <w:rPr/>
      </w:pPr>
      <w:r>
        <w:rPr>
          <w:b w:val="false"/>
          <w:bCs w:val="false"/>
          <w:i w:val="false"/>
          <w:iCs w:val="false"/>
          <w:sz w:val="22"/>
          <w:szCs w:val="22"/>
        </w:rPr>
        <w:t>Version 7.0 — DRAFT  •  July 12, 2026</w:t>
      </w:r>
    </w:p>
    <w:p>
      <w:pPr>
        <w:pStyle w:val="Normal"/>
        <w:spacing w:before="0" w:after="360"/>
        <w:jc w:val="center"/>
        <w:rPr/>
      </w:pPr>
      <w:r>
        <w:rPr>
          <w:b w:val="false"/>
          <w:bCs w:val="false"/>
          <w:i/>
          <w:iCs/>
          <w:sz w:val="22"/>
          <w:szCs w:val="22"/>
        </w:rPr>
        <w:t>Draft for member consideration under Article IX; not yet adopted.</w:t>
      </w:r>
    </w:p>
    <w:p>
      <w:pPr>
        <w:pStyle w:val="Heading1"/>
        <w:spacing w:before="360" w:after="160"/>
        <w:rPr/>
      </w:pPr>
      <w:r>
        <w:rPr/>
        <w:t>ARTICLE I: CORPORATE IDENTITY AND PURPOSE</w:t>
      </w:r>
    </w:p>
    <w:p>
      <w:pPr>
        <w:pStyle w:val="Heading2"/>
        <w:spacing w:before="260" w:after="120"/>
        <w:rPr/>
      </w:pPr>
      <w:r>
        <w:rPr/>
        <w:t>Section 1.1: Corporate Status</w:t>
      </w:r>
    </w:p>
    <w:p>
      <w:pPr>
        <w:pStyle w:val="Normal"/>
        <w:spacing w:before="0" w:after="120"/>
        <w:rPr/>
      </w:pPr>
      <w:r>
        <w:rPr/>
        <w:t>The Network Theory Applied Research Institute, Inc. ("Corporation") is a nonprofit corporation organized exclusively for charitable, educational, and scientific purposes under Section 501(c)(3) of the Internal Revenue Code and KRS Chapter 273.</w:t>
      </w:r>
    </w:p>
    <w:p>
      <w:pPr>
        <w:pStyle w:val="Heading2"/>
        <w:spacing w:before="260" w:after="120"/>
        <w:rPr/>
      </w:pPr>
      <w:r>
        <w:rPr/>
        <w:t>Section 1.2: Corporate Purpose</w:t>
      </w:r>
    </w:p>
    <w:p>
      <w:pPr>
        <w:pStyle w:val="Normal"/>
        <w:spacing w:before="0" w:after="120"/>
        <w:rPr/>
      </w:pPr>
      <w:r>
        <w:rPr/>
        <w:t>The Corporation's purpose is to improve the internet by developing systems, protocols, and programs that advance network technology for the global public benefit, including:</w:t>
      </w:r>
    </w:p>
    <w:p>
      <w:pPr>
        <w:pStyle w:val="ListParagraph"/>
        <w:numPr>
          <w:ilvl w:val="0"/>
          <w:numId w:val="3"/>
        </w:numPr>
        <w:spacing w:before="0" w:after="60"/>
        <w:rPr/>
      </w:pPr>
      <w:r>
        <w:rPr/>
        <w:t>Research and development of open-source network protocols</w:t>
      </w:r>
    </w:p>
    <w:p>
      <w:pPr>
        <w:pStyle w:val="ListParagraph"/>
        <w:numPr>
          <w:ilvl w:val="0"/>
          <w:numId w:val="1"/>
        </w:numPr>
        <w:spacing w:before="0" w:after="60"/>
        <w:rPr/>
      </w:pPr>
      <w:r>
        <w:rPr/>
        <w:t>Educational programs on network theory and internet infrastructure</w:t>
      </w:r>
    </w:p>
    <w:p>
      <w:pPr>
        <w:pStyle w:val="ListParagraph"/>
        <w:numPr>
          <w:ilvl w:val="0"/>
          <w:numId w:val="1"/>
        </w:numPr>
        <w:spacing w:before="0" w:after="60"/>
        <w:rPr/>
      </w:pPr>
      <w:r>
        <w:rPr/>
        <w:t>Scientific advancement in distributed systems and network topology</w:t>
      </w:r>
    </w:p>
    <w:p>
      <w:pPr>
        <w:pStyle w:val="ListParagraph"/>
        <w:numPr>
          <w:ilvl w:val="0"/>
          <w:numId w:val="1"/>
        </w:numPr>
        <w:spacing w:before="0" w:after="60"/>
        <w:rPr/>
      </w:pPr>
      <w:r>
        <w:rPr/>
        <w:t>Charitable activities that promote digital equity and internet accessibility</w:t>
      </w:r>
    </w:p>
    <w:p>
      <w:pPr>
        <w:pStyle w:val="Heading2"/>
        <w:spacing w:before="260" w:after="120"/>
        <w:rPr/>
      </w:pPr>
      <w:r>
        <w:rPr/>
        <w:t>Section 1.3: Prohibited Activities</w:t>
      </w:r>
    </w:p>
    <w:p>
      <w:pPr>
        <w:pStyle w:val="Normal"/>
        <w:spacing w:before="0" w:after="120"/>
        <w:rPr/>
      </w:pPr>
      <w:r>
        <w:rPr/>
        <w:t>The Corporation shall not:</w:t>
      </w:r>
    </w:p>
    <w:p>
      <w:pPr>
        <w:pStyle w:val="ListParagraph"/>
        <w:numPr>
          <w:ilvl w:val="0"/>
          <w:numId w:val="1"/>
        </w:numPr>
        <w:spacing w:before="0" w:after="60"/>
        <w:rPr/>
      </w:pPr>
      <w:r>
        <w:rPr/>
        <w:t>Engage in political campaigning or substantial lobbying activities as prohibited under Section 501(c)(3)</w:t>
      </w:r>
    </w:p>
    <w:p>
      <w:pPr>
        <w:pStyle w:val="ListParagraph"/>
        <w:numPr>
          <w:ilvl w:val="0"/>
          <w:numId w:val="1"/>
        </w:numPr>
        <w:spacing w:before="0" w:after="60"/>
        <w:rPr/>
      </w:pPr>
      <w:r>
        <w:rPr/>
        <w:t>Operate for private benefit or private inurement</w:t>
      </w:r>
    </w:p>
    <w:p>
      <w:pPr>
        <w:pStyle w:val="ListParagraph"/>
        <w:numPr>
          <w:ilvl w:val="0"/>
          <w:numId w:val="1"/>
        </w:numPr>
        <w:spacing w:before="0" w:after="60"/>
        <w:rPr/>
      </w:pPr>
      <w:r>
        <w:rPr/>
        <w:t>Discriminate based on protected characteristics under applicable law</w:t>
      </w:r>
    </w:p>
    <w:p>
      <w:pPr>
        <w:pStyle w:val="ListParagraph"/>
        <w:numPr>
          <w:ilvl w:val="0"/>
          <w:numId w:val="1"/>
        </w:numPr>
        <w:spacing w:before="0" w:after="60"/>
        <w:rPr/>
      </w:pPr>
      <w:r>
        <w:rPr/>
        <w:t>Engage in activities inconsistent with tax-exempt status under Section 501(c)(3)</w:t>
      </w:r>
    </w:p>
    <w:p>
      <w:pPr>
        <w:pStyle w:val="Heading2"/>
        <w:spacing w:before="260" w:after="120"/>
        <w:rPr/>
      </w:pPr>
      <w:r>
        <w:rPr/>
        <w:t>Section 1.4: Fundamental Commitments</w:t>
      </w:r>
    </w:p>
    <w:p>
      <w:pPr>
        <w:pStyle w:val="Normal"/>
        <w:spacing w:before="0" w:after="120"/>
        <w:rPr/>
      </w:pPr>
      <w:r>
        <w:rPr/>
        <w:t>The following core commitments require supermajority membership approval (two-thirds of all voting members) plus unanimous board approval to modify:</w:t>
      </w:r>
    </w:p>
    <w:p>
      <w:pPr>
        <w:pStyle w:val="ListParagraph"/>
        <w:numPr>
          <w:ilvl w:val="0"/>
          <w:numId w:val="1"/>
        </w:numPr>
        <w:spacing w:before="0" w:after="60"/>
        <w:rPr/>
      </w:pPr>
      <w:r>
        <w:rPr/>
        <w:t>Open-source commitment for all protocols and systems developed by the Corporation</w:t>
      </w:r>
    </w:p>
    <w:p>
      <w:pPr>
        <w:pStyle w:val="ListParagraph"/>
        <w:numPr>
          <w:ilvl w:val="0"/>
          <w:numId w:val="1"/>
        </w:numPr>
        <w:spacing w:before="0" w:after="60"/>
        <w:rPr/>
      </w:pPr>
      <w:r>
        <w:rPr/>
        <w:t>Privacy-first principles and user data sovereignty</w:t>
      </w:r>
    </w:p>
    <w:p>
      <w:pPr>
        <w:pStyle w:val="ListParagraph"/>
        <w:numPr>
          <w:ilvl w:val="0"/>
          <w:numId w:val="1"/>
        </w:numPr>
        <w:spacing w:before="0" w:after="60"/>
        <w:rPr/>
      </w:pPr>
      <w:r>
        <w:rPr/>
        <w:t>Prohibition on surveillance capitalism and data monetization practices</w:t>
      </w:r>
    </w:p>
    <w:p>
      <w:pPr>
        <w:pStyle w:val="Heading2"/>
        <w:spacing w:before="260" w:after="120"/>
        <w:rPr/>
      </w:pPr>
      <w:r>
        <w:rPr/>
        <w:t>Section 1.5: Architectural Conformance</w:t>
      </w:r>
    </w:p>
    <w:p>
      <w:pPr>
        <w:pStyle w:val="Normal"/>
        <w:spacing w:before="0" w:after="120"/>
        <w:rPr/>
      </w:pPr>
      <w:r>
        <w:rPr/>
        <w:t>The Corporation develops software under Janus-Facing Architecture. The Corporation's own governance is one instance of that architecture's governance layer. Where these bylaws depart from the architecture's demands, the departure is a named interim under Article XII, held to a committed exit. Article XII governs the relationship between these bylaws and the architecture document, including the rule that the architecture document confers no authority over any vote of the membership.</w:t>
      </w:r>
    </w:p>
    <w:p>
      <w:pPr>
        <w:pStyle w:val="Heading1"/>
        <w:spacing w:before="360" w:after="160"/>
        <w:rPr/>
      </w:pPr>
      <w:r>
        <w:rPr/>
        <w:t>ARTICLE II: MEMBERSHIP</w:t>
      </w:r>
    </w:p>
    <w:p>
      <w:pPr>
        <w:pStyle w:val="Heading2"/>
        <w:spacing w:before="260" w:after="120"/>
        <w:rPr/>
      </w:pPr>
      <w:r>
        <w:rPr/>
        <w:t>Section 2.1: Membership Classes</w:t>
      </w:r>
    </w:p>
    <w:p>
      <w:pPr>
        <w:pStyle w:val="Normal"/>
        <w:spacing w:before="0" w:after="120"/>
        <w:rPr/>
      </w:pPr>
      <w:r>
        <w:rPr/>
        <w:t xml:space="preserve">The Corporation shall have six classes of members, set forth in the schedule below. </w:t>
      </w:r>
      <w:r>
        <w:rPr>
          <w:b/>
          <w:bCs/>
        </w:rPr>
        <w:t>Community membership is free of charge</w:t>
      </w:r>
      <w:r>
        <w:rPr/>
        <w:t xml:space="preserve"> and open to all eligible persons under §2.2; it carries voice in the Corporation's open proceedings but not the governance franchise. </w:t>
      </w:r>
      <w:r>
        <w:rPr>
          <w:b/>
          <w:bCs/>
        </w:rPr>
        <w:t>Operator membership is free of charge and carries the governance franchise;</w:t>
      </w:r>
      <w:r>
        <w:rPr/>
        <w:t xml:space="preserve"> it is qualified by operation, never by purchase, under §2.7, and is the Corporation's committed basis for governance. The four subscribing classes (General, Media, Patron, and Heavy Contributor) carry the franchise during the interim named in Article XII. Acceptance of any class of membership constitutes acknowledgment of the Contributor Covenant under Article XI. Voting rights are governed by §2.4 and the one-person-one-vote rule set forth in the following paragraphs.</w:t>
      </w:r>
    </w:p>
    <w:p>
      <w:pPr>
        <w:pStyle w:val="Normal"/>
        <w:spacing w:before="0" w:after="120"/>
        <w:rPr/>
      </w:pPr>
      <w:r>
        <w:rPr/>
        <w:t>The voting body for any matter before the membership consists of every person who is a subscribing member in good standing, an operator member in good standing, or a Director then in office. Each such person holds exactly one vote, regardless of multiple capacities held. A person who is at once a subscriber, an operator of any number of platforms, and a Director shall vote once, not three times; a person who serves in multiple officer or director roles shall similarly hold one vote.</w:t>
      </w:r>
    </w:p>
    <w:p>
      <w:pPr>
        <w:pStyle w:val="Normal"/>
        <w:spacing w:before="0" w:after="120"/>
        <w:rPr/>
      </w:pPr>
      <w:r>
        <w:rPr/>
        <w:t>During the interim named in Article XII, the governance franchise may also be qualified by a subscription. The subscription is a real recurring cost per account and, together with the for-cause application review of §2.2, is the Corporation's interim safeguard against duplicate-account voting while operator recognition matures under §2.7. It is a qualifier on the single vote each person holds, never a multiplier; no person's vote is enlarged by any class of membership or by holding multiple qualifications. The Corporation commits, under Article XII, to sunset this purchase-based qualifier once operator qualification is corroborated against the witnessed record, by amendment timed by the membership.</w:t>
      </w:r>
    </w:p>
    <w:tbl>
      <w:tblPr>
        <w:tblW w:w="9360" w:type="dxa"/>
        <w:jc w:val="start"/>
        <w:tblInd w:w="0" w:type="dxa"/>
        <w:tblLayout w:type="fixed"/>
        <w:tblCellMar>
          <w:top w:w="60" w:type="dxa"/>
          <w:start w:w="100" w:type="dxa"/>
          <w:bottom w:w="60" w:type="dxa"/>
          <w:end w:w="100" w:type="dxa"/>
        </w:tblCellMar>
      </w:tblPr>
      <w:tblGrid>
        <w:gridCol w:w="2600"/>
        <w:gridCol w:w="1300"/>
        <w:gridCol w:w="5460"/>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E8E8E8" w:val="clear"/>
          </w:tcPr>
          <w:p>
            <w:pPr>
              <w:pStyle w:val="Normal"/>
              <w:rPr/>
            </w:pPr>
            <w:r>
              <w:rPr>
                <w:b/>
                <w:bCs/>
              </w:rPr>
              <w:t>Class</w:t>
            </w:r>
          </w:p>
        </w:tc>
        <w:tc>
          <w:tcPr>
            <w:tcW w:w="1300" w:type="dxa"/>
            <w:tcBorders>
              <w:top w:val="single" w:sz="4" w:space="0" w:color="000000"/>
              <w:start w:val="single" w:sz="4" w:space="0" w:color="000000"/>
              <w:bottom w:val="single" w:sz="4" w:space="0" w:color="000000"/>
              <w:end w:val="single" w:sz="4" w:space="0" w:color="000000"/>
            </w:tcBorders>
            <w:shd w:fill="E8E8E8" w:val="clear"/>
          </w:tcPr>
          <w:p>
            <w:pPr>
              <w:pStyle w:val="Normal"/>
              <w:rPr/>
            </w:pPr>
            <w:r>
              <w:rPr>
                <w:b/>
                <w:bCs/>
              </w:rPr>
              <w:t>Monthly Dues</w:t>
            </w:r>
          </w:p>
        </w:tc>
        <w:tc>
          <w:tcPr>
            <w:tcW w:w="5460" w:type="dxa"/>
            <w:tcBorders>
              <w:top w:val="single" w:sz="4" w:space="0" w:color="000000"/>
              <w:start w:val="single" w:sz="4" w:space="0" w:color="000000"/>
              <w:bottom w:val="single" w:sz="4" w:space="0" w:color="000000"/>
              <w:end w:val="single" w:sz="4" w:space="0" w:color="000000"/>
            </w:tcBorders>
            <w:shd w:fill="E8E8E8" w:val="clear"/>
          </w:tcPr>
          <w:p>
            <w:pPr>
              <w:pStyle w:val="Normal"/>
              <w:rPr/>
            </w:pPr>
            <w:r>
              <w:rPr>
                <w:b/>
                <w:bCs/>
              </w:rPr>
              <w:t>Access</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Community Membership</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$0</w:t>
            </w:r>
          </w:p>
        </w:tc>
        <w:tc>
          <w:tcPr>
            <w:tcW w:w="54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Voice in open channels and working groups; access to the open-source commons and public documentation; standing to submit observations under the Maximum Observational Diversity procedure (Article XI §11.4, Appendix B). No governance franchise.</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Operator Membership</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$0</w:t>
            </w:r>
          </w:p>
        </w:tc>
        <w:tc>
          <w:tcPr>
            <w:tcW w:w="54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The governance franchise, qualified by active operation under §2.7 and held subject to the conduct standard of that Section (no gaming, no tampering, no harmful environments). Voice in all channels. Carries no tooling entitlement; tooling access requires a subscribing class.</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General Membership</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$15</w:t>
            </w:r>
          </w:p>
        </w:tc>
        <w:tc>
          <w:tcPr>
            <w:tcW w:w="54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Enterprise AI access (Gemini, Claude, NotebookLM) and tools for general contributions.</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Media Membership</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$25</w:t>
            </w:r>
          </w:p>
        </w:tc>
        <w:tc>
          <w:tcPr>
            <w:tcW w:w="54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Enterprise AI collection plus Canva and Eleven Labs.</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Patron Membership</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$30</w:t>
            </w:r>
          </w:p>
        </w:tc>
        <w:tc>
          <w:tcPr>
            <w:tcW w:w="54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Member's choice of General or Media tooling; a greater share of dues is directed to NTARI's operational budget.</w:t>
            </w:r>
          </w:p>
        </w:tc>
      </w:tr>
      <w:tr>
        <w:trPr/>
        <w:tc>
          <w:tcPr>
            <w:tcW w:w="26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Heavy Contributor Membership</w:t>
            </w:r>
          </w:p>
        </w:tc>
        <w:tc>
          <w:tcPr>
            <w:tcW w:w="130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$60</w:t>
            </w:r>
          </w:p>
        </w:tc>
        <w:tc>
          <w:tcPr>
            <w:tcW w:w="5460"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rPr>
              <w:t>Five times the standard Claude credit allocation, plus Enterprise Gemini and NotebookLM.</w:t>
            </w:r>
          </w:p>
        </w:tc>
      </w:tr>
    </w:tbl>
    <w:p>
      <w:pPr>
        <w:pStyle w:val="Normal"/>
        <w:rPr/>
      </w:pPr>
      <w:r>
        <w:rPr/>
      </w:r>
    </w:p>
    <w:p>
      <w:pPr>
        <w:pStyle w:val="Heading2"/>
        <w:spacing w:before="260" w:after="120"/>
        <w:rPr/>
      </w:pPr>
      <w:r>
        <w:rPr/>
        <w:t>Section 2.2: Membership Eligibility and Application</w:t>
      </w:r>
    </w:p>
    <w:p>
      <w:pPr>
        <w:pStyle w:val="Normal"/>
        <w:spacing w:before="0" w:after="120"/>
        <w:rPr/>
      </w:pPr>
      <w:r>
        <w:rPr/>
        <w:t>Membership is open to any natural person who:</w:t>
      </w:r>
    </w:p>
    <w:p>
      <w:pPr>
        <w:pStyle w:val="ListParagraph"/>
        <w:numPr>
          <w:ilvl w:val="0"/>
          <w:numId w:val="1"/>
        </w:numPr>
        <w:spacing w:before="0" w:after="60"/>
        <w:rPr/>
      </w:pPr>
      <w:r>
        <w:rPr/>
        <w:t>Agrees to abide by these bylaws and the Contributor Covenant set forth at Article XI</w:t>
      </w:r>
    </w:p>
    <w:p>
      <w:pPr>
        <w:pStyle w:val="ListParagraph"/>
        <w:numPr>
          <w:ilvl w:val="0"/>
          <w:numId w:val="1"/>
        </w:numPr>
        <w:spacing w:before="0" w:after="60"/>
        <w:rPr/>
      </w:pPr>
      <w:r>
        <w:rPr/>
        <w:t>For a subscribing class, pays the dues for that class as established in §2.1; Community and Operator membership require no payment</w:t>
      </w:r>
    </w:p>
    <w:p>
      <w:pPr>
        <w:pStyle w:val="ListParagraph"/>
        <w:numPr>
          <w:ilvl w:val="0"/>
          <w:numId w:val="1"/>
        </w:numPr>
        <w:spacing w:before="0" w:after="60"/>
        <w:rPr/>
      </w:pPr>
      <w:r>
        <w:rPr/>
        <w:t>For Operator membership, qualifies under §2.7</w:t>
      </w:r>
    </w:p>
    <w:p>
      <w:pPr>
        <w:pStyle w:val="ListParagraph"/>
        <w:numPr>
          <w:ilvl w:val="0"/>
          <w:numId w:val="1"/>
        </w:numPr>
        <w:spacing w:before="0" w:after="60"/>
        <w:rPr/>
      </w:pPr>
      <w:r>
        <w:rPr/>
        <w:t>Is not subject to a then-current termination action under §2.6</w:t>
      </w:r>
    </w:p>
    <w:p>
      <w:pPr>
        <w:pStyle w:val="Normal"/>
        <w:spacing w:before="0" w:after="120"/>
        <w:rPr/>
      </w:pPr>
      <w:r>
        <w:rPr/>
        <w:t>The Board shall establish application procedures and onboarding processes by policy resolution. Verification at onboarding shall be zero-cost to the applicant, shall not require the purchase of any device or service, and shall not rely on telephone-number verification. The Board may decline an application only for cause and shall document the reason in the corporate record.</w:t>
      </w:r>
    </w:p>
    <w:p>
      <w:pPr>
        <w:pStyle w:val="Heading2"/>
        <w:spacing w:before="260" w:after="120"/>
        <w:rPr/>
      </w:pPr>
      <w:r>
        <w:rPr/>
        <w:t>Section 2.3: Membership Rights</w:t>
      </w:r>
    </w:p>
    <w:p>
      <w:pPr>
        <w:pStyle w:val="Normal"/>
        <w:spacing w:before="0" w:after="120"/>
        <w:rPr/>
      </w:pPr>
      <w:r>
        <w:rPr/>
        <w:t>Each member in good standing, of any class, shall have the right to:</w:t>
      </w:r>
    </w:p>
    <w:p>
      <w:pPr>
        <w:pStyle w:val="ListParagraph"/>
        <w:numPr>
          <w:ilvl w:val="0"/>
          <w:numId w:val="1"/>
        </w:numPr>
        <w:spacing w:before="0" w:after="60"/>
        <w:rPr/>
      </w:pPr>
      <w:r>
        <w:rPr/>
        <w:t>Participate in working groups with voice in technical governance, per Article VI</w:t>
      </w:r>
    </w:p>
    <w:p>
      <w:pPr>
        <w:pStyle w:val="ListParagraph"/>
        <w:numPr>
          <w:ilvl w:val="0"/>
          <w:numId w:val="1"/>
        </w:numPr>
        <w:spacing w:before="0" w:after="60"/>
        <w:rPr/>
      </w:pPr>
      <w:r>
        <w:rPr/>
        <w:t>Receive Corporation publications, research updates, and communications</w:t>
      </w:r>
    </w:p>
    <w:p>
      <w:pPr>
        <w:pStyle w:val="ListParagraph"/>
        <w:numPr>
          <w:ilvl w:val="0"/>
          <w:numId w:val="1"/>
        </w:numPr>
        <w:spacing w:before="0" w:after="60"/>
        <w:rPr/>
      </w:pPr>
      <w:r>
        <w:rPr/>
        <w:t>Attend member events subject to board policies</w:t>
      </w:r>
    </w:p>
    <w:p>
      <w:pPr>
        <w:pStyle w:val="ListParagraph"/>
        <w:numPr>
          <w:ilvl w:val="0"/>
          <w:numId w:val="1"/>
        </w:numPr>
        <w:spacing w:before="0" w:after="60"/>
        <w:rPr/>
      </w:pPr>
      <w:r>
        <w:rPr/>
        <w:t>Submit observations under the Maximum Observational Diversity procedure (Article XI §11.4, Appendix B)</w:t>
      </w:r>
    </w:p>
    <w:p>
      <w:pPr>
        <w:pStyle w:val="ListParagraph"/>
        <w:numPr>
          <w:ilvl w:val="0"/>
          <w:numId w:val="1"/>
        </w:numPr>
        <w:spacing w:before="0" w:after="60"/>
        <w:rPr/>
      </w:pPr>
      <w:r>
        <w:rPr/>
        <w:t>Inspect corporate records for proper purposes as provided by Kentucky law and §7.3</w:t>
      </w:r>
    </w:p>
    <w:p>
      <w:pPr>
        <w:pStyle w:val="Normal"/>
        <w:spacing w:before="0" w:after="120"/>
        <w:rPr/>
      </w:pPr>
      <w:r>
        <w:rPr/>
        <w:t>Each subscribing member and each operator member in good standing shall additionally have the right to:</w:t>
      </w:r>
    </w:p>
    <w:p>
      <w:pPr>
        <w:pStyle w:val="ListParagraph"/>
        <w:numPr>
          <w:ilvl w:val="0"/>
          <w:numId w:val="1"/>
        </w:numPr>
        <w:spacing w:before="0" w:after="60"/>
        <w:rPr/>
      </w:pPr>
      <w:r>
        <w:rPr/>
        <w:t>Elect Directors as provided in these bylaws</w:t>
      </w:r>
    </w:p>
    <w:p>
      <w:pPr>
        <w:pStyle w:val="ListParagraph"/>
        <w:numPr>
          <w:ilvl w:val="0"/>
          <w:numId w:val="1"/>
        </w:numPr>
        <w:spacing w:before="0" w:after="60"/>
        <w:rPr/>
      </w:pPr>
      <w:r>
        <w:rPr/>
        <w:t>Vote on matters requiring membership approval under these bylaws or Kentucky law, including bylaws amendments and dissolution</w:t>
      </w:r>
    </w:p>
    <w:p>
      <w:pPr>
        <w:pStyle w:val="ListParagraph"/>
        <w:numPr>
          <w:ilvl w:val="0"/>
          <w:numId w:val="1"/>
        </w:numPr>
        <w:spacing w:before="0" w:after="60"/>
        <w:rPr/>
      </w:pPr>
      <w:r>
        <w:rPr/>
        <w:t>Approve fundamental changes to the Corporation as required by law</w:t>
      </w:r>
    </w:p>
    <w:p>
      <w:pPr>
        <w:pStyle w:val="ListParagraph"/>
        <w:numPr>
          <w:ilvl w:val="0"/>
          <w:numId w:val="1"/>
        </w:numPr>
        <w:spacing w:before="0" w:after="60"/>
        <w:rPr/>
      </w:pPr>
      <w:r>
        <w:rPr/>
        <w:t>Cast binding votes in Desk Channel and Committee Channel proceedings under Article III</w:t>
      </w:r>
    </w:p>
    <w:p>
      <w:pPr>
        <w:pStyle w:val="Normal"/>
        <w:spacing w:before="0" w:after="120"/>
        <w:rPr/>
      </w:pPr>
      <w:r>
        <w:rPr/>
        <w:t>Each subscribing member in good standing shall additionally have the right to access tooling, infrastructure, and services per the member's class as set forth in §2.1.</w:t>
      </w:r>
    </w:p>
    <w:p>
      <w:pPr>
        <w:pStyle w:val="Heading2"/>
        <w:spacing w:before="260" w:after="120"/>
        <w:rPr/>
      </w:pPr>
      <w:r>
        <w:rPr/>
        <w:t>Section 2.4: Membership Meetings</w:t>
      </w:r>
    </w:p>
    <w:p>
      <w:pPr>
        <w:pStyle w:val="Normal"/>
        <w:spacing w:before="0" w:after="120"/>
        <w:rPr/>
      </w:pPr>
      <w:r>
        <w:rPr>
          <w:b/>
          <w:bCs/>
        </w:rPr>
        <w:t>Annual Meetings:</w:t>
      </w:r>
      <w:r>
        <w:rPr/>
        <w:t xml:space="preserve"> The Corporation shall hold an annual membership meeting during the fourth quarter of each fiscal year, at such time and place as determined by the Board of Directors.</w:t>
      </w:r>
    </w:p>
    <w:p>
      <w:pPr>
        <w:pStyle w:val="Normal"/>
        <w:spacing w:before="0" w:after="120"/>
        <w:rPr/>
      </w:pPr>
      <w:r>
        <w:rPr>
          <w:b/>
          <w:bCs/>
        </w:rPr>
        <w:t>Special Meetings:</w:t>
      </w:r>
      <w:r>
        <w:rPr/>
        <w:t xml:space="preserve"> Special meetings of the voting membership may be called by:</w:t>
      </w:r>
    </w:p>
    <w:p>
      <w:pPr>
        <w:pStyle w:val="ListParagraph"/>
        <w:numPr>
          <w:ilvl w:val="0"/>
          <w:numId w:val="1"/>
        </w:numPr>
        <w:spacing w:before="0" w:after="60"/>
        <w:rPr/>
      </w:pPr>
      <w:r>
        <w:rPr/>
        <w:t>The Board of Directors</w:t>
      </w:r>
    </w:p>
    <w:p>
      <w:pPr>
        <w:pStyle w:val="ListParagraph"/>
        <w:numPr>
          <w:ilvl w:val="0"/>
          <w:numId w:val="1"/>
        </w:numPr>
        <w:spacing w:before="0" w:after="60"/>
        <w:rPr/>
      </w:pPr>
      <w:r>
        <w:rPr/>
        <w:t>The President</w:t>
      </w:r>
    </w:p>
    <w:p>
      <w:pPr>
        <w:pStyle w:val="ListParagraph"/>
        <w:numPr>
          <w:ilvl w:val="0"/>
          <w:numId w:val="1"/>
        </w:numPr>
        <w:spacing w:before="0" w:after="60"/>
        <w:rPr/>
      </w:pPr>
      <w:r>
        <w:rPr/>
        <w:t>Twenty percent (20%) of voting members in good standing</w:t>
      </w:r>
    </w:p>
    <w:p>
      <w:pPr>
        <w:pStyle w:val="Normal"/>
        <w:spacing w:before="0" w:after="120"/>
        <w:rPr/>
      </w:pPr>
      <w:r>
        <w:rPr>
          <w:b/>
          <w:bCs/>
        </w:rPr>
        <w:t>Notice:</w:t>
      </w:r>
      <w:r>
        <w:rPr/>
        <w:t xml:space="preserve"> Written notice of membership meetings shall be given to all members not less than ten (10) nor more than thirty-five (35) days before the meeting date, stating the place, date, hour, and purpose of the meeting.</w:t>
      </w:r>
    </w:p>
    <w:p>
      <w:pPr>
        <w:pStyle w:val="Normal"/>
        <w:spacing w:before="0" w:after="120"/>
        <w:rPr/>
      </w:pPr>
      <w:r>
        <w:rPr>
          <w:b/>
          <w:bCs/>
        </w:rPr>
        <w:t>Quorum:</w:t>
      </w:r>
      <w:r>
        <w:rPr/>
        <w:t xml:space="preserve"> Voting members holding one-tenth (1/10) of the votes entitled to be cast, casting their votes during the voting window of the meeting, shall constitute a quorum.</w:t>
      </w:r>
    </w:p>
    <w:p>
      <w:pPr>
        <w:pStyle w:val="Normal"/>
        <w:spacing w:before="0" w:after="120"/>
        <w:rPr/>
      </w:pPr>
      <w:r>
        <w:rPr/>
        <w:t>If quorum is not reached during the voting window of an annual or special meeting, the meeting may be adjourned and reconvened with not less than ten (10) days' written notice to all members. At the reconvened meeting, voting members casting votes during the reconvened window shall constitute a quorum for the business stated in the original meeting notice.</w:t>
      </w:r>
    </w:p>
    <w:p>
      <w:pPr>
        <w:pStyle w:val="Normal"/>
        <w:spacing w:before="0" w:after="120"/>
        <w:rPr/>
      </w:pPr>
      <w:r>
        <w:rPr>
          <w:b/>
          <w:bCs/>
        </w:rPr>
        <w:t>Voting:</w:t>
      </w:r>
      <w:r>
        <w:rPr/>
        <w:t xml:space="preserve"> Each subscribing member in good standing, each operator member in good standing, and each Director then in office shall be entitled to one vote on all matters before the membership, subject to the one-person-one-vote rule set forth in §2.1; no person shall hold more than one vote regardless of multiple capacities. The Corporation conducts membership voting asynchronously: each meeting establishes a voting window during which members cast their own votes. No member may delegate or assign their vote to another.</w:t>
      </w:r>
    </w:p>
    <w:p>
      <w:pPr>
        <w:pStyle w:val="Heading2"/>
        <w:spacing w:before="260" w:after="120"/>
        <w:rPr/>
      </w:pPr>
      <w:r>
        <w:rPr/>
        <w:t>Section 2.5: Dues, Provisioning, and Non-Payment</w:t>
      </w:r>
    </w:p>
    <w:p>
      <w:pPr>
        <w:pStyle w:val="Normal"/>
        <w:spacing w:before="0" w:after="120"/>
        <w:rPr/>
      </w:pPr>
      <w:r>
        <w:rPr>
          <w:b/>
          <w:bCs/>
        </w:rPr>
        <w:t>Dues Obligation:</w:t>
      </w:r>
      <w:r>
        <w:rPr/>
        <w:t xml:space="preserve"> Subscribing members shall pay monthly dues as set forth in §2.1. Community and Operator membership carry no dues obligation. Dues represent fair exchange of value for the tooling, infrastructure, and community services provided by the Corporation and, during the Article XII interim, serve as the qualifier on the governance franchise.</w:t>
      </w:r>
    </w:p>
    <w:p>
      <w:pPr>
        <w:pStyle w:val="Normal"/>
        <w:spacing w:before="0" w:after="120"/>
        <w:rPr/>
      </w:pPr>
      <w:r>
        <w:rPr>
          <w:b/>
          <w:bCs/>
        </w:rPr>
        <w:t>Value Exchange Requirement:</w:t>
      </w:r>
      <w:r>
        <w:rPr/>
        <w:t xml:space="preserve"> All dues and fees must represent genuine exchange of value and support of collaboration infrastructure, technical services, educational programs, and community resources. Dues shall not be charged for access to open-source protocols or systems, which remain freely available to all.</w:t>
      </w:r>
    </w:p>
    <w:p>
      <w:pPr>
        <w:pStyle w:val="Normal"/>
        <w:spacing w:before="0" w:after="120"/>
        <w:rPr/>
      </w:pPr>
      <w:r>
        <w:rPr>
          <w:b/>
          <w:bCs/>
        </w:rPr>
        <w:t>Provisioning:</w:t>
      </w:r>
      <w:r>
        <w:rPr/>
        <w:t xml:space="preserve"> Tool access under §2.1 shall be provisioned through Corporation shared workspaces. The Institute provisions access and does not reimburse for individually procured tooling.</w:t>
      </w:r>
    </w:p>
    <w:p>
      <w:pPr>
        <w:pStyle w:val="Normal"/>
        <w:spacing w:before="0" w:after="120"/>
        <w:rPr/>
      </w:pPr>
      <w:r>
        <w:rPr>
          <w:b/>
          <w:bCs/>
        </w:rPr>
        <w:t>Non-Payment:</w:t>
      </w:r>
      <w:r>
        <w:rPr/>
        <w:t xml:space="preserve"> Subscribing members who fail to pay dues within thirty (30) days of the due date shall revert to Community membership — retaining voice and access to the commons, and losing class tooling and the subscription-based franchise qualification — until reinstated under procedures established by the Board. A member who independently holds Operator membership under §2.7 retains the franchise on that basis. Reversion under this paragraph is not a termination and requires no action under §2.6.</w:t>
      </w:r>
    </w:p>
    <w:p>
      <w:pPr>
        <w:pStyle w:val="Heading2"/>
        <w:spacing w:before="260" w:after="120"/>
        <w:rPr/>
      </w:pPr>
      <w:r>
        <w:rPr/>
        <w:t>Section 2.6: Membership Termination</w:t>
      </w:r>
    </w:p>
    <w:p>
      <w:pPr>
        <w:pStyle w:val="Normal"/>
        <w:spacing w:before="0" w:after="120"/>
        <w:rPr/>
      </w:pPr>
      <w:r>
        <w:rPr>
          <w:b/>
          <w:bCs/>
        </w:rPr>
        <w:t>Voluntary Termination:</w:t>
      </w:r>
      <w:r>
        <w:rPr/>
        <w:t xml:space="preserve"> Members may resign by written notice to the Corporation.</w:t>
      </w:r>
    </w:p>
    <w:p>
      <w:pPr>
        <w:pStyle w:val="Normal"/>
        <w:spacing w:before="0" w:after="120"/>
        <w:rPr/>
      </w:pPr>
      <w:r>
        <w:rPr>
          <w:b/>
          <w:bCs/>
        </w:rPr>
        <w:t>Involuntary Termination for Cause:</w:t>
      </w:r>
      <w:r>
        <w:rPr/>
        <w:t xml:space="preserve"> Membership may be terminated for cause only by both (a) majority vote of the Board of Directors and (b) two-thirds (2/3) vote of the voting membership present at a properly noticed meeting where a quorum exists. Cause may include violation of fundamental commitments, violation of the Contributor Covenant under Article XI, or conduct inconsistent with the Corporation's mission. The member subject to proposed termination shall receive written notice and opportunity to be heard before both bodies. The member subject to termination shall not vote on the question of their own termination.</w:t>
      </w:r>
    </w:p>
    <w:p>
      <w:pPr>
        <w:pStyle w:val="Normal"/>
        <w:spacing w:before="0" w:after="120"/>
        <w:rPr/>
      </w:pPr>
      <w:r>
        <w:rPr>
          <w:b/>
          <w:bCs/>
        </w:rPr>
        <w:t>Non-Payment:</w:t>
      </w:r>
      <w:r>
        <w:rPr/>
        <w:t xml:space="preserve"> Non-payment is governed by the reversion procedure of §2.5 and does not constitute termination under this Section.</w:t>
      </w:r>
    </w:p>
    <w:p>
      <w:pPr>
        <w:pStyle w:val="Normal"/>
        <w:spacing w:before="0" w:after="120"/>
        <w:rPr/>
      </w:pPr>
      <w:r>
        <w:rPr>
          <w:b/>
          <w:bCs/>
        </w:rPr>
        <w:t>Effect of Termination:</w:t>
      </w:r>
      <w:r>
        <w:rPr/>
        <w:t xml:space="preserve"> Upon termination, all membership rights and privileges cease. No refund of dues shall be made except as provided by board policy.</w:t>
      </w:r>
    </w:p>
    <w:p>
      <w:pPr>
        <w:pStyle w:val="Heading2"/>
        <w:spacing w:before="260" w:after="120"/>
        <w:rPr/>
      </w:pPr>
      <w:r>
        <w:rPr/>
        <w:t>Section 2.7: Operator Membership</w:t>
      </w:r>
    </w:p>
    <w:p>
      <w:pPr>
        <w:pStyle w:val="Normal"/>
        <w:spacing w:before="0" w:after="120"/>
        <w:rPr/>
      </w:pPr>
      <w:r>
        <w:rPr>
          <w:b/>
          <w:bCs/>
        </w:rPr>
        <w:t>Qualification.</w:t>
      </w:r>
      <w:r>
        <w:rPr/>
        <w:t xml:space="preserve"> Operator membership is open to any natural person who actively operates infrastructure of the network — a node, front end, or economy on protocols stewarded by the Corporation — with active operation further defined by board policy. Operator membership is qualified by operation, never by purchase; no fee attaches to it. Operator status qualifies a person's single vote and never multiplies it: a person operating any number of platforms holds exactly one vote.</w:t>
      </w:r>
    </w:p>
    <w:p>
      <w:pPr>
        <w:pStyle w:val="Normal"/>
        <w:spacing w:before="0" w:after="120"/>
        <w:rPr/>
      </w:pPr>
      <w:r>
        <w:rPr>
          <w:b/>
          <w:bCs/>
        </w:rPr>
        <w:t>Recognition — bootstrap and maturity.</w:t>
      </w:r>
      <w:r>
        <w:rPr/>
        <w:t xml:space="preserve"> Until the witnessed record layer of the architecture is operating with at least two independent witnesses, operator members are recognized by Board action with notice to the membership, beginning from the genesis operator set of §12.3(c). Once the witnessed record layer is operating, recognition shall be by cross-operator corroboration as described in the architecture document; operators under common control are not independent corroborators of one another, and the transition of recognition modes is governed by §12.3(b).</w:t>
      </w:r>
    </w:p>
    <w:p>
      <w:pPr>
        <w:pStyle w:val="Normal"/>
        <w:spacing w:before="0" w:after="120"/>
        <w:rPr/>
      </w:pPr>
      <w:r>
        <w:rPr>
          <w:b/>
          <w:bCs/>
        </w:rPr>
        <w:t>Conduct standard.</w:t>
      </w:r>
      <w:r>
        <w:rPr/>
        <w:t xml:space="preserve"> An operator member holds the franchise provided they are not found responsible, under the process of this Section, for any of the following:</w:t>
      </w:r>
    </w:p>
    <w:p>
      <w:pPr>
        <w:pStyle w:val="ListParagraph"/>
        <w:numPr>
          <w:ilvl w:val="0"/>
          <w:numId w:val="1"/>
        </w:numPr>
        <w:spacing w:before="0" w:after="60"/>
        <w:rPr/>
      </w:pPr>
      <w:r>
        <w:rPr>
          <w:b/>
          <w:bCs/>
        </w:rPr>
        <w:t>Gaming</w:t>
      </w:r>
      <w:r>
        <w:rPr/>
        <w:t xml:space="preserve"> — manufacturing or manipulating exchange, reputation, or corroboration signals, including wash trading, collusive corroboration, or operating platforms under common control presented as independent</w:t>
      </w:r>
    </w:p>
    <w:p>
      <w:pPr>
        <w:pStyle w:val="ListParagraph"/>
        <w:numPr>
          <w:ilvl w:val="0"/>
          <w:numId w:val="1"/>
        </w:numPr>
        <w:spacing w:before="0" w:after="60"/>
        <w:rPr/>
      </w:pPr>
      <w:r>
        <w:rPr>
          <w:b/>
          <w:bCs/>
        </w:rPr>
        <w:t>Tampering</w:t>
      </w:r>
      <w:r>
        <w:rPr/>
        <w:t xml:space="preserve"> — altering, rewriting, or equivocating the record; obstructing witnessing; or presenting divergent histories to different audiences</w:t>
      </w:r>
    </w:p>
    <w:p>
      <w:pPr>
        <w:pStyle w:val="ListParagraph"/>
        <w:numPr>
          <w:ilvl w:val="0"/>
          <w:numId w:val="1"/>
        </w:numPr>
        <w:spacing w:before="0" w:after="60"/>
        <w:rPr/>
      </w:pPr>
      <w:r>
        <w:rPr>
          <w:b/>
          <w:bCs/>
        </w:rPr>
        <w:t>Harmful environments</w:t>
      </w:r>
      <w:r>
        <w:rPr/>
        <w:t xml:space="preserve"> — adjudicated harm to the users of the operator's platform arising from the operator's conduct of that platform, including obstruction of claim filing, abusive delay of open claims, or patterned dismissal of claims</w:t>
      </w:r>
    </w:p>
    <w:p>
      <w:pPr>
        <w:pStyle w:val="Normal"/>
        <w:spacing w:before="0" w:after="120"/>
        <w:rPr/>
      </w:pPr>
      <w:r>
        <w:rPr>
          <w:b/>
          <w:bCs/>
        </w:rPr>
        <w:t>Evidence discipline.</w:t>
      </w:r>
      <w:r>
        <w:rPr/>
        <w:t xml:space="preserve"> A finding under this Section rests on conduct read as structure from the witnessed record — dwell distributions, dismissal patterns, collusion signatures — and on adjudicated harm claims from genuine counterparties. A finding shall never be derived from an average of ratings; dissatisfaction with a verdict is not, by itself, misconduct; and an automated or analytic flag is an input to contestation, never a finding. A single adjudicated harm may suffice to disqualify; no volume of good conduct absolves it. Until the witnessed record layer is operating, the Board shall weigh the self-attested character of unwitnessed evidence and shall say so in any disposition.</w:t>
      </w:r>
    </w:p>
    <w:p>
      <w:pPr>
        <w:pStyle w:val="Normal"/>
        <w:spacing w:before="0" w:after="120"/>
        <w:rPr/>
      </w:pPr>
      <w:r>
        <w:rPr>
          <w:b/>
          <w:bCs/>
        </w:rPr>
        <w:t>Process.</w:t>
      </w:r>
      <w:r>
        <w:rPr/>
        <w:t xml:space="preserve"> A question of operator conduct may be raised by the Vice President under the audit authority of §4.3 or by any member of any class through open objection; the two channels are co-equal, and neither gates the other. The operator shall receive written notice and the opportunity to answer before any disposition. Disposition of the franchise question requires both (a) majority vote of the Board of Directors and (b) two-thirds (2/3) vote of the voting membership present at a properly noticed meeting where a quorum exists; the operator subject to the question shall not vote on it. Disqualification under this Section removes the operator franchise only: the person retains any other membership class they hold, and disqualification is not, by itself, termination under §2.6. The finding and its disposition are recorded in the register of §7.3 as annotations, never erasures, and the disposing bodies may set terms and conditions for restoration of the franchise.</w:t>
      </w:r>
    </w:p>
    <w:p>
      <w:pPr>
        <w:pStyle w:val="Heading2"/>
        <w:spacing w:before="260" w:after="120"/>
        <w:rPr/>
      </w:pPr>
      <w:r>
        <w:rPr/>
        <w:t>Section 2.8: Federation Membership</w:t>
      </w:r>
    </w:p>
    <w:p>
      <w:pPr>
        <w:pStyle w:val="Normal"/>
        <w:spacing w:before="0" w:after="120"/>
        <w:rPr/>
      </w:pPr>
      <w:r>
        <w:rPr>
          <w:b/>
          <w:bCs/>
        </w:rPr>
        <w:t>The Federations.</w:t>
      </w:r>
      <w:r>
        <w:rPr/>
        <w:t xml:space="preserve"> The Federations are the standing circles of the Corporation's commons, aligned with the layers of Janus-Facing Architecture as stewarded under §4.5, together with such additional federations as the Board may charter by policy resolution. The current Federation Channels are:</w:t>
      </w:r>
    </w:p>
    <w:p>
      <w:pPr>
        <w:pStyle w:val="ListParagraph"/>
        <w:numPr>
          <w:ilvl w:val="0"/>
          <w:numId w:val="1"/>
        </w:numPr>
        <w:spacing w:before="0" w:after="60"/>
        <w:rPr/>
      </w:pPr>
      <w:r>
        <w:rPr/>
        <w:t>#federation-substrate — the Substrate layer</w:t>
      </w:r>
    </w:p>
    <w:p>
      <w:pPr>
        <w:pStyle w:val="ListParagraph"/>
        <w:numPr>
          <w:ilvl w:val="0"/>
          <w:numId w:val="1"/>
        </w:numPr>
        <w:spacing w:before="0" w:after="60"/>
        <w:rPr/>
      </w:pPr>
      <w:r>
        <w:rPr/>
        <w:t>#federation-record — the Record layer</w:t>
      </w:r>
    </w:p>
    <w:p>
      <w:pPr>
        <w:pStyle w:val="ListParagraph"/>
        <w:numPr>
          <w:ilvl w:val="0"/>
          <w:numId w:val="1"/>
        </w:numPr>
        <w:spacing w:before="0" w:after="60"/>
        <w:rPr/>
      </w:pPr>
      <w:r>
        <w:rPr/>
        <w:t>#federation-covenant — the Covenant layer</w:t>
      </w:r>
    </w:p>
    <w:p>
      <w:pPr>
        <w:pStyle w:val="ListParagraph"/>
        <w:numPr>
          <w:ilvl w:val="0"/>
          <w:numId w:val="1"/>
        </w:numPr>
        <w:spacing w:before="0" w:after="60"/>
        <w:rPr/>
      </w:pPr>
      <w:r>
        <w:rPr/>
        <w:t>#federation-governance — the Governance layer</w:t>
      </w:r>
    </w:p>
    <w:p>
      <w:pPr>
        <w:pStyle w:val="ListParagraph"/>
        <w:numPr>
          <w:ilvl w:val="0"/>
          <w:numId w:val="1"/>
        </w:numPr>
        <w:spacing w:before="0" w:after="60"/>
        <w:rPr/>
      </w:pPr>
      <w:r>
        <w:rPr/>
        <w:t>#federation-economy-education — the Economy and Education layer</w:t>
      </w:r>
    </w:p>
    <w:p>
      <w:pPr>
        <w:pStyle w:val="ListParagraph"/>
        <w:numPr>
          <w:ilvl w:val="0"/>
          <w:numId w:val="1"/>
        </w:numPr>
        <w:spacing w:before="0" w:after="60"/>
        <w:rPr/>
      </w:pPr>
      <w:r>
        <w:rPr/>
        <w:t>#federation-volunteers — volunteer coordination across the commons</w:t>
      </w:r>
    </w:p>
    <w:p>
      <w:pPr>
        <w:pStyle w:val="Normal"/>
        <w:spacing w:before="0" w:after="120"/>
        <w:rPr/>
      </w:pPr>
      <w:r>
        <w:rPr>
          <w:b/>
          <w:bCs/>
        </w:rPr>
        <w:t>Operator requirement.</w:t>
      </w:r>
      <w:r>
        <w:rPr/>
        <w:t xml:space="preserve"> Membership in a Federation requires Operator membership in good standing under §2.7. Operator status qualifies federation membership and never multiplies it: a person holds exactly one vote in any matter before a Federation, regardless of the number of federations joined or platforms operated, per the one-person-one-vote rule of §2.1.</w:t>
      </w:r>
    </w:p>
    <w:p>
      <w:pPr>
        <w:pStyle w:val="Normal"/>
        <w:spacing w:before="0" w:after="120"/>
        <w:rPr/>
      </w:pPr>
      <w:r>
        <w:rPr>
          <w:b/>
          <w:bCs/>
        </w:rPr>
        <w:t>Open circles; voice never gated.</w:t>
      </w:r>
      <w:r>
        <w:rPr/>
        <w:t xml:space="preserve"> Each Federation Channel remains open to participation by all members in good standing, of any class. The operator requirement gates federation membership and binding federation votes only; it never gates voice. Members of any class retain voice in Federation Channels and standing to submit observations under the Maximum Observational Diversity procedure (Article XI §11.4, Appendix B), and a passing countering observation reopens a decided federation matter for reconsideration in the manner provided by §3.3.</w:t>
      </w:r>
    </w:p>
    <w:p>
      <w:pPr>
        <w:pStyle w:val="Normal"/>
        <w:spacing w:before="0" w:after="120"/>
        <w:rPr/>
      </w:pPr>
      <w:r>
        <w:rPr>
          <w:b/>
          <w:bCs/>
        </w:rPr>
        <w:t>Recognition and the interim.</w:t>
      </w:r>
      <w:r>
        <w:rPr/>
        <w:t xml:space="preserve"> During the interim named in Article XII, operator recognition — and with it federation membership — proceeds by Board action with notice to the membership, beginning from the genesis operator set of §12.3(c), and any disposition resting on unwitnessed evidence shall name its self-attested character as provided in §2.7. Upon the maturation of operator recognition under §12.3(b), federation membership follows recognition by cross-operator corroboration without further amendment of this Section.</w:t>
      </w:r>
    </w:p>
    <w:p>
      <w:pPr>
        <w:pStyle w:val="Normal"/>
        <w:spacing w:before="0" w:after="120"/>
        <w:rPr/>
      </w:pPr>
      <w:r>
        <w:rPr>
          <w:b/>
          <w:bCs/>
        </w:rPr>
        <w:t>Conduct and loss of membership.</w:t>
      </w:r>
      <w:r>
        <w:rPr/>
        <w:t xml:space="preserve"> A person found responsible under the conduct standard and process of §2.7 ceases to be a member of every Federation upon disposition of the franchise question; restoration of the operator franchise restores federation eligibility on the same terms. Loss of federation membership under this Section is not, by itself, termination under §2.6.</w:t>
      </w:r>
    </w:p>
    <w:p>
      <w:pPr>
        <w:pStyle w:val="Normal"/>
        <w:spacing w:before="0" w:after="120"/>
        <w:rPr/>
      </w:pPr>
      <w:r>
        <w:rPr>
          <w:b/>
          <w:bCs/>
        </w:rPr>
        <w:t>Non-derogation.</w:t>
      </w:r>
      <w:r>
        <w:rPr/>
        <w:t xml:space="preserve"> The Federations are the Corporation's instance of the operator federation described in the architecture document; per §12.1, that document confers no authority. Nothing in this Section modifies the composition of the voting body under §2.1, the interim franchise of subscribing members under Article XII, or the non-derogation rule of §12.4.</w:t>
      </w:r>
    </w:p>
    <w:p>
      <w:pPr>
        <w:pStyle w:val="Heading1"/>
        <w:spacing w:before="360" w:after="160"/>
        <w:rPr/>
      </w:pPr>
      <w:r>
        <w:rPr/>
        <w:t>ARTICLE III: GOVERNANCE AND THE BOARD OF DIRECTORS</w:t>
      </w:r>
    </w:p>
    <w:p>
      <w:pPr>
        <w:pStyle w:val="Heading2"/>
        <w:spacing w:before="260" w:after="120"/>
        <w:rPr/>
      </w:pPr>
      <w:r>
        <w:rPr/>
        <w:t>Section 3.1: Governance Model</w:t>
      </w:r>
    </w:p>
    <w:p>
      <w:pPr>
        <w:pStyle w:val="Normal"/>
        <w:spacing w:before="0" w:after="120"/>
        <w:rPr/>
      </w:pPr>
      <w:r>
        <w:rPr/>
        <w:t>The Corporation shall be governed by its members, acting collectively through a nested-circle structure inspired by Sociocracy 2.0, conducted within designated channels of the Corporation's Workspace. The "Workspace" is the Corporation's designated venue for continuous deliberation and governance, established and designated by board policy. The current Workspace is a proprietary hosted service; its status as a named interim, and the committed exit to sovereign coordination substrate, are set forth in Article XII. The voting body for any matter before the membership remains as defined in §2.1.</w:t>
      </w:r>
    </w:p>
    <w:p>
      <w:pPr>
        <w:pStyle w:val="Heading2"/>
        <w:spacing w:before="260" w:after="120"/>
        <w:rPr/>
      </w:pPr>
      <w:r>
        <w:rPr/>
        <w:t>Section 3.2: The Board of Directors</w:t>
      </w:r>
    </w:p>
    <w:p>
      <w:pPr>
        <w:pStyle w:val="Normal"/>
        <w:spacing w:before="0" w:after="120"/>
        <w:rPr/>
      </w:pPr>
      <w:r>
        <w:rPr/>
        <w:t>The Corporation shall maintain a Board of Directors as required by KRS 273.211. The Board shall be composed of the standing representatives of the Desk Channels established in §3.3. Each Director shall be a natural person of legal age and shall serve as Director during their tenure as a standing representative. The Board exercises ultimate fiduciary, legal, and compliance authority for the Corporation, including:</w:t>
      </w:r>
    </w:p>
    <w:p>
      <w:pPr>
        <w:pStyle w:val="ListParagraph"/>
        <w:numPr>
          <w:ilvl w:val="0"/>
          <w:numId w:val="1"/>
        </w:numPr>
        <w:spacing w:before="0" w:after="60"/>
        <w:rPr/>
      </w:pPr>
      <w:r>
        <w:rPr/>
        <w:t>Policy development and implementation</w:t>
      </w:r>
    </w:p>
    <w:p>
      <w:pPr>
        <w:pStyle w:val="ListParagraph"/>
        <w:numPr>
          <w:ilvl w:val="0"/>
          <w:numId w:val="1"/>
        </w:numPr>
        <w:spacing w:before="0" w:after="60"/>
        <w:rPr/>
      </w:pPr>
      <w:r>
        <w:rPr/>
        <w:t>Strategic planning and oversight</w:t>
      </w:r>
    </w:p>
    <w:p>
      <w:pPr>
        <w:pStyle w:val="ListParagraph"/>
        <w:numPr>
          <w:ilvl w:val="0"/>
          <w:numId w:val="1"/>
        </w:numPr>
        <w:spacing w:before="0" w:after="60"/>
        <w:rPr/>
      </w:pPr>
      <w:r>
        <w:rPr/>
        <w:t>Financial management and legal compliance</w:t>
      </w:r>
    </w:p>
    <w:p>
      <w:pPr>
        <w:pStyle w:val="ListParagraph"/>
        <w:numPr>
          <w:ilvl w:val="0"/>
          <w:numId w:val="1"/>
        </w:numPr>
        <w:spacing w:before="0" w:after="60"/>
        <w:rPr/>
      </w:pPr>
      <w:r>
        <w:rPr/>
        <w:t>Personnel decisions and program management</w:t>
      </w:r>
    </w:p>
    <w:p>
      <w:pPr>
        <w:pStyle w:val="ListParagraph"/>
        <w:numPr>
          <w:ilvl w:val="0"/>
          <w:numId w:val="1"/>
        </w:numPr>
        <w:spacing w:before="0" w:after="60"/>
        <w:rPr/>
      </w:pPr>
      <w:r>
        <w:rPr/>
        <w:t>Adoption, amendment, and repeal of board policies</w:t>
      </w:r>
    </w:p>
    <w:p>
      <w:pPr>
        <w:pStyle w:val="ListParagraph"/>
        <w:numPr>
          <w:ilvl w:val="0"/>
          <w:numId w:val="1"/>
        </w:numPr>
        <w:spacing w:before="0" w:after="60"/>
        <w:rPr/>
      </w:pPr>
      <w:r>
        <w:rPr/>
        <w:t>Establishment of membership criteria, dues structures, and program requirements</w:t>
      </w:r>
    </w:p>
    <w:p>
      <w:pPr>
        <w:pStyle w:val="Heading2"/>
        <w:spacing w:before="260" w:after="120"/>
        <w:rPr/>
      </w:pPr>
      <w:r>
        <w:rPr/>
        <w:t>Section 3.3: Desk Channels and Standing Representatives</w:t>
      </w:r>
    </w:p>
    <w:p>
      <w:pPr>
        <w:pStyle w:val="Normal"/>
        <w:spacing w:before="0" w:after="120"/>
        <w:rPr/>
      </w:pPr>
      <w:r>
        <w:rPr/>
        <w:t>The following Desk Channels shall be the office circles of the Corporation:</w:t>
      </w:r>
    </w:p>
    <w:p>
      <w:pPr>
        <w:pStyle w:val="ListParagraph"/>
        <w:numPr>
          <w:ilvl w:val="0"/>
          <w:numId w:val="1"/>
        </w:numPr>
        <w:spacing w:before="0" w:after="60"/>
        <w:rPr/>
      </w:pPr>
      <w:r>
        <w:rPr/>
        <w:t>#desk-president — office of the President</w:t>
      </w:r>
    </w:p>
    <w:p>
      <w:pPr>
        <w:pStyle w:val="ListParagraph"/>
        <w:numPr>
          <w:ilvl w:val="0"/>
          <w:numId w:val="1"/>
        </w:numPr>
        <w:spacing w:before="0" w:after="60"/>
        <w:rPr/>
      </w:pPr>
      <w:r>
        <w:rPr/>
        <w:t>#desk-vice-president — office of the Vice President</w:t>
      </w:r>
    </w:p>
    <w:p>
      <w:pPr>
        <w:pStyle w:val="ListParagraph"/>
        <w:numPr>
          <w:ilvl w:val="0"/>
          <w:numId w:val="1"/>
        </w:numPr>
        <w:spacing w:before="0" w:after="60"/>
        <w:rPr/>
      </w:pPr>
      <w:r>
        <w:rPr/>
        <w:t>#desk-secretary — office of the Secretary</w:t>
      </w:r>
    </w:p>
    <w:p>
      <w:pPr>
        <w:pStyle w:val="ListParagraph"/>
        <w:numPr>
          <w:ilvl w:val="0"/>
          <w:numId w:val="1"/>
        </w:numPr>
        <w:spacing w:before="0" w:after="60"/>
        <w:rPr/>
      </w:pPr>
      <w:r>
        <w:rPr/>
        <w:t>#desk-treasurer — office of the Treasurer</w:t>
      </w:r>
    </w:p>
    <w:p>
      <w:pPr>
        <w:pStyle w:val="ListParagraph"/>
        <w:numPr>
          <w:ilvl w:val="0"/>
          <w:numId w:val="1"/>
        </w:numPr>
        <w:spacing w:before="0" w:after="60"/>
        <w:rPr/>
      </w:pPr>
      <w:r>
        <w:rPr/>
        <w:t>#desk-workspace-administrator — office of the Workspace Administrator</w:t>
      </w:r>
    </w:p>
    <w:p>
      <w:pPr>
        <w:pStyle w:val="Normal"/>
        <w:spacing w:before="0" w:after="120"/>
        <w:rPr/>
      </w:pPr>
      <w:r>
        <w:rPr/>
        <w:t>Each Desk Channel is open to participation by all members in good standing, of any class. Within its designated domain, each channel is responsible for all matters pertaining to its office, with the powers traditionally exercised by the corresponding individual officer after voting on measures.</w:t>
      </w:r>
    </w:p>
    <w:p>
      <w:pPr>
        <w:pStyle w:val="Normal"/>
        <w:spacing w:before="0" w:after="120"/>
        <w:rPr/>
      </w:pPr>
      <w:r>
        <w:rPr/>
        <w:t>Each Desk Channel shall elect a standing representative from its participants. The standing representative:</w:t>
      </w:r>
    </w:p>
    <w:p>
      <w:pPr>
        <w:pStyle w:val="ListParagraph"/>
        <w:numPr>
          <w:ilvl w:val="0"/>
          <w:numId w:val="1"/>
        </w:numPr>
        <w:spacing w:before="0" w:after="60"/>
        <w:rPr/>
      </w:pPr>
      <w:r>
        <w:rPr/>
        <w:t>Serves as the corresponding officer of the Corporation under Article IV</w:t>
      </w:r>
    </w:p>
    <w:p>
      <w:pPr>
        <w:pStyle w:val="ListParagraph"/>
        <w:numPr>
          <w:ilvl w:val="0"/>
          <w:numId w:val="1"/>
        </w:numPr>
        <w:spacing w:before="0" w:after="60"/>
        <w:rPr/>
      </w:pPr>
      <w:r>
        <w:rPr/>
        <w:t>Serves as a Director of the Corporation under §3.2 during their tenure as standing representative</w:t>
      </w:r>
    </w:p>
    <w:p>
      <w:pPr>
        <w:pStyle w:val="ListParagraph"/>
        <w:numPr>
          <w:ilvl w:val="0"/>
          <w:numId w:val="1"/>
        </w:numPr>
        <w:spacing w:before="0" w:after="60"/>
        <w:rPr/>
      </w:pPr>
      <w:r>
        <w:rPr/>
        <w:t>Carries the layer stewardship assigned to the office under §4.5</w:t>
      </w:r>
    </w:p>
    <w:p>
      <w:pPr>
        <w:pStyle w:val="ListParagraph"/>
        <w:numPr>
          <w:ilvl w:val="0"/>
          <w:numId w:val="1"/>
        </w:numPr>
        <w:spacing w:before="0" w:after="60"/>
        <w:rPr/>
      </w:pPr>
      <w:r>
        <w:rPr/>
        <w:t>Acts in accordance with decisions reached by channel vote</w:t>
      </w:r>
    </w:p>
    <w:p>
      <w:pPr>
        <w:pStyle w:val="ListParagraph"/>
        <w:numPr>
          <w:ilvl w:val="0"/>
          <w:numId w:val="1"/>
        </w:numPr>
        <w:spacing w:before="0" w:after="60"/>
        <w:rPr/>
      </w:pPr>
      <w:r>
        <w:rPr/>
        <w:t>Executes documents, signatures, and external communications required of the office</w:t>
      </w:r>
    </w:p>
    <w:p>
      <w:pPr>
        <w:pStyle w:val="ListParagraph"/>
        <w:numPr>
          <w:ilvl w:val="0"/>
          <w:numId w:val="1"/>
        </w:numPr>
        <w:spacing w:before="0" w:after="60"/>
        <w:rPr/>
      </w:pPr>
      <w:r>
        <w:rPr/>
        <w:t>Is subject to removal under §3.8</w:t>
      </w:r>
    </w:p>
    <w:p>
      <w:pPr>
        <w:pStyle w:val="Normal"/>
        <w:spacing w:before="0" w:after="120"/>
        <w:rPr/>
      </w:pPr>
      <w:r>
        <w:rPr/>
        <w:t>When an external action requires an individual representative and no standing representative is presently in office, the channel may designate a member to represent the office temporarily for a specific matter. Extended vacancy in any Desk Channel's standing representative position shall be addressed by the Board under §3.8.</w:t>
      </w:r>
    </w:p>
    <w:p>
      <w:pPr>
        <w:pStyle w:val="Normal"/>
        <w:spacing w:before="0" w:after="120"/>
        <w:rPr/>
      </w:pPr>
      <w:r>
        <w:rPr/>
        <w:t>Members of any class may participate in channel deliberation. Binding channel votes shall be by majority of participating voting members in good standing — subscribing members, operator members, and Directors — unless these bylaws or board policy require a different threshold.</w:t>
      </w:r>
    </w:p>
    <w:p>
      <w:pPr>
        <w:pStyle w:val="Normal"/>
        <w:spacing w:before="0" w:after="120"/>
        <w:rPr/>
      </w:pPr>
      <w:r>
        <w:rPr/>
        <w:t>Members may participate in any number of channels and weigh in on each vote conducted within those channels. For matters distributed across multiple channels for Board-wide approval under §3.6, the Secretariat shall deduplicate votes after the channel votes have run so that each member's vote is counted exactly once toward the Board outcome. This deduplication procedure is a temporary measure for operation within the current Workspace tooling and shall be retired upon adoption of voting infrastructure that natively enforces the one-person-one-vote rule across all Board matters.</w:t>
      </w:r>
    </w:p>
    <w:p>
      <w:pPr>
        <w:pStyle w:val="Normal"/>
        <w:spacing w:before="0" w:after="120"/>
        <w:rPr/>
      </w:pPr>
      <w:r>
        <w:rPr/>
        <w:t>A member of any class who did not participate in a channel vote may challenge its outcome by submitting an observation under the Maximum Observational Diversity procedure described in Article XI, §11.4 and Appendix B. The affected channel shall deliberate and vote on the countering observation, and a passing vote shall reopen the original matter for reconsideration.</w:t>
      </w:r>
    </w:p>
    <w:p>
      <w:pPr>
        <w:pStyle w:val="Heading2"/>
        <w:spacing w:before="260" w:after="120"/>
        <w:rPr/>
      </w:pPr>
      <w:r>
        <w:rPr/>
        <w:t>Section 3.4: Workspace Administrator</w:t>
      </w:r>
    </w:p>
    <w:p>
      <w:pPr>
        <w:pStyle w:val="Normal"/>
        <w:spacing w:before="0" w:after="120"/>
        <w:rPr/>
      </w:pPr>
      <w:r>
        <w:rPr/>
        <w:t>The Workspace Administrator's office replaces the position of Chairman established in prior versions of these bylaws. The Workspace Administrator works between channels in the Workspace to keep governance flowing: coordinating cross-channel matters, ensuring proper channel operation, supporting the workflows described in §3.5, and performing duties assigned by the Board. The Workspace Administrator presides over the Corporation's continuous channel deliberation in the Workspace and over the annual membership meeting. As steward of the substrate layer under §4.5, the Workspace Administrator answers for the Corporation's venues and infrastructure remaining leaveable — including exportability of the corporate record and execution of the venue transition committed in Article XII. The Workspace Administrator's duties are further set forth in Article IV.</w:t>
      </w:r>
    </w:p>
    <w:p>
      <w:pPr>
        <w:pStyle w:val="Heading2"/>
        <w:spacing w:before="260" w:after="120"/>
        <w:rPr/>
      </w:pPr>
      <w:r>
        <w:rPr/>
        <w:t>Section 3.5: Workflow Infrastructure and Vote Outcomes</w:t>
      </w:r>
    </w:p>
    <w:p>
      <w:pPr>
        <w:pStyle w:val="Normal"/>
        <w:spacing w:before="0" w:after="120"/>
        <w:rPr/>
      </w:pPr>
      <w:r>
        <w:rPr/>
        <w:t>Workspace workflows shall link internal channel votes with intrachannel votes to ensure the smooth flow of information across the governance structure. Workflows shall be maintained by members and volunteers in #resource-infrastructure.</w:t>
      </w:r>
    </w:p>
    <w:p>
      <w:pPr>
        <w:pStyle w:val="Normal"/>
        <w:spacing w:before="0" w:after="120"/>
        <w:rPr/>
      </w:pPr>
      <w:r>
        <w:rPr/>
        <w:t>Vote outcomes from all channels shall be recorded in #desk-vote-results and incorporated into corporate minutes by the Secretary.</w:t>
      </w:r>
    </w:p>
    <w:p>
      <w:pPr>
        <w:pStyle w:val="Heading2"/>
        <w:spacing w:before="260" w:after="120"/>
        <w:rPr/>
      </w:pPr>
      <w:r>
        <w:rPr/>
        <w:t>Section 3.6: Board Meeting Procedure</w:t>
      </w:r>
    </w:p>
    <w:p>
      <w:pPr>
        <w:pStyle w:val="Normal"/>
        <w:spacing w:before="0" w:after="120"/>
        <w:rPr/>
      </w:pPr>
      <w:r>
        <w:rPr/>
        <w:t>The Board does not hold a recurring meeting requirement under these bylaws. Board action is conducted continuously through Desk Channel proceedings under §3.3, the Continuous Board Meeting Policy under §3.13, and written consent under KRS 273.375. Transparency with the membership and the public is provided through the quarterly public reports required under §3.7.</w:t>
      </w:r>
    </w:p>
    <w:p>
      <w:pPr>
        <w:pStyle w:val="Normal"/>
        <w:spacing w:before="0" w:after="120"/>
        <w:rPr/>
      </w:pPr>
      <w:r>
        <w:rPr>
          <w:b/>
          <w:bCs/>
        </w:rPr>
        <w:t>Synchronous Meetings:</w:t>
      </w:r>
      <w:r>
        <w:rPr/>
        <w:t xml:space="preserve"> When a matter requires focused real-time deliberation, a synchronous Board meeting may be called by the Workspace Administrator, the President, or any three (3) standing representatives. Synchronous meetings may be held in person or by telecommunications.</w:t>
      </w:r>
    </w:p>
    <w:p>
      <w:pPr>
        <w:pStyle w:val="Normal"/>
        <w:spacing w:before="0" w:after="120"/>
        <w:rPr/>
      </w:pPr>
      <w:r>
        <w:rPr>
          <w:b/>
          <w:bCs/>
        </w:rPr>
        <w:t>Notice:</w:t>
      </w:r>
      <w:r>
        <w:rPr/>
        <w:t xml:space="preserve"> Standing representatives shall receive at least two (2) days written notice of any called synchronous meeting, including date, time, place or telecommunications method, and agenda. Attendance constitutes waiver of notice except when attending to object to improper notice.</w:t>
      </w:r>
    </w:p>
    <w:p>
      <w:pPr>
        <w:pStyle w:val="Normal"/>
        <w:spacing w:before="0" w:after="120"/>
        <w:rPr/>
      </w:pPr>
      <w:r>
        <w:rPr>
          <w:b/>
          <w:bCs/>
        </w:rPr>
        <w:t>Quorum:</w:t>
      </w:r>
      <w:r>
        <w:rPr/>
        <w:t xml:space="preserve"> For synchronous meetings, a majority of standing representatives then in office shall constitute a quorum.</w:t>
      </w:r>
    </w:p>
    <w:p>
      <w:pPr>
        <w:pStyle w:val="Normal"/>
        <w:spacing w:before="0" w:after="120"/>
        <w:rPr/>
      </w:pPr>
      <w:r>
        <w:rPr>
          <w:b/>
          <w:bCs/>
        </w:rPr>
        <w:t>Action:</w:t>
      </w:r>
      <w:r>
        <w:rPr/>
        <w:t xml:space="preserve"> The act of a majority of standing representatives present at a synchronous meeting with a quorum shall be the act of the Board, unless a greater number is required by law or these bylaws.</w:t>
      </w:r>
    </w:p>
    <w:p>
      <w:pPr>
        <w:pStyle w:val="Normal"/>
        <w:spacing w:before="0" w:after="120"/>
        <w:rPr/>
      </w:pPr>
      <w:r>
        <w:rPr>
          <w:b/>
          <w:bCs/>
        </w:rPr>
        <w:t>Remote Participation:</w:t>
      </w:r>
      <w:r>
        <w:rPr/>
        <w:t xml:space="preserve"> Standing representatives may participate in synchronous meetings by telecommunications if all participants can communicate simultaneously.</w:t>
      </w:r>
    </w:p>
    <w:p>
      <w:pPr>
        <w:pStyle w:val="Heading2"/>
        <w:spacing w:before="260" w:after="120"/>
        <w:rPr/>
      </w:pPr>
      <w:r>
        <w:rPr/>
        <w:t>Section 3.7: Quarterly Public Reports</w:t>
      </w:r>
    </w:p>
    <w:p>
      <w:pPr>
        <w:pStyle w:val="Normal"/>
        <w:spacing w:before="0" w:after="120"/>
        <w:rPr/>
      </w:pPr>
      <w:r>
        <w:rPr/>
        <w:t>The Board shall publish a public report on board activities at the close of each calendar quarter. The Secretariat — comprising #desk-secretary and the Secretary as standing representative — is responsible for compiling, finalizing, and publishing each quarterly report, in coordination with the other channels of the Corporation as needed.</w:t>
      </w:r>
    </w:p>
    <w:p>
      <w:pPr>
        <w:pStyle w:val="Normal"/>
        <w:spacing w:before="0" w:after="120"/>
        <w:rPr/>
      </w:pPr>
      <w:r>
        <w:rPr/>
        <w:t>Each quarterly report shall include, at minimum:</w:t>
      </w:r>
    </w:p>
    <w:p>
      <w:pPr>
        <w:pStyle w:val="ListParagraph"/>
        <w:numPr>
          <w:ilvl w:val="0"/>
          <w:numId w:val="1"/>
        </w:numPr>
        <w:spacing w:before="0" w:after="60"/>
        <w:rPr/>
      </w:pPr>
      <w:r>
        <w:rPr/>
        <w:t>Significant Board decisions and channel votes during the quarter</w:t>
      </w:r>
    </w:p>
    <w:p>
      <w:pPr>
        <w:pStyle w:val="ListParagraph"/>
        <w:numPr>
          <w:ilvl w:val="0"/>
          <w:numId w:val="1"/>
        </w:numPr>
        <w:spacing w:before="0" w:after="60"/>
        <w:rPr/>
      </w:pPr>
      <w:r>
        <w:rPr/>
        <w:t>Financial status of the Corporation and any material financial transactions</w:t>
      </w:r>
    </w:p>
    <w:p>
      <w:pPr>
        <w:pStyle w:val="ListParagraph"/>
        <w:numPr>
          <w:ilvl w:val="0"/>
          <w:numId w:val="1"/>
        </w:numPr>
        <w:spacing w:before="0" w:after="60"/>
        <w:rPr/>
      </w:pPr>
      <w:r>
        <w:rPr/>
        <w:t>Status of active programs and committees</w:t>
      </w:r>
    </w:p>
    <w:p>
      <w:pPr>
        <w:pStyle w:val="ListParagraph"/>
        <w:numPr>
          <w:ilvl w:val="0"/>
          <w:numId w:val="1"/>
        </w:numPr>
        <w:spacing w:before="0" w:after="60"/>
        <w:rPr/>
      </w:pPr>
      <w:r>
        <w:rPr/>
        <w:t>Membership changes during the quarter</w:t>
      </w:r>
    </w:p>
    <w:p>
      <w:pPr>
        <w:pStyle w:val="ListParagraph"/>
        <w:numPr>
          <w:ilvl w:val="0"/>
          <w:numId w:val="1"/>
        </w:numPr>
        <w:spacing w:before="0" w:after="60"/>
        <w:rPr/>
      </w:pPr>
      <w:r>
        <w:rPr/>
        <w:t>Compliance status with applicable regulatory filings</w:t>
      </w:r>
    </w:p>
    <w:p>
      <w:pPr>
        <w:pStyle w:val="ListParagraph"/>
        <w:numPr>
          <w:ilvl w:val="0"/>
          <w:numId w:val="1"/>
        </w:numPr>
        <w:spacing w:before="0" w:after="60"/>
        <w:rPr/>
      </w:pPr>
      <w:r>
        <w:rPr/>
        <w:t>The status of each named interim and committed transition under Article XII, stated plainly, including any stall</w:t>
      </w:r>
    </w:p>
    <w:p>
      <w:pPr>
        <w:pStyle w:val="Normal"/>
        <w:spacing w:before="0" w:after="120"/>
        <w:rPr/>
      </w:pPr>
      <w:r>
        <w:rPr/>
        <w:t>Each quarterly report shall be published on the Corporation's public website and incorporated into corporate records. The quarterly public reports replace the prior quarterly Board meeting requirement and serve as the principal mechanism by which the Corporation maintains transparency with its membership and the public.</w:t>
      </w:r>
    </w:p>
    <w:p>
      <w:pPr>
        <w:pStyle w:val="Heading2"/>
        <w:spacing w:before="260" w:after="120"/>
        <w:rPr/>
      </w:pPr>
      <w:r>
        <w:rPr/>
        <w:t>Section 3.8: Vacancies and Removal of Standing Representatives</w:t>
      </w:r>
    </w:p>
    <w:p>
      <w:pPr>
        <w:pStyle w:val="Normal"/>
        <w:spacing w:before="0" w:after="120"/>
        <w:rPr/>
      </w:pPr>
      <w:r>
        <w:rPr>
          <w:b/>
          <w:bCs/>
        </w:rPr>
        <w:t>Vacancy Filling:</w:t>
      </w:r>
      <w:r>
        <w:rPr/>
        <w:t xml:space="preserve"> Vacancies in any standing representative position shall be filled by election of the affected Desk Channel within a reasonable time. If a Desk Channel cannot fill a vacancy within sixty (60) days, the Board may appoint a temporary standing representative from the channel's participants until the channel elects a successor. A vacancy in a standing representative position is also a vacancy in the corresponding layer stewardship under §4.5 and shall be treated with the same urgency.</w:t>
      </w:r>
    </w:p>
    <w:p>
      <w:pPr>
        <w:pStyle w:val="Normal"/>
        <w:spacing w:before="0" w:after="120"/>
        <w:rPr/>
      </w:pPr>
      <w:r>
        <w:rPr>
          <w:b/>
          <w:bCs/>
        </w:rPr>
        <w:t>Removal:</w:t>
      </w:r>
      <w:r>
        <w:rPr/>
        <w:t xml:space="preserve"> A standing representative may be removed by either:</w:t>
      </w:r>
    </w:p>
    <w:p>
      <w:pPr>
        <w:pStyle w:val="ListParagraph"/>
        <w:numPr>
          <w:ilvl w:val="0"/>
          <w:numId w:val="1"/>
        </w:numPr>
        <w:spacing w:before="0" w:after="60"/>
        <w:rPr/>
      </w:pPr>
      <w:r>
        <w:rPr/>
        <w:t>Majority vote of their Desk Channel, or</w:t>
      </w:r>
    </w:p>
    <w:p>
      <w:pPr>
        <w:pStyle w:val="ListParagraph"/>
        <w:numPr>
          <w:ilvl w:val="0"/>
          <w:numId w:val="1"/>
        </w:numPr>
        <w:spacing w:before="0" w:after="60"/>
        <w:rPr/>
      </w:pPr>
      <w:r>
        <w:rPr/>
        <w:t>Two-thirds (2/3) vote of the voting membership at any properly noticed meeting, with specific cause demonstrated and opportunity for the standing representative to be heard.</w:t>
      </w:r>
    </w:p>
    <w:p>
      <w:pPr>
        <w:pStyle w:val="Normal"/>
        <w:spacing w:before="0" w:after="120"/>
        <w:rPr/>
      </w:pPr>
      <w:r>
        <w:rPr>
          <w:b/>
          <w:bCs/>
        </w:rPr>
        <w:t>Resignation:</w:t>
      </w:r>
      <w:r>
        <w:rPr/>
        <w:t xml:space="preserve"> A standing representative may resign by written notice to the Board and to their Desk Channel.</w:t>
      </w:r>
    </w:p>
    <w:p>
      <w:pPr>
        <w:pStyle w:val="Heading2"/>
        <w:spacing w:before="260" w:after="120"/>
        <w:rPr/>
      </w:pPr>
      <w:r>
        <w:rPr/>
        <w:t>Section 3.9: Committees</w:t>
      </w:r>
    </w:p>
    <w:p>
      <w:pPr>
        <w:pStyle w:val="Normal"/>
        <w:spacing w:before="0" w:after="120"/>
        <w:rPr/>
      </w:pPr>
      <w:r>
        <w:rPr/>
        <w:t>The Board may create committees and delegate authority as permitted by Kentucky law, except that committees may not:</w:t>
      </w:r>
    </w:p>
    <w:p>
      <w:pPr>
        <w:pStyle w:val="ListParagraph"/>
        <w:numPr>
          <w:ilvl w:val="0"/>
          <w:numId w:val="1"/>
        </w:numPr>
        <w:spacing w:before="0" w:after="60"/>
        <w:rPr/>
      </w:pPr>
      <w:r>
        <w:rPr/>
        <w:t>Authorize distributions</w:t>
      </w:r>
    </w:p>
    <w:p>
      <w:pPr>
        <w:pStyle w:val="ListParagraph"/>
        <w:numPr>
          <w:ilvl w:val="0"/>
          <w:numId w:val="1"/>
        </w:numPr>
        <w:spacing w:before="0" w:after="60"/>
        <w:rPr/>
      </w:pPr>
      <w:r>
        <w:rPr/>
        <w:t>Fill board vacancies</w:t>
      </w:r>
    </w:p>
    <w:p>
      <w:pPr>
        <w:pStyle w:val="ListParagraph"/>
        <w:numPr>
          <w:ilvl w:val="0"/>
          <w:numId w:val="1"/>
        </w:numPr>
        <w:spacing w:before="0" w:after="60"/>
        <w:rPr/>
      </w:pPr>
      <w:r>
        <w:rPr/>
        <w:t>Adopt, amend, or repeal bylaws</w:t>
      </w:r>
    </w:p>
    <w:p>
      <w:pPr>
        <w:pStyle w:val="ListParagraph"/>
        <w:numPr>
          <w:ilvl w:val="0"/>
          <w:numId w:val="1"/>
        </w:numPr>
        <w:spacing w:before="0" w:after="60"/>
        <w:rPr/>
      </w:pPr>
      <w:r>
        <w:rPr/>
        <w:t>Elect or remove officers</w:t>
      </w:r>
    </w:p>
    <w:p>
      <w:pPr>
        <w:pStyle w:val="ListParagraph"/>
        <w:numPr>
          <w:ilvl w:val="0"/>
          <w:numId w:val="1"/>
        </w:numPr>
        <w:spacing w:before="0" w:after="60"/>
        <w:rPr/>
      </w:pPr>
      <w:r>
        <w:rPr/>
        <w:t>Approve fundamental corporate changes</w:t>
      </w:r>
    </w:p>
    <w:p>
      <w:pPr>
        <w:pStyle w:val="Normal"/>
        <w:spacing w:before="0" w:after="120"/>
        <w:rPr/>
      </w:pPr>
      <w:r>
        <w:rPr/>
        <w:t>Current committees of the Corporation operate as Committee Channels within the Workspace, including:</w:t>
      </w:r>
    </w:p>
    <w:p>
      <w:pPr>
        <w:pStyle w:val="ListParagraph"/>
        <w:numPr>
          <w:ilvl w:val="0"/>
          <w:numId w:val="1"/>
        </w:numPr>
        <w:spacing w:before="0" w:after="60"/>
        <w:rPr/>
      </w:pPr>
      <w:r>
        <w:rPr/>
        <w:t>#committee-fruitful-management — management of Fruitful Management LLC</w:t>
      </w:r>
    </w:p>
    <w:p>
      <w:pPr>
        <w:pStyle w:val="ListParagraph"/>
        <w:numPr>
          <w:ilvl w:val="0"/>
          <w:numId w:val="1"/>
        </w:numPr>
        <w:spacing w:before="0" w:after="60"/>
        <w:rPr/>
      </w:pPr>
      <w:r>
        <w:rPr/>
        <w:t>#committee-partnerships — partnership matters</w:t>
      </w:r>
    </w:p>
    <w:p>
      <w:pPr>
        <w:pStyle w:val="Normal"/>
        <w:spacing w:before="0" w:after="120"/>
        <w:rPr/>
      </w:pPr>
      <w:r>
        <w:rPr/>
        <w:t>Each Committee Channel is open to all members in good standing, of any class. Each Committee Channel may elect a chair from its participants and may designate individuals to represent the committee for external action when necessary. Binding votes within Committee Channels follow the rule of §3.3. Committees report to the Board through the Workspace Administrator and through the quarterly public reports under §3.7.</w:t>
      </w:r>
    </w:p>
    <w:p>
      <w:pPr>
        <w:pStyle w:val="Heading2"/>
        <w:spacing w:before="260" w:after="120"/>
        <w:rPr/>
      </w:pPr>
      <w:r>
        <w:rPr/>
        <w:t>Section 3.10: Conflict of Interest</w:t>
      </w:r>
    </w:p>
    <w:p>
      <w:pPr>
        <w:pStyle w:val="Normal"/>
        <w:spacing w:before="0" w:after="120"/>
        <w:rPr/>
      </w:pPr>
      <w:r>
        <w:rPr/>
        <w:t>The Board shall adopt and enforce a conflict of interest policy. Standing representatives with conflicts must disclose them and may not vote on related matters, either at the Board level or within their respective Desk Channels. The Vice President's audit authority under §4.3 extends to the review of conflict disclosures and to adherence to this policy.</w:t>
      </w:r>
    </w:p>
    <w:p>
      <w:pPr>
        <w:pStyle w:val="Heading2"/>
        <w:spacing w:before="260" w:after="120"/>
        <w:rPr/>
      </w:pPr>
      <w:r>
        <w:rPr/>
        <w:t>Section 3.11: Asset Protection</w:t>
      </w:r>
    </w:p>
    <w:p>
      <w:pPr>
        <w:pStyle w:val="Normal"/>
        <w:spacing w:before="0" w:after="120"/>
        <w:rPr/>
      </w:pPr>
      <w:r>
        <w:rPr/>
        <w:t>Critical organizational assets, including intellectual property, major contracts, and investments exceeding $10,000, require authorization from at least three (3) standing representatives for any transfer, modification, or encumbrance.</w:t>
      </w:r>
    </w:p>
    <w:p>
      <w:pPr>
        <w:pStyle w:val="Heading2"/>
        <w:spacing w:before="260" w:after="120"/>
        <w:rPr/>
      </w:pPr>
      <w:r>
        <w:rPr/>
        <w:t>Section 3.12: Emergency Powers</w:t>
      </w:r>
    </w:p>
    <w:p>
      <w:pPr>
        <w:pStyle w:val="Normal"/>
        <w:spacing w:before="0" w:after="120"/>
        <w:rPr/>
      </w:pPr>
      <w:r>
        <w:rPr/>
        <w:t>During organizational emergencies threatening the Corporation's mission or operations, the Board may take immediate protective actions. Any changes affecting fundamental governance, mission, or member rights require subsequent membership approval within ninety (90) days.</w:t>
      </w:r>
    </w:p>
    <w:p>
      <w:pPr>
        <w:pStyle w:val="Heading2"/>
        <w:spacing w:before="260" w:after="120"/>
        <w:rPr/>
      </w:pPr>
      <w:r>
        <w:rPr/>
        <w:t>Section 3.13: Continuous Board Meeting Policy</w:t>
      </w:r>
    </w:p>
    <w:p>
      <w:pPr>
        <w:pStyle w:val="Normal"/>
        <w:spacing w:before="0" w:after="120"/>
        <w:rPr/>
      </w:pPr>
      <w:r>
        <w:rPr/>
        <w:t>The Continuous Board Meeting Policy (P1-003), set forth in full at Appendix C, is the operative procedure for ongoing Board action under KRS 273.375. P1-003 is the primary mode of Board deliberation and decision-making under these bylaws; synchronous meetings under §3.6 are reserved for matters requiring focused real-time engagement. P1-003 shall be amended by board written consent as needed to reflect the channel structure established in this Article; such amendments do not require amendment of these bylaws.</w:t>
      </w:r>
    </w:p>
    <w:p>
      <w:pPr>
        <w:pStyle w:val="Heading1"/>
        <w:spacing w:before="360" w:after="160"/>
        <w:rPr/>
      </w:pPr>
      <w:r>
        <w:rPr/>
        <w:t>ARTICLE IV: OFFICERS</w:t>
      </w:r>
    </w:p>
    <w:p>
      <w:pPr>
        <w:pStyle w:val="Heading2"/>
        <w:spacing w:before="260" w:after="120"/>
        <w:rPr/>
      </w:pPr>
      <w:r>
        <w:rPr/>
        <w:t>Section 4.1: Required Officers</w:t>
      </w:r>
    </w:p>
    <w:p>
      <w:pPr>
        <w:pStyle w:val="Normal"/>
        <w:spacing w:before="0" w:after="120"/>
        <w:rPr/>
      </w:pPr>
      <w:r>
        <w:rPr/>
        <w:t>The Corporation shall have the following officers:</w:t>
      </w:r>
    </w:p>
    <w:p>
      <w:pPr>
        <w:pStyle w:val="ListParagraph"/>
        <w:numPr>
          <w:ilvl w:val="0"/>
          <w:numId w:val="1"/>
        </w:numPr>
        <w:spacing w:before="0" w:after="60"/>
        <w:rPr/>
      </w:pPr>
      <w:r>
        <w:rPr/>
        <w:t>President</w:t>
      </w:r>
    </w:p>
    <w:p>
      <w:pPr>
        <w:pStyle w:val="ListParagraph"/>
        <w:numPr>
          <w:ilvl w:val="0"/>
          <w:numId w:val="1"/>
        </w:numPr>
        <w:spacing w:before="0" w:after="60"/>
        <w:rPr/>
      </w:pPr>
      <w:r>
        <w:rPr/>
        <w:t>Vice President</w:t>
      </w:r>
    </w:p>
    <w:p>
      <w:pPr>
        <w:pStyle w:val="ListParagraph"/>
        <w:numPr>
          <w:ilvl w:val="0"/>
          <w:numId w:val="1"/>
        </w:numPr>
        <w:spacing w:before="0" w:after="60"/>
        <w:rPr/>
      </w:pPr>
      <w:r>
        <w:rPr/>
        <w:t>Secretary</w:t>
      </w:r>
    </w:p>
    <w:p>
      <w:pPr>
        <w:pStyle w:val="ListParagraph"/>
        <w:numPr>
          <w:ilvl w:val="0"/>
          <w:numId w:val="1"/>
        </w:numPr>
        <w:spacing w:before="0" w:after="60"/>
        <w:rPr/>
      </w:pPr>
      <w:r>
        <w:rPr/>
        <w:t>Treasurer</w:t>
      </w:r>
    </w:p>
    <w:p>
      <w:pPr>
        <w:pStyle w:val="ListParagraph"/>
        <w:numPr>
          <w:ilvl w:val="0"/>
          <w:numId w:val="1"/>
        </w:numPr>
        <w:spacing w:before="0" w:after="60"/>
        <w:rPr/>
      </w:pPr>
      <w:r>
        <w:rPr/>
        <w:t>Workspace Administrator (replacing the position of Chairman established in prior versions of these bylaws)</w:t>
      </w:r>
    </w:p>
    <w:p>
      <w:pPr>
        <w:pStyle w:val="Normal"/>
        <w:spacing w:before="0" w:after="120"/>
        <w:rPr/>
      </w:pPr>
      <w:r>
        <w:rPr/>
        <w:t>Additional officers may be appointed as determined by the Board. One person may hold more than one office to the extent permitted by Kentucky law, except that no person may simultaneously hold two offices carrying layer stewardship under §4.5.</w:t>
      </w:r>
    </w:p>
    <w:p>
      <w:pPr>
        <w:pStyle w:val="Heading2"/>
        <w:spacing w:before="260" w:after="120"/>
        <w:rPr/>
      </w:pPr>
      <w:r>
        <w:rPr/>
        <w:t>Section 4.2: Election and Terms</w:t>
      </w:r>
    </w:p>
    <w:p>
      <w:pPr>
        <w:pStyle w:val="Normal"/>
        <w:spacing w:before="0" w:after="120"/>
        <w:rPr/>
      </w:pPr>
      <w:r>
        <w:rPr/>
        <w:t>Officers are the standing representatives elected by their respective Desk Channels under §3.3. Each officer serves until removed, resigned, or replaced by their respective Desk Channel; the Desk Channels shall reaffirm or replace their standing representatives at least annually, with the annual reaffirmation conducted in conjunction with the annual membership meeting.</w:t>
      </w:r>
    </w:p>
    <w:p>
      <w:pPr>
        <w:pStyle w:val="Heading2"/>
        <w:spacing w:before="260" w:after="120"/>
        <w:rPr/>
      </w:pPr>
      <w:r>
        <w:rPr/>
        <w:t>Section 4.3: Officer Duties</w:t>
      </w:r>
    </w:p>
    <w:p>
      <w:pPr>
        <w:pStyle w:val="Normal"/>
        <w:spacing w:before="0" w:after="120"/>
        <w:rPr/>
      </w:pPr>
      <w:r>
        <w:rPr>
          <w:b/>
          <w:bCs/>
        </w:rPr>
        <w:t>President:</w:t>
      </w:r>
      <w:r>
        <w:rPr/>
        <w:t xml:space="preserve"> Serves as chief executive officer, implements board policies, manages daily operations, and may execute contracts as authorized. As steward of the covenant layer under §4.5, the President answers for the integrity of the Corporation's trust and assessment systems — their symmetry, their refusal of averaged scores, and the answerability of every claim — while never personally holding a verdict on any claim.</w:t>
      </w:r>
    </w:p>
    <w:p>
      <w:pPr>
        <w:pStyle w:val="Normal"/>
        <w:spacing w:before="0" w:after="120"/>
        <w:rPr/>
      </w:pPr>
      <w:r>
        <w:rPr>
          <w:b/>
          <w:bCs/>
        </w:rPr>
        <w:t>Vice President:</w:t>
      </w:r>
      <w:r>
        <w:rPr/>
        <w:t xml:space="preserve"> Serves as President in the President's absence, incapacity, or inability to serve. Exercises audit authority over the Corporation's financial affairs, internal controls, compliance with bylaws and board policies, and other governance matters — including the right to review records, conduct inquiries, and report findings to the Board. The audit authority is investigative, never dispositive: findings are reported to the Board and the affected channels, with whom disposition remains. Performs executive auxiliary duties in support of the President, including coordination of cross-cutting executive initiatives, and may be assigned specific portfolio responsibilities by the Board. As steward of the governance layer under §4.5, the Vice President answers for the minimal core, the standing contestation channels, and the progress of the committed transitions under Article XII.</w:t>
      </w:r>
    </w:p>
    <w:p>
      <w:pPr>
        <w:pStyle w:val="Normal"/>
        <w:spacing w:before="0" w:after="120"/>
        <w:rPr/>
      </w:pPr>
      <w:r>
        <w:rPr>
          <w:b/>
          <w:bCs/>
        </w:rPr>
        <w:t>Secretary:</w:t>
      </w:r>
      <w:r>
        <w:rPr/>
        <w:t xml:space="preserve"> Maintains corporate records, provides notice of meetings, records meeting minutes, authenticates corporate documents, coordinates document control and version management, and leads the Secretariat in producing the quarterly public reports required under §3.7. As steward of the record layer under §4.5, the Secretariat answers for the append-only discipline of the corporate record: corrections and reversals are recorded as new entries, never as erasures, and the register of governing documents under §7.3 is maintained with plain-language change summaries.</w:t>
      </w:r>
    </w:p>
    <w:p>
      <w:pPr>
        <w:pStyle w:val="Normal"/>
        <w:spacing w:before="0" w:after="120"/>
        <w:rPr/>
      </w:pPr>
      <w:r>
        <w:rPr>
          <w:b/>
          <w:bCs/>
        </w:rPr>
        <w:t>Treasurer:</w:t>
      </w:r>
      <w:r>
        <w:rPr/>
        <w:t xml:space="preserve"> Oversees financial affairs, maintains financial records, provides financial reports to the Board, and ensures compliance with financial policies. As steward of the economy and education layer under §4.5, the Treasurer answers for the conformance of any member-issued credit economy operated on Corporation platforms under §5.7 — escrow-first settlement, the governed transition to credit, and the earned-never-bought, non-redeemable discipline of the architecture — and for the no-truth-authority discipline of the Corporation's knowledge commons.</w:t>
      </w:r>
    </w:p>
    <w:p>
      <w:pPr>
        <w:pStyle w:val="Normal"/>
        <w:spacing w:before="0" w:after="120"/>
        <w:rPr/>
      </w:pPr>
      <w:r>
        <w:rPr>
          <w:b/>
          <w:bCs/>
        </w:rPr>
        <w:t>Workspace Administrator:</w:t>
      </w:r>
      <w:r>
        <w:rPr/>
        <w:t xml:space="preserve"> Presides over the Corporation's continuous channel deliberation and over the annual membership meeting. Coordinates between Desk and Committee Channels via the workflow infrastructure under §3.5. Ensures proper governance and performs duties assigned by the Board. As steward of the substrate layer under §4.5, the Workspace Administrator answers for the Corporation's venues and infrastructure remaining leaveable, including the exportability of the corporate record and the venue transition committed under Article XII.</w:t>
      </w:r>
    </w:p>
    <w:p>
      <w:pPr>
        <w:pStyle w:val="Heading2"/>
        <w:spacing w:before="260" w:after="120"/>
        <w:rPr/>
      </w:pPr>
      <w:r>
        <w:rPr/>
        <w:t>Section 4.4: Removal and Resignation</w:t>
      </w:r>
    </w:p>
    <w:p>
      <w:pPr>
        <w:pStyle w:val="Normal"/>
        <w:spacing w:before="0" w:after="120"/>
        <w:rPr/>
      </w:pPr>
      <w:r>
        <w:rPr/>
        <w:t>Officers may be removed in accordance with the removal procedures for standing representatives at §3.8: by majority vote of their respective Desk Channel, or by two-thirds (2/3) vote of the voting membership at any properly noticed meeting with cause demonstrated. Officers may also be removed by majority vote of the Board for failure to perform office duties, subject to subsequent ratification by the Desk Channel. Officers may resign by written notice to the Board and to their Desk Channel.</w:t>
      </w:r>
    </w:p>
    <w:p>
      <w:pPr>
        <w:pStyle w:val="Heading2"/>
        <w:spacing w:before="260" w:after="120"/>
        <w:rPr/>
      </w:pPr>
      <w:r>
        <w:rPr/>
        <w:t>Section 4.5: Layer-Aligned Stewardship</w:t>
      </w:r>
    </w:p>
    <w:p>
      <w:pPr>
        <w:pStyle w:val="Normal"/>
        <w:spacing w:before="0" w:after="120"/>
        <w:rPr/>
      </w:pPr>
      <w:r>
        <w:rPr/>
        <w:t>The five offices of the Corporation align one-to-one with the five layers of Janus-Facing Architecture, so that every layer of the architecture has exactly one named, recallable officer answerable for its conformance and legibility:</w:t>
      </w:r>
    </w:p>
    <w:p>
      <w:pPr>
        <w:pStyle w:val="ListParagraph"/>
        <w:numPr>
          <w:ilvl w:val="0"/>
          <w:numId w:val="1"/>
        </w:numPr>
        <w:spacing w:before="0" w:after="60"/>
        <w:rPr/>
      </w:pPr>
      <w:r>
        <w:rPr/>
        <w:t>The Workspace Administrator stewards the Substrate layer</w:t>
      </w:r>
    </w:p>
    <w:p>
      <w:pPr>
        <w:pStyle w:val="ListParagraph"/>
        <w:numPr>
          <w:ilvl w:val="0"/>
          <w:numId w:val="1"/>
        </w:numPr>
        <w:spacing w:before="0" w:after="60"/>
        <w:rPr/>
      </w:pPr>
      <w:r>
        <w:rPr/>
        <w:t>The Secretary stewards the Record layer</w:t>
      </w:r>
    </w:p>
    <w:p>
      <w:pPr>
        <w:pStyle w:val="ListParagraph"/>
        <w:numPr>
          <w:ilvl w:val="0"/>
          <w:numId w:val="1"/>
        </w:numPr>
        <w:spacing w:before="0" w:after="60"/>
        <w:rPr/>
      </w:pPr>
      <w:r>
        <w:rPr/>
        <w:t>The President stewards the Covenant layer</w:t>
      </w:r>
    </w:p>
    <w:p>
      <w:pPr>
        <w:pStyle w:val="ListParagraph"/>
        <w:numPr>
          <w:ilvl w:val="0"/>
          <w:numId w:val="1"/>
        </w:numPr>
        <w:spacing w:before="0" w:after="60"/>
        <w:rPr/>
      </w:pPr>
      <w:r>
        <w:rPr/>
        <w:t>The Vice President stewards the Governance layer</w:t>
      </w:r>
    </w:p>
    <w:p>
      <w:pPr>
        <w:pStyle w:val="ListParagraph"/>
        <w:numPr>
          <w:ilvl w:val="0"/>
          <w:numId w:val="1"/>
        </w:numPr>
        <w:spacing w:before="0" w:after="60"/>
        <w:rPr/>
      </w:pPr>
      <w:r>
        <w:rPr/>
        <w:t>The Treasurer stewards the Economy and Education layer</w:t>
      </w:r>
    </w:p>
    <w:p>
      <w:pPr>
        <w:pStyle w:val="Normal"/>
        <w:spacing w:before="0" w:after="120"/>
        <w:rPr/>
      </w:pPr>
      <w:r>
        <w:rPr/>
        <w:t>Stewardship is answerability, not authority. A steward answers to the Board and the membership for their layer's conformance to the architecture and for its legibility; stewardship confers no adjudicative or dispositive power over the layer's content beyond the powers otherwise granted by these bylaws. The Secretary does not decide which record is official beyond the authentication duties of §4.3; the President holds no verdict on any claim; the Treasurer administers economy policy only through governed, recorded policy changes, never through per-member discretion.</w:t>
      </w:r>
    </w:p>
    <w:p>
      <w:pPr>
        <w:pStyle w:val="Normal"/>
        <w:spacing w:before="0" w:after="120"/>
        <w:rPr/>
      </w:pPr>
      <w:r>
        <w:rPr/>
        <w:t>One-to-one alignment is the point: a layer without a steward decays with no one answerable, and an office stewarding two layers concentrates what the alignment exists to distribute. Each stewardship inherits the recall provisions of §3.8, so the membership may replace the steward of any layer through the same procedures by which any standing representative is recalled.</w:t>
      </w:r>
    </w:p>
    <w:p>
      <w:pPr>
        <w:pStyle w:val="Heading1"/>
        <w:spacing w:before="360" w:after="160"/>
        <w:rPr/>
      </w:pPr>
      <w:r>
        <w:rPr/>
        <w:t>ARTICLE V: FINANCIAL MANAGEMENT</w:t>
      </w:r>
    </w:p>
    <w:p>
      <w:pPr>
        <w:pStyle w:val="Heading2"/>
        <w:spacing w:before="260" w:after="120"/>
        <w:rPr/>
      </w:pPr>
      <w:r>
        <w:rPr/>
        <w:t>Section 5.1: Fiscal Year</w:t>
      </w:r>
    </w:p>
    <w:p>
      <w:pPr>
        <w:pStyle w:val="Normal"/>
        <w:spacing w:before="0" w:after="120"/>
        <w:rPr/>
      </w:pPr>
      <w:r>
        <w:rPr/>
        <w:t>The Corporation's fiscal year shall be the calendar year unless changed by board resolution.</w:t>
      </w:r>
    </w:p>
    <w:p>
      <w:pPr>
        <w:pStyle w:val="Heading2"/>
        <w:spacing w:before="260" w:after="120"/>
        <w:rPr/>
      </w:pPr>
      <w:r>
        <w:rPr/>
        <w:t>Section 5.2: Financial Controls</w:t>
      </w:r>
    </w:p>
    <w:p>
      <w:pPr>
        <w:pStyle w:val="Normal"/>
        <w:spacing w:before="0" w:after="120"/>
        <w:rPr/>
      </w:pPr>
      <w:r>
        <w:rPr/>
        <w:t>The Board shall establish financial policies including:</w:t>
      </w:r>
    </w:p>
    <w:p>
      <w:pPr>
        <w:pStyle w:val="ListParagraph"/>
        <w:numPr>
          <w:ilvl w:val="0"/>
          <w:numId w:val="1"/>
        </w:numPr>
        <w:spacing w:before="0" w:after="60"/>
        <w:rPr/>
      </w:pPr>
      <w:r>
        <w:rPr/>
        <w:t>Annual budget approval procedures</w:t>
      </w:r>
    </w:p>
    <w:p>
      <w:pPr>
        <w:pStyle w:val="ListParagraph"/>
        <w:numPr>
          <w:ilvl w:val="0"/>
          <w:numId w:val="1"/>
        </w:numPr>
        <w:spacing w:before="0" w:after="60"/>
        <w:rPr/>
      </w:pPr>
      <w:r>
        <w:rPr/>
        <w:t>Spending authorization limits</w:t>
      </w:r>
    </w:p>
    <w:p>
      <w:pPr>
        <w:pStyle w:val="ListParagraph"/>
        <w:numPr>
          <w:ilvl w:val="0"/>
          <w:numId w:val="1"/>
        </w:numPr>
        <w:spacing w:before="0" w:after="60"/>
        <w:rPr/>
      </w:pPr>
      <w:r>
        <w:rPr/>
        <w:t>Financial reporting requirements</w:t>
      </w:r>
    </w:p>
    <w:p>
      <w:pPr>
        <w:pStyle w:val="ListParagraph"/>
        <w:numPr>
          <w:ilvl w:val="0"/>
          <w:numId w:val="1"/>
        </w:numPr>
        <w:spacing w:before="0" w:after="60"/>
        <w:rPr/>
      </w:pPr>
      <w:r>
        <w:rPr/>
        <w:t>Audit or review procedures</w:t>
      </w:r>
    </w:p>
    <w:p>
      <w:pPr>
        <w:pStyle w:val="ListParagraph"/>
        <w:numPr>
          <w:ilvl w:val="0"/>
          <w:numId w:val="1"/>
        </w:numPr>
        <w:spacing w:before="0" w:after="60"/>
        <w:rPr/>
      </w:pPr>
      <w:r>
        <w:rPr/>
        <w:t>Investment policies</w:t>
      </w:r>
    </w:p>
    <w:p>
      <w:pPr>
        <w:pStyle w:val="Heading2"/>
        <w:spacing w:before="260" w:after="120"/>
        <w:rPr/>
      </w:pPr>
      <w:r>
        <w:rPr/>
        <w:t>Section 5.3: Membership Dues Structure</w:t>
      </w:r>
    </w:p>
    <w:p>
      <w:pPr>
        <w:pStyle w:val="Normal"/>
        <w:spacing w:before="0" w:after="120"/>
        <w:rPr/>
      </w:pPr>
      <w:r>
        <w:rPr/>
        <w:t>The Board shall review and adjust the dues amounts set forth in §2.1 based on:</w:t>
      </w:r>
    </w:p>
    <w:p>
      <w:pPr>
        <w:pStyle w:val="ListParagraph"/>
        <w:numPr>
          <w:ilvl w:val="0"/>
          <w:numId w:val="1"/>
        </w:numPr>
        <w:spacing w:before="0" w:after="60"/>
        <w:rPr/>
      </w:pPr>
      <w:r>
        <w:rPr/>
        <w:t>Actual costs of services provided to members</w:t>
      </w:r>
    </w:p>
    <w:p>
      <w:pPr>
        <w:pStyle w:val="ListParagraph"/>
        <w:numPr>
          <w:ilvl w:val="0"/>
          <w:numId w:val="1"/>
        </w:numPr>
        <w:spacing w:before="0" w:after="60"/>
        <w:rPr/>
      </w:pPr>
      <w:r>
        <w:rPr/>
        <w:t>Fair market value of resources and access provided</w:t>
      </w:r>
    </w:p>
    <w:p>
      <w:pPr>
        <w:pStyle w:val="ListParagraph"/>
        <w:numPr>
          <w:ilvl w:val="0"/>
          <w:numId w:val="1"/>
        </w:numPr>
        <w:spacing w:before="0" w:after="60"/>
        <w:rPr/>
      </w:pPr>
      <w:r>
        <w:rPr/>
        <w:t>Organizational capacity to pay</w:t>
      </w:r>
    </w:p>
    <w:p>
      <w:pPr>
        <w:pStyle w:val="ListParagraph"/>
        <w:numPr>
          <w:ilvl w:val="0"/>
          <w:numId w:val="1"/>
        </w:numPr>
        <w:spacing w:before="0" w:after="60"/>
        <w:rPr/>
      </w:pPr>
      <w:r>
        <w:rPr/>
        <w:t>Comparability data from similar nonprofit research organizations</w:t>
      </w:r>
    </w:p>
    <w:p>
      <w:pPr>
        <w:pStyle w:val="Normal"/>
        <w:spacing w:before="0" w:after="120"/>
        <w:rPr/>
      </w:pPr>
      <w:r>
        <w:rPr/>
        <w:t>All dues and fees must represent genuine exchange of value to maintain tax-exempt status and avoid private benefit concerns. The Board shall review dues structures annually and adjust as necessary with appropriate notice to members.</w:t>
      </w:r>
    </w:p>
    <w:p>
      <w:pPr>
        <w:pStyle w:val="Heading2"/>
        <w:spacing w:before="260" w:after="120"/>
        <w:rPr/>
      </w:pPr>
      <w:r>
        <w:rPr/>
        <w:t>Section 5.4: Financial Support to Members</w:t>
      </w:r>
    </w:p>
    <w:p>
      <w:pPr>
        <w:pStyle w:val="Normal"/>
        <w:spacing w:before="0" w:after="120"/>
        <w:rPr/>
      </w:pPr>
      <w:r>
        <w:rPr/>
        <w:t>The Corporation may provide grants or financial support to members only through:</w:t>
      </w:r>
    </w:p>
    <w:p>
      <w:pPr>
        <w:pStyle w:val="ListParagraph"/>
        <w:numPr>
          <w:ilvl w:val="0"/>
          <w:numId w:val="1"/>
        </w:numPr>
        <w:spacing w:before="0" w:after="60"/>
        <w:rPr/>
      </w:pPr>
      <w:r>
        <w:rPr/>
        <w:t>Competitive grant programs open to all eligible members</w:t>
      </w:r>
    </w:p>
    <w:p>
      <w:pPr>
        <w:pStyle w:val="ListParagraph"/>
        <w:numPr>
          <w:ilvl w:val="0"/>
          <w:numId w:val="1"/>
        </w:numPr>
        <w:spacing w:before="0" w:after="60"/>
        <w:rPr/>
      </w:pPr>
      <w:r>
        <w:rPr/>
        <w:t>Emergency hardship assistance with Board approval</w:t>
      </w:r>
    </w:p>
    <w:p>
      <w:pPr>
        <w:pStyle w:val="ListParagraph"/>
        <w:numPr>
          <w:ilvl w:val="0"/>
          <w:numId w:val="1"/>
        </w:numPr>
        <w:spacing w:before="0" w:after="60"/>
        <w:rPr/>
      </w:pPr>
      <w:r>
        <w:rPr/>
        <w:t>Seed funding for new chapters or initiatives meeting strategic priorities</w:t>
      </w:r>
    </w:p>
    <w:p>
      <w:pPr>
        <w:pStyle w:val="ListParagraph"/>
        <w:numPr>
          <w:ilvl w:val="0"/>
          <w:numId w:val="1"/>
        </w:numPr>
        <w:spacing w:before="0" w:after="60"/>
        <w:rPr/>
      </w:pPr>
      <w:r>
        <w:rPr/>
        <w:t>Project-specific funding tied to the Corporation's exempt purposes</w:t>
      </w:r>
    </w:p>
    <w:p>
      <w:pPr>
        <w:pStyle w:val="Normal"/>
        <w:spacing w:before="0" w:after="120"/>
        <w:rPr/>
      </w:pPr>
      <w:r>
        <w:rPr/>
        <w:t>All funding decisions must be documented with rationale showing advancement of the Corporation's charitable, educational, and scientific mission.</w:t>
      </w:r>
    </w:p>
    <w:p>
      <w:pPr>
        <w:pStyle w:val="Heading2"/>
        <w:spacing w:before="260" w:after="120"/>
        <w:rPr/>
      </w:pPr>
      <w:r>
        <w:rPr/>
        <w:t>Section 5.5: Compensation</w:t>
      </w:r>
    </w:p>
    <w:p>
      <w:pPr>
        <w:pStyle w:val="Normal"/>
        <w:spacing w:before="0" w:after="120"/>
        <w:rPr/>
      </w:pPr>
      <w:r>
        <w:rPr/>
        <w:t>All compensation must comply with IRS intermediate sanctions requirements and be approved by the Board following documented reasonableness analysis using appropriate comparability data.</w:t>
      </w:r>
    </w:p>
    <w:p>
      <w:pPr>
        <w:pStyle w:val="Heading2"/>
        <w:spacing w:before="260" w:after="120"/>
        <w:rPr/>
      </w:pPr>
      <w:r>
        <w:rPr/>
        <w:t>Section 5.6: Prohibited Transactions</w:t>
      </w:r>
    </w:p>
    <w:p>
      <w:pPr>
        <w:pStyle w:val="Normal"/>
        <w:spacing w:before="0" w:after="120"/>
        <w:rPr/>
      </w:pPr>
      <w:r>
        <w:rPr/>
        <w:t>The Corporation shall not make loans to directors or officers, except as permitted by applicable law.</w:t>
      </w:r>
    </w:p>
    <w:p>
      <w:pPr>
        <w:pStyle w:val="Heading2"/>
        <w:spacing w:before="260" w:after="120"/>
        <w:rPr/>
      </w:pPr>
      <w:r>
        <w:rPr/>
        <w:t>Section 5.7: Platform Economies</w:t>
      </w:r>
    </w:p>
    <w:p>
      <w:pPr>
        <w:pStyle w:val="Normal"/>
        <w:spacing w:before="0" w:after="120"/>
        <w:rPr/>
      </w:pPr>
      <w:r>
        <w:rPr/>
        <w:t>Any exchange economy operated on Corporation platforms shall conform to Janus-Facing Architecture. In particular:</w:t>
      </w:r>
    </w:p>
    <w:p>
      <w:pPr>
        <w:pStyle w:val="ListParagraph"/>
        <w:numPr>
          <w:ilvl w:val="0"/>
          <w:numId w:val="1"/>
        </w:numPr>
        <w:spacing w:before="0" w:after="60"/>
        <w:rPr/>
      </w:pPr>
      <w:r>
        <w:rPr/>
        <w:t>Settlement begins as pre-funded escrow</w:t>
      </w:r>
    </w:p>
    <w:p>
      <w:pPr>
        <w:pStyle w:val="ListParagraph"/>
        <w:numPr>
          <w:ilvl w:val="0"/>
          <w:numId w:val="1"/>
        </w:numPr>
        <w:spacing w:before="0" w:after="60"/>
        <w:rPr/>
      </w:pPr>
      <w:r>
        <w:rPr/>
        <w:t>The transition from escrow settlement to member-issued credit is a governed configuration change requiring Board approval, notice to the membership, and a documented regulatory review completed before any credit issuance</w:t>
      </w:r>
    </w:p>
    <w:p>
      <w:pPr>
        <w:pStyle w:val="ListParagraph"/>
        <w:numPr>
          <w:ilvl w:val="0"/>
          <w:numId w:val="1"/>
        </w:numPr>
        <w:spacing w:before="0" w:after="60"/>
        <w:rPr/>
      </w:pPr>
      <w:r>
        <w:rPr/>
        <w:t>Credit units are earned for value provided to the network; they are never sold, never purchasable, and never redeemable for fiat currency; denomination against fiat is a unit of account, never a backing</w:t>
      </w:r>
    </w:p>
    <w:p>
      <w:pPr>
        <w:pStyle w:val="ListParagraph"/>
        <w:numPr>
          <w:ilvl w:val="0"/>
          <w:numId w:val="1"/>
        </w:numPr>
        <w:spacing w:before="0" w:after="60"/>
        <w:rPr/>
      </w:pPr>
      <w:r>
        <w:rPr/>
        <w:t>Issuance is gated by the covenant and capped by a separate limit that is never derived from the harm distribution</w:t>
      </w:r>
    </w:p>
    <w:p>
      <w:pPr>
        <w:pStyle w:val="ListParagraph"/>
        <w:numPr>
          <w:ilvl w:val="0"/>
          <w:numId w:val="1"/>
        </w:numPr>
        <w:spacing w:before="0" w:after="60"/>
        <w:rPr/>
      </w:pPr>
      <w:r>
        <w:rPr/>
        <w:t>Each platform's unit remains sovereign and non-convertible to any other platform's unit</w:t>
      </w:r>
    </w:p>
    <w:p>
      <w:pPr>
        <w:pStyle w:val="Normal"/>
        <w:spacing w:before="0" w:after="120"/>
        <w:rPr/>
      </w:pPr>
      <w:r>
        <w:rPr/>
        <w:t>The Treasurer reports the status of any economy under this Section in the quarterly public reports under §3.7.</w:t>
      </w:r>
    </w:p>
    <w:p>
      <w:pPr>
        <w:pStyle w:val="Heading1"/>
        <w:spacing w:before="360" w:after="160"/>
        <w:rPr/>
      </w:pPr>
      <w:r>
        <w:rPr/>
        <w:t>ARTICLE VI: PROGRAMS AND OPERATIONS</w:t>
      </w:r>
    </w:p>
    <w:p>
      <w:pPr>
        <w:pStyle w:val="Heading2"/>
        <w:spacing w:before="260" w:after="120"/>
        <w:rPr/>
      </w:pPr>
      <w:r>
        <w:rPr/>
        <w:t>Section 6.1: Programs and Working Groups</w:t>
      </w:r>
    </w:p>
    <w:p>
      <w:pPr>
        <w:pStyle w:val="Normal"/>
        <w:spacing w:before="0" w:after="120"/>
        <w:rPr/>
      </w:pPr>
      <w:r>
        <w:rPr/>
        <w:t>The Board may establish programs and working groups to advance the corporate mission through charter documents or policy resolutions defining scope, management, and procedures.</w:t>
      </w:r>
    </w:p>
    <w:p>
      <w:pPr>
        <w:pStyle w:val="Normal"/>
        <w:spacing w:before="0" w:after="120"/>
        <w:rPr/>
      </w:pPr>
      <w:r>
        <w:rPr>
          <w:b/>
          <w:bCs/>
        </w:rPr>
        <w:t>Working Groups:</w:t>
      </w:r>
      <w:r>
        <w:rPr/>
        <w:t xml:space="preserve"> Working groups shall be the primary mechanism for collaborative research and protocol development. Working groups may be established for specific technical domains, research initiatives, or protocol development projects. Working group charters shall be developed according to the template provided in Appendix A.</w:t>
      </w:r>
    </w:p>
    <w:p>
      <w:pPr>
        <w:pStyle w:val="Normal"/>
        <w:spacing w:before="0" w:after="120"/>
        <w:rPr/>
      </w:pPr>
      <w:r>
        <w:rPr>
          <w:b/>
          <w:bCs/>
        </w:rPr>
        <w:t>Member Participation:</w:t>
      </w:r>
      <w:r>
        <w:rPr/>
        <w:t xml:space="preserve"> Members may operate as chartered programs, lead working groups, or participate in collaborative research, subject to charter agreements or working group procedures.</w:t>
      </w:r>
    </w:p>
    <w:p>
      <w:pPr>
        <w:pStyle w:val="Heading2"/>
        <w:spacing w:before="260" w:after="120"/>
        <w:rPr/>
      </w:pPr>
      <w:r>
        <w:rPr/>
        <w:t>Section 6.2: Operational Policies</w:t>
      </w:r>
    </w:p>
    <w:p>
      <w:pPr>
        <w:pStyle w:val="Normal"/>
        <w:spacing w:before="0" w:after="120"/>
        <w:rPr/>
      </w:pPr>
      <w:r>
        <w:rPr/>
        <w:t>All operational procedures shall be governed by board-adopted policies addressing:</w:t>
      </w:r>
    </w:p>
    <w:p>
      <w:pPr>
        <w:pStyle w:val="ListParagraph"/>
        <w:numPr>
          <w:ilvl w:val="0"/>
          <w:numId w:val="1"/>
        </w:numPr>
        <w:spacing w:before="0" w:after="60"/>
        <w:rPr/>
      </w:pPr>
      <w:r>
        <w:rPr/>
        <w:t>Conflict of interest procedures</w:t>
      </w:r>
    </w:p>
    <w:p>
      <w:pPr>
        <w:pStyle w:val="ListParagraph"/>
        <w:numPr>
          <w:ilvl w:val="0"/>
          <w:numId w:val="1"/>
        </w:numPr>
        <w:spacing w:before="0" w:after="60"/>
        <w:rPr/>
      </w:pPr>
      <w:r>
        <w:rPr/>
        <w:t>Record keeping and transparency</w:t>
      </w:r>
    </w:p>
    <w:p>
      <w:pPr>
        <w:pStyle w:val="ListParagraph"/>
        <w:numPr>
          <w:ilvl w:val="0"/>
          <w:numId w:val="1"/>
        </w:numPr>
        <w:spacing w:before="0" w:after="60"/>
        <w:rPr/>
      </w:pPr>
      <w:r>
        <w:rPr/>
        <w:t>Privacy protection and data management</w:t>
      </w:r>
    </w:p>
    <w:p>
      <w:pPr>
        <w:pStyle w:val="ListParagraph"/>
        <w:numPr>
          <w:ilvl w:val="0"/>
          <w:numId w:val="1"/>
        </w:numPr>
        <w:spacing w:before="0" w:after="60"/>
        <w:rPr/>
      </w:pPr>
      <w:r>
        <w:rPr/>
        <w:t>Personnel management</w:t>
      </w:r>
    </w:p>
    <w:p>
      <w:pPr>
        <w:pStyle w:val="ListParagraph"/>
        <w:numPr>
          <w:ilvl w:val="0"/>
          <w:numId w:val="1"/>
        </w:numPr>
        <w:spacing w:before="0" w:after="60"/>
        <w:rPr/>
      </w:pPr>
      <w:r>
        <w:rPr/>
        <w:t>Grant-making procedures (if applicable)</w:t>
      </w:r>
    </w:p>
    <w:p>
      <w:pPr>
        <w:pStyle w:val="ListParagraph"/>
        <w:numPr>
          <w:ilvl w:val="0"/>
          <w:numId w:val="1"/>
        </w:numPr>
        <w:spacing w:before="0" w:after="60"/>
        <w:rPr/>
      </w:pPr>
      <w:r>
        <w:rPr/>
        <w:t>Intellectual property and open-source compliance</w:t>
      </w:r>
    </w:p>
    <w:p>
      <w:pPr>
        <w:pStyle w:val="ListParagraph"/>
        <w:numPr>
          <w:ilvl w:val="0"/>
          <w:numId w:val="1"/>
        </w:numPr>
        <w:spacing w:before="0" w:after="60"/>
        <w:rPr/>
      </w:pPr>
      <w:r>
        <w:rPr/>
        <w:t>Working group governance and technical standards processes</w:t>
      </w:r>
    </w:p>
    <w:p>
      <w:pPr>
        <w:pStyle w:val="ListParagraph"/>
        <w:numPr>
          <w:ilvl w:val="0"/>
          <w:numId w:val="1"/>
        </w:numPr>
        <w:spacing w:before="0" w:after="60"/>
        <w:rPr/>
      </w:pPr>
      <w:r>
        <w:rPr/>
        <w:t>Legibility and interpretive accessibility of governing documents and governance-relevant systems, consistent with the architecture's legibility requirements</w:t>
      </w:r>
    </w:p>
    <w:p>
      <w:pPr>
        <w:pStyle w:val="Heading2"/>
        <w:spacing w:before="260" w:after="120"/>
        <w:rPr/>
      </w:pPr>
      <w:r>
        <w:rPr/>
        <w:t>Section 6.3: Asynchronous Discussion Procedure</w:t>
      </w:r>
    </w:p>
    <w:p>
      <w:pPr>
        <w:pStyle w:val="Heading3"/>
        <w:spacing w:before="200" w:after="100"/>
        <w:rPr/>
      </w:pPr>
      <w:r>
        <w:rPr/>
        <w:t>6.3(a) Definition and Invocation</w:t>
      </w:r>
    </w:p>
    <w:p>
      <w:pPr>
        <w:pStyle w:val="Normal"/>
        <w:spacing w:before="0" w:after="120"/>
        <w:rPr/>
      </w:pPr>
      <w:r>
        <w:rPr/>
        <w:t>"Asynchronous Discussion" means the three-phase deliberative procedure described in this Section. It is the default mode of substantive committee deliberation at the Corporation and may be invoked by any committee chair, the President, or by petition of any three (3) members of a committee. Each phase shall target a duration of two (2) weeks, with planned intervals for scheduled deviations; the committee chair shall document any extension in the proposal record.</w:t>
      </w:r>
    </w:p>
    <w:p>
      <w:pPr>
        <w:pStyle w:val="Heading3"/>
        <w:spacing w:before="200" w:after="100"/>
        <w:rPr/>
      </w:pPr>
      <w:r>
        <w:rPr/>
        <w:t>6.3(b) Phase 1 — Individual Assessment</w:t>
      </w:r>
    </w:p>
    <w:p>
      <w:pPr>
        <w:pStyle w:val="Normal"/>
        <w:spacing w:before="0" w:after="120"/>
        <w:rPr/>
      </w:pPr>
      <w:r>
        <w:rPr/>
        <w:t>Committee members review the originating documentation. Each member then produces an individual position document — memo, essay, or comparable written form — setting out their position on the question under consideration. All Phase 1 documents shall be filed in the proposal record before Phase 2 begins.</w:t>
      </w:r>
    </w:p>
    <w:p>
      <w:pPr>
        <w:pStyle w:val="Heading3"/>
        <w:spacing w:before="200" w:after="100"/>
        <w:rPr/>
      </w:pPr>
      <w:r>
        <w:rPr/>
        <w:t>6.3(c) Phase 2 — Vector Synthesis</w:t>
      </w:r>
    </w:p>
    <w:p>
      <w:pPr>
        <w:pStyle w:val="Normal"/>
        <w:spacing w:before="0" w:after="120"/>
        <w:rPr/>
      </w:pPr>
      <w:r>
        <w:rPr/>
        <w:t>All Phase 1 documents shall be loaded into a large language model oriented with the original documentation in a public project. The model shall be prompted to produce a vector position — a synthesized stance that honors the range of perspectives expressed by the group. The canonical prompt is:</w:t>
      </w:r>
    </w:p>
    <w:p>
      <w:pPr>
        <w:pStyle w:val="Normal"/>
        <w:spacing w:before="0" w:after="120"/>
        <w:ind w:start="720"/>
        <w:rPr/>
      </w:pPr>
      <w:r>
        <w:rPr>
          <w:i/>
          <w:iCs/>
        </w:rPr>
        <w:t>Generate a synthesized stance that honors the range of perspectives expressed in each document.</w:t>
      </w:r>
    </w:p>
    <w:p>
      <w:pPr>
        <w:pStyle w:val="Normal"/>
        <w:spacing w:before="0" w:after="120"/>
        <w:rPr/>
      </w:pPr>
      <w:r>
        <w:rPr/>
        <w:t>Each participant shall then produce a second document expressing their position concerning the vector's compromises. If no material harm is identified, the committee may move to Phase 3 with or without consensus. In the event that material harm can be presently identified, it shall be documented in the proposal record and the vector adjusted by the President, the Workspace Administrator, or the committee chair with authority over the matter, who shall re-issue the synthesis prompt incorporating the documented harm. A single documented harm suffices to reopen the synthesis; harm is never averaged into it.</w:t>
      </w:r>
    </w:p>
    <w:p>
      <w:pPr>
        <w:pStyle w:val="Heading3"/>
        <w:spacing w:before="200" w:after="100"/>
        <w:rPr/>
      </w:pPr>
      <w:r>
        <w:rPr/>
        <w:t>6.3(d) Phase 3 — Fine Tuning</w:t>
      </w:r>
    </w:p>
    <w:p>
      <w:pPr>
        <w:pStyle w:val="Normal"/>
        <w:spacing w:before="0" w:after="120"/>
        <w:rPr/>
      </w:pPr>
      <w:r>
        <w:rPr/>
        <w:t>With consensus established, the new language shall be drafted into the proposed final document. Participants review the final text and submit a public vote for or against. Written comments are required alongside every vote. Voting and commentary are continuous and remain open in order to preserve awareness of the issue. Where major votes against or troubling comments arise during the open period, the committee chair shall return the matter to Phase 1.</w:t>
      </w:r>
    </w:p>
    <w:p>
      <w:pPr>
        <w:pStyle w:val="Heading3"/>
        <w:spacing w:before="200" w:after="100"/>
        <w:rPr/>
      </w:pPr>
      <w:r>
        <w:rPr/>
        <w:t>6.3(e) Record</w:t>
      </w:r>
    </w:p>
    <w:p>
      <w:pPr>
        <w:pStyle w:val="Normal"/>
        <w:spacing w:before="0" w:after="120"/>
        <w:rPr/>
      </w:pPr>
      <w:r>
        <w:rPr/>
        <w:t>All documents produced under this Section — Phase 1 assessments, the Phase 2 vector and member responses to it, harm documentation if any, and Phase 3 votes with their written comments — shall be preserved in the proposal record and incorporated into corporate minutes by the Secretary.</w:t>
      </w:r>
    </w:p>
    <w:p>
      <w:pPr>
        <w:pStyle w:val="Heading1"/>
        <w:spacing w:before="360" w:after="160"/>
        <w:rPr/>
      </w:pPr>
      <w:r>
        <w:rPr/>
        <w:t>ARTICLE VII: LEGAL COMPLIANCE AND GOVERNANCE</w:t>
      </w:r>
    </w:p>
    <w:p>
      <w:pPr>
        <w:pStyle w:val="Heading2"/>
        <w:spacing w:before="260" w:after="120"/>
        <w:rPr/>
      </w:pPr>
      <w:r>
        <w:rPr/>
        <w:t>Section 7.1: Tax-Exempt Compliance</w:t>
      </w:r>
    </w:p>
    <w:p>
      <w:pPr>
        <w:pStyle w:val="Normal"/>
        <w:spacing w:before="0" w:after="120"/>
        <w:rPr/>
      </w:pPr>
      <w:r>
        <w:rPr/>
        <w:t>The Corporation shall:</w:t>
      </w:r>
    </w:p>
    <w:p>
      <w:pPr>
        <w:pStyle w:val="ListParagraph"/>
        <w:numPr>
          <w:ilvl w:val="0"/>
          <w:numId w:val="1"/>
        </w:numPr>
        <w:spacing w:before="0" w:after="60"/>
        <w:rPr/>
      </w:pPr>
      <w:r>
        <w:rPr/>
        <w:t>Operate exclusively for Section 501(c)(3) purposes</w:t>
      </w:r>
    </w:p>
    <w:p>
      <w:pPr>
        <w:pStyle w:val="ListParagraph"/>
        <w:numPr>
          <w:ilvl w:val="0"/>
          <w:numId w:val="1"/>
        </w:numPr>
        <w:spacing w:before="0" w:after="60"/>
        <w:rPr/>
      </w:pPr>
      <w:r>
        <w:rPr/>
        <w:t>Prohibit private inurement and private benefit</w:t>
      </w:r>
    </w:p>
    <w:p>
      <w:pPr>
        <w:pStyle w:val="ListParagraph"/>
        <w:numPr>
          <w:ilvl w:val="0"/>
          <w:numId w:val="1"/>
        </w:numPr>
        <w:spacing w:before="0" w:after="60"/>
        <w:rPr/>
      </w:pPr>
      <w:r>
        <w:rPr/>
        <w:t>Limit lobbying activities to permissible levels</w:t>
      </w:r>
    </w:p>
    <w:p>
      <w:pPr>
        <w:pStyle w:val="ListParagraph"/>
        <w:numPr>
          <w:ilvl w:val="0"/>
          <w:numId w:val="1"/>
        </w:numPr>
        <w:spacing w:before="0" w:after="60"/>
        <w:rPr/>
      </w:pPr>
      <w:r>
        <w:rPr/>
        <w:t>Completely prohibit political campaign intervention</w:t>
      </w:r>
    </w:p>
    <w:p>
      <w:pPr>
        <w:pStyle w:val="ListParagraph"/>
        <w:numPr>
          <w:ilvl w:val="0"/>
          <w:numId w:val="1"/>
        </w:numPr>
        <w:spacing w:before="0" w:after="60"/>
        <w:rPr/>
      </w:pPr>
      <w:r>
        <w:rPr/>
        <w:t>Ensure assets are permanently dedicated to exempt purposes</w:t>
      </w:r>
    </w:p>
    <w:p>
      <w:pPr>
        <w:pStyle w:val="ListParagraph"/>
        <w:numPr>
          <w:ilvl w:val="0"/>
          <w:numId w:val="1"/>
        </w:numPr>
        <w:spacing w:before="0" w:after="60"/>
        <w:rPr/>
      </w:pPr>
      <w:r>
        <w:rPr/>
        <w:t>Ensure all protocols and systems remain open-source and freely available</w:t>
      </w:r>
    </w:p>
    <w:p>
      <w:pPr>
        <w:pStyle w:val="Heading2"/>
        <w:spacing w:before="260" w:after="120"/>
        <w:rPr/>
      </w:pPr>
      <w:r>
        <w:rPr/>
        <w:t>Section 7.2: Corporate Law Compliance</w:t>
      </w:r>
    </w:p>
    <w:p>
      <w:pPr>
        <w:pStyle w:val="Normal"/>
        <w:spacing w:before="0" w:after="120"/>
        <w:rPr/>
      </w:pPr>
      <w:r>
        <w:rPr/>
        <w:t>The Corporation shall comply with all requirements of KRS Chapter 273 and other applicable Kentucky law.</w:t>
      </w:r>
    </w:p>
    <w:p>
      <w:pPr>
        <w:pStyle w:val="Heading2"/>
        <w:spacing w:before="260" w:after="120"/>
        <w:rPr/>
      </w:pPr>
      <w:r>
        <w:rPr/>
        <w:t>Section 7.3: Books and Records</w:t>
      </w:r>
    </w:p>
    <w:p>
      <w:pPr>
        <w:pStyle w:val="Normal"/>
        <w:spacing w:before="0" w:after="120"/>
        <w:rPr/>
      </w:pPr>
      <w:r>
        <w:rPr/>
        <w:t>The Corporation shall maintain correct and complete books of account and minutes of proceedings. Members in good standing may inspect corporate records for proper purposes as provided by Kentucky law, subject to reasonable policies adopted by the Board. The Vice President's audit authority under §4.3 includes access to corporate records as needed for audit purposes; such access shall be deemed a proper purpose under Kentucky law without further showing.</w:t>
      </w:r>
    </w:p>
    <w:p>
      <w:pPr>
        <w:pStyle w:val="Normal"/>
        <w:spacing w:before="0" w:after="120"/>
        <w:rPr/>
      </w:pPr>
      <w:r>
        <w:rPr/>
        <w:t>The Corporation shall maintain a versioned register of its governing documents and board policies. The register is append-only: each change is recorded as a new version accompanied by a plain-language summary of what changed and why; superseded versions are retained and remain inspectable; corrections are new entries, never erasures. The Secretariat maintains the register under §4.3.</w:t>
      </w:r>
    </w:p>
    <w:p>
      <w:pPr>
        <w:pStyle w:val="Heading2"/>
        <w:spacing w:before="260" w:after="120"/>
        <w:rPr/>
      </w:pPr>
      <w:r>
        <w:rPr/>
        <w:t>Section 7.4: Annual Reporting</w:t>
      </w:r>
    </w:p>
    <w:p>
      <w:pPr>
        <w:pStyle w:val="Normal"/>
        <w:spacing w:before="0" w:after="120"/>
        <w:rPr/>
      </w:pPr>
      <w:r>
        <w:rPr/>
        <w:t>The Corporation shall file all required annual reports with Kentucky and federal authorities and comply with public disclosure requirements.</w:t>
      </w:r>
    </w:p>
    <w:p>
      <w:pPr>
        <w:pStyle w:val="Heading1"/>
        <w:spacing w:before="360" w:after="160"/>
        <w:rPr/>
      </w:pPr>
      <w:r>
        <w:rPr/>
        <w:t>ARTICLE VIII: INDEMNIFICATION</w:t>
      </w:r>
    </w:p>
    <w:p>
      <w:pPr>
        <w:pStyle w:val="Heading2"/>
        <w:spacing w:before="260" w:after="120"/>
        <w:rPr/>
      </w:pPr>
      <w:r>
        <w:rPr/>
        <w:t>Section 8.1: Indemnification</w:t>
      </w:r>
    </w:p>
    <w:p>
      <w:pPr>
        <w:pStyle w:val="Normal"/>
        <w:spacing w:before="0" w:after="120"/>
        <w:rPr/>
      </w:pPr>
      <w:r>
        <w:rPr/>
        <w:t>The Corporation shall indemnify directors and officers to the fullest extent permitted by Kentucky law for actions taken in good faith in the best interests of the Corporation, subject to procedures established by board policy.</w:t>
      </w:r>
    </w:p>
    <w:p>
      <w:pPr>
        <w:pStyle w:val="Heading1"/>
        <w:spacing w:before="360" w:after="160"/>
        <w:rPr/>
      </w:pPr>
      <w:r>
        <w:rPr/>
        <w:t>ARTICLE IX: AMENDMENT AND DISSOLUTION</w:t>
      </w:r>
    </w:p>
    <w:p>
      <w:pPr>
        <w:pStyle w:val="Heading2"/>
        <w:spacing w:before="260" w:after="120"/>
        <w:rPr/>
      </w:pPr>
      <w:r>
        <w:rPr/>
        <w:t>Section 9.1: Amendment Process</w:t>
      </w:r>
    </w:p>
    <w:p>
      <w:pPr>
        <w:pStyle w:val="Normal"/>
        <w:spacing w:before="0" w:after="120"/>
        <w:rPr/>
      </w:pPr>
      <w:r>
        <w:rPr>
          <w:b/>
          <w:bCs/>
        </w:rPr>
        <w:t>General Amendments:</w:t>
      </w:r>
      <w:r>
        <w:rPr/>
        <w:t xml:space="preserve"> These bylaws may be amended by two-thirds (2/3) vote of the voting membership present at any properly noticed meeting where a quorum exists.</w:t>
      </w:r>
    </w:p>
    <w:p>
      <w:pPr>
        <w:pStyle w:val="Normal"/>
        <w:spacing w:before="0" w:after="120"/>
        <w:rPr/>
      </w:pPr>
      <w:r>
        <w:rPr>
          <w:b/>
          <w:bCs/>
        </w:rPr>
        <w:t>Fundamental Commitments:</w:t>
      </w:r>
      <w:r>
        <w:rPr/>
        <w:t xml:space="preserve"> Modifications to fundamental commitments (Article I, Section 1.4) require supermajority approval (two-thirds of all voting members) plus unanimous board approval.</w:t>
      </w:r>
    </w:p>
    <w:p>
      <w:pPr>
        <w:pStyle w:val="Normal"/>
        <w:spacing w:before="0" w:after="120"/>
        <w:rPr/>
      </w:pPr>
      <w:r>
        <w:rPr>
          <w:b/>
          <w:bCs/>
        </w:rPr>
        <w:t>Notice:</w:t>
      </w:r>
      <w:r>
        <w:rPr/>
        <w:t xml:space="preserve"> Proposed amendments must be included in meeting notice or distributed to members at least ten (10) days before the meeting.</w:t>
      </w:r>
    </w:p>
    <w:p>
      <w:pPr>
        <w:pStyle w:val="Heading2"/>
        <w:spacing w:before="260" w:after="120"/>
        <w:rPr/>
      </w:pPr>
      <w:r>
        <w:rPr/>
        <w:t>Section 9.2: Dissolution</w:t>
      </w:r>
    </w:p>
    <w:p>
      <w:pPr>
        <w:pStyle w:val="Normal"/>
        <w:spacing w:before="0" w:after="120"/>
        <w:rPr/>
      </w:pPr>
      <w:r>
        <w:rPr/>
        <w:t>The Corporation may be dissolved by two-thirds (2/3) vote of the voting membership at a properly noticed meeting. Upon dissolution, assets shall be distributed exclusively to one or more organizations exempt under Section 501(c)(3) or to governmental entities for public purposes, as determined by the Board in accordance with applicable law.</w:t>
      </w:r>
    </w:p>
    <w:p>
      <w:pPr>
        <w:pStyle w:val="Heading1"/>
        <w:spacing w:before="360" w:after="160"/>
        <w:rPr/>
      </w:pPr>
      <w:r>
        <w:rPr/>
        <w:t>ARTICLE X: MISCELLANEOUS PROVISIONS</w:t>
      </w:r>
    </w:p>
    <w:p>
      <w:pPr>
        <w:pStyle w:val="Heading2"/>
        <w:spacing w:before="260" w:after="120"/>
        <w:rPr/>
      </w:pPr>
      <w:r>
        <w:rPr/>
        <w:t>Section 10.1: Registered Office and Agent</w:t>
      </w:r>
    </w:p>
    <w:p>
      <w:pPr>
        <w:pStyle w:val="Normal"/>
        <w:spacing w:before="0" w:after="120"/>
        <w:rPr/>
      </w:pPr>
      <w:r>
        <w:rPr/>
        <w:t>The Corporation shall continuously maintain a registered office and registered agent in Kentucky as required by law.</w:t>
      </w:r>
    </w:p>
    <w:p>
      <w:pPr>
        <w:pStyle w:val="Heading2"/>
        <w:spacing w:before="260" w:after="120"/>
        <w:rPr/>
      </w:pPr>
      <w:r>
        <w:rPr/>
        <w:t>Section 10.2: Corporate Seal</w:t>
      </w:r>
    </w:p>
    <w:p>
      <w:pPr>
        <w:pStyle w:val="Normal"/>
        <w:spacing w:before="0" w:after="120"/>
        <w:rPr/>
      </w:pPr>
      <w:r>
        <w:rPr/>
        <w:t>The Corporation may adopt a corporate seal, the use or absence of which shall not affect the validity of corporate documents.</w:t>
      </w:r>
    </w:p>
    <w:p>
      <w:pPr>
        <w:pStyle w:val="Heading2"/>
        <w:spacing w:before="260" w:after="120"/>
        <w:rPr/>
      </w:pPr>
      <w:r>
        <w:rPr/>
        <w:t>Section 10.3: Execution of Documents</w:t>
      </w:r>
    </w:p>
    <w:p>
      <w:pPr>
        <w:pStyle w:val="Normal"/>
        <w:spacing w:before="0" w:after="120"/>
        <w:rPr/>
      </w:pPr>
      <w:r>
        <w:rPr/>
        <w:t>Documents may be executed by such officers as authorized by the Board, in accordance with board policies and applicable law.</w:t>
      </w:r>
    </w:p>
    <w:p>
      <w:pPr>
        <w:pStyle w:val="Heading2"/>
        <w:spacing w:before="260" w:after="120"/>
        <w:rPr/>
      </w:pPr>
      <w:r>
        <w:rPr/>
        <w:t>Section 10.4: Electronic Communications</w:t>
      </w:r>
    </w:p>
    <w:p>
      <w:pPr>
        <w:pStyle w:val="Normal"/>
        <w:spacing w:before="0" w:after="120"/>
        <w:rPr/>
      </w:pPr>
      <w:r>
        <w:rPr/>
        <w:t>Notice and other communications may be given electronically in accordance with applicable law and board policies.</w:t>
      </w:r>
    </w:p>
    <w:p>
      <w:pPr>
        <w:pStyle w:val="Heading1"/>
        <w:spacing w:before="360" w:after="160"/>
        <w:rPr/>
      </w:pPr>
      <w:r>
        <w:rPr/>
        <w:t>ARTICLE XI: CONTRIBUTOR COVENANT</w:t>
      </w:r>
    </w:p>
    <w:p>
      <w:pPr>
        <w:pStyle w:val="Heading2"/>
        <w:spacing w:before="260" w:after="120"/>
        <w:rPr/>
      </w:pPr>
      <w:r>
        <w:rPr/>
        <w:t>Section 11.1: Scope of Contribution</w:t>
      </w:r>
    </w:p>
    <w:p>
      <w:pPr>
        <w:pStyle w:val="Normal"/>
        <w:spacing w:before="0" w:after="120"/>
        <w:rPr/>
      </w:pPr>
      <w:r>
        <w:rPr/>
        <w:t>A contribution, once submitted, becomes the property of the digital commons and may not be reclaimed by the contributor. Contributions include copyrighted works published under the GNU Affero General Public License version 3 (AGPL-3), and unpublished works in code, text, or other media, including ideas presented in conversation when offered in the contributor's capacity. Conversation is not, by virtue of its occurrence, deemed a contribution; only ideas and works offered in the contributor's capacity fall within the scope of this Article.</w:t>
      </w:r>
    </w:p>
    <w:p>
      <w:pPr>
        <w:pStyle w:val="Heading2"/>
        <w:spacing w:before="260" w:after="120"/>
        <w:rPr/>
      </w:pPr>
      <w:r>
        <w:rPr/>
        <w:t>Section 11.2: Exclusion of Personally Identifying Information</w:t>
      </w:r>
    </w:p>
    <w:p>
      <w:pPr>
        <w:pStyle w:val="Normal"/>
        <w:spacing w:before="0" w:after="120"/>
        <w:rPr/>
      </w:pPr>
      <w:r>
        <w:rPr/>
        <w:t>Personally identifying information (PII) is not a contribution and shall not be submitted as one. This includes, but is not limited to, names, contact information, financial information, government identifiers, biometric data, and any other information that identifies or could reasonably be used to identify a natural person — whether the contributor, another member, or any third party.</w:t>
      </w:r>
    </w:p>
    <w:p>
      <w:pPr>
        <w:pStyle w:val="Normal"/>
        <w:spacing w:before="0" w:after="120"/>
        <w:rPr/>
      </w:pPr>
      <w:r>
        <w:rPr/>
        <w:t>Contributors are responsible for excluding PII from material they submit. The Institute may decline to accept, or may redact, any submitted material containing PII. The fundamental commitment to privacy-first principles and user data sovereignty under Article I, Section 1.4(2) governs the Institute's handling of any PII that may inadvertently be received.</w:t>
      </w:r>
    </w:p>
    <w:p>
      <w:pPr>
        <w:pStyle w:val="Heading2"/>
        <w:spacing w:before="260" w:after="120"/>
        <w:rPr/>
      </w:pPr>
      <w:r>
        <w:rPr/>
        <w:t>Section 11.3: The Public to Whom Contribution Is Owed</w:t>
      </w:r>
    </w:p>
    <w:p>
      <w:pPr>
        <w:pStyle w:val="Normal"/>
        <w:spacing w:before="0" w:after="120"/>
        <w:rPr/>
      </w:pPr>
      <w:r>
        <w:rPr/>
        <w:t>Contributors understand that their work is undertaken on behalf of the special — that is, species-wide — public. Contributors shall act with respect for, but not necessarily adherence to, political and cultural restrictions encountered in the course of that work.</w:t>
      </w:r>
    </w:p>
    <w:p>
      <w:pPr>
        <w:pStyle w:val="Heading2"/>
        <w:spacing w:before="260" w:after="120"/>
        <w:rPr/>
      </w:pPr>
      <w:r>
        <w:rPr/>
        <w:t>Section 11.4: Philosophical Foundations</w:t>
      </w:r>
    </w:p>
    <w:p>
      <w:pPr>
        <w:pStyle w:val="Normal"/>
        <w:spacing w:before="0" w:after="120"/>
        <w:rPr/>
      </w:pPr>
      <w:r>
        <w:rPr/>
        <w:t>Contributors shall strive to honor the philosophical foundations of the Institute: Maximum Observational Diversity (MOD), Minimum Sustainable Projection (MSP), and the Scientific Method as Necessary Ritual. Brief definitions follow; the full statements are set forth at Appendix B.</w:t>
      </w:r>
    </w:p>
    <w:p>
      <w:pPr>
        <w:pStyle w:val="Heading3"/>
        <w:spacing w:before="200" w:after="100"/>
        <w:rPr/>
      </w:pPr>
      <w:r>
        <w:rPr/>
        <w:t>Maximum Observational Diversity (MOD)</w:t>
      </w:r>
    </w:p>
    <w:p>
      <w:pPr>
        <w:pStyle w:val="Normal"/>
        <w:spacing w:before="0" w:after="120"/>
        <w:rPr/>
      </w:pPr>
      <w:r>
        <w:rPr/>
        <w:t>A methodological principle for distinguishing emergent patterns from projected ones. When observations are gathered from maximally diverse and independent sources — temporally, culturally, disciplinarily, and across scales — maintaining a false pattern becomes computationally expensive, leaving convergent patterns that emerge from the elements themselves.</w:t>
      </w:r>
    </w:p>
    <w:p>
      <w:pPr>
        <w:pStyle w:val="Heading3"/>
        <w:spacing w:before="200" w:after="100"/>
        <w:rPr/>
      </w:pPr>
      <w:r>
        <w:rPr/>
        <w:t>Minimum Sustainable Projection (MSP)</w:t>
      </w:r>
    </w:p>
    <w:p>
      <w:pPr>
        <w:pStyle w:val="Normal"/>
        <w:spacing w:before="0" w:after="120"/>
        <w:rPr/>
      </w:pPr>
      <w:r>
        <w:rPr/>
        <w:t>An architectural principle for building systems where truth-aligned behavior becomes the path of least resistance. Systems are constructed using only the minimal assumptions necessary, with those projections designed to align with emergent patterns. The thermodynamic gradient thus favors honest participation over deception.</w:t>
      </w:r>
    </w:p>
    <w:p>
      <w:pPr>
        <w:pStyle w:val="Heading3"/>
        <w:spacing w:before="200" w:after="100"/>
        <w:rPr/>
      </w:pPr>
      <w:r>
        <w:rPr/>
        <w:t>The Scientific Method as Necessary Ritual</w:t>
      </w:r>
    </w:p>
    <w:p>
      <w:pPr>
        <w:pStyle w:val="Normal"/>
        <w:spacing w:before="0" w:after="120"/>
        <w:rPr/>
      </w:pPr>
      <w:r>
        <w:rPr/>
        <w:t>The formalized, communal practice that sits between MOD and MSP, metabolizing observations into validated knowledge through sacred doubt, distributed validation, and falsifiability. The scientific method is understood here as ritual rather than mere procedure — the species-level practice that maintains epistemic hygiene across time and distance.</w:t>
      </w:r>
    </w:p>
    <w:p>
      <w:pPr>
        <w:pStyle w:val="Heading2"/>
        <w:spacing w:before="260" w:after="120"/>
        <w:rPr/>
      </w:pPr>
      <w:r>
        <w:rPr/>
        <w:t>Section 11.5: Scope and Effect</w:t>
      </w:r>
    </w:p>
    <w:p>
      <w:pPr>
        <w:pStyle w:val="Normal"/>
        <w:spacing w:before="0" w:after="120"/>
        <w:rPr/>
      </w:pPr>
      <w:r>
        <w:rPr/>
        <w:t>This Article applies to all contributions accepted by the Institute on or after the effective date of this Article. Acceptance of Corporation membership, volunteer engagement, or any tooling access provisioned through Corporation shared workspaces shall constitute acknowledgment of this Article.</w:t>
      </w:r>
    </w:p>
    <w:p>
      <w:pPr>
        <w:pStyle w:val="Heading1"/>
        <w:spacing w:before="360" w:after="160"/>
        <w:rPr/>
      </w:pPr>
      <w:r>
        <w:rPr/>
        <w:t>ARTICLE XII: ARCHITECTURAL CONFORMANCE AND COMMITTED TRANSITIONS</w:t>
      </w:r>
    </w:p>
    <w:p>
      <w:pPr>
        <w:pStyle w:val="Heading2"/>
        <w:spacing w:before="260" w:after="120"/>
        <w:rPr/>
      </w:pPr>
      <w:r>
        <w:rPr/>
        <w:t>Section 12.1: The Architecture Document</w:t>
      </w:r>
    </w:p>
    <w:p>
      <w:pPr>
        <w:pStyle w:val="Normal"/>
        <w:spacing w:before="0" w:after="120"/>
        <w:rPr/>
      </w:pPr>
      <w:r>
        <w:rPr/>
        <w:t>The Corporation's software is held to Janus-Facing Architecture, the Corporation's unified architecture document, which is maintained in the open, names roles and mechanisms rather than products, and is amendable in the open. The Corporation's own governance is one instance of that architecture's governance layer, and these bylaws are the instrument in which the instance's political choices bind. The architecture document is a standard and a legibility instrument; it confers no authority. Disposition on every matter remains with the membership and the Board as provided in these bylaws, and nothing in the architecture document overrides any provision of these bylaws or any vote of the membership.</w:t>
      </w:r>
    </w:p>
    <w:p>
      <w:pPr>
        <w:pStyle w:val="Heading2"/>
        <w:spacing w:before="260" w:after="120"/>
        <w:rPr/>
      </w:pPr>
      <w:r>
        <w:rPr/>
        <w:t>Section 12.2: Named Interims</w:t>
      </w:r>
    </w:p>
    <w:p>
      <w:pPr>
        <w:pStyle w:val="Normal"/>
        <w:spacing w:before="0" w:after="120"/>
        <w:rPr/>
      </w:pPr>
      <w:r>
        <w:rPr/>
        <w:t>Two features of the Corporation's present governance are conformant to the architecture only as named interims on a committed path. They are named here so that neither is mistaken for a settled end-state.</w:t>
      </w:r>
    </w:p>
    <w:p>
      <w:pPr>
        <w:pStyle w:val="Normal"/>
        <w:spacing w:before="0" w:after="120"/>
        <w:rPr/>
      </w:pPr>
      <w:r>
        <w:rPr>
          <w:b/>
          <w:bCs/>
        </w:rPr>
        <w:t>(a) The subscription-qualified franchise.</w:t>
      </w:r>
      <w:r>
        <w:rPr/>
        <w:t xml:space="preserve"> Membership is free to all under §2.1, and the Corporation has adopted operator membership under §2.7 as the committed basis for governance; but during the bootstrap of §2.7 the franchise may also be qualified by a paid subscription. A purchase-qualified franchise is not conformant as an end-state; it is retained solely as the interim safeguard against duplicate-account voting — each account carries a real recurring cost, supplemented by the for-cause application review of §2.2 — until operator recognition is corroborated against the witnessed record and the subscription qualifier is sunset under §12.3(b).</w:t>
      </w:r>
    </w:p>
    <w:p>
      <w:pPr>
        <w:pStyle w:val="Normal"/>
        <w:spacing w:before="0" w:after="120"/>
        <w:rPr/>
      </w:pPr>
      <w:r>
        <w:rPr>
          <w:b/>
          <w:bCs/>
        </w:rPr>
        <w:t>(b) The proprietary Workspace.</w:t>
      </w:r>
      <w:r>
        <w:rPr/>
        <w:t xml:space="preserve"> The Corporation's governance venue under §3.1 is a proprietary, revocable, hosted service — a hosting chokepoint at the governance core. It is retained solely until sovereign coordination substrate satisfying the architecture's substrate invariants is operational under §12.3(a).</w:t>
      </w:r>
    </w:p>
    <w:p>
      <w:pPr>
        <w:pStyle w:val="Normal"/>
        <w:spacing w:before="0" w:after="120"/>
        <w:rPr/>
      </w:pPr>
      <w:r>
        <w:rPr/>
        <w:t>Each interim is conformant only while its exit remains committed and progressing. The quarterly public reports under §3.7 shall state the status of each interim and its transition plainly; a stalled transition shall be reported as a standing non-conformance, not reframed or omitted.</w:t>
      </w:r>
    </w:p>
    <w:p>
      <w:pPr>
        <w:pStyle w:val="Heading2"/>
        <w:spacing w:before="260" w:after="120"/>
        <w:rPr/>
      </w:pPr>
      <w:r>
        <w:rPr/>
        <w:t>Section 12.3: Committed Transitions</w:t>
      </w:r>
    </w:p>
    <w:p>
      <w:pPr>
        <w:pStyle w:val="Normal"/>
        <w:spacing w:before="0" w:after="120"/>
        <w:rPr/>
      </w:pPr>
      <w:r>
        <w:rPr>
          <w:b/>
          <w:bCs/>
        </w:rPr>
        <w:t>(a) Venue exit.</w:t>
      </w:r>
      <w:r>
        <w:rPr/>
        <w:t xml:space="preserve"> When sovereign coordination substrate satisfying the architecture's substrate invariants is operational, the Board shall designate it as the Workspace by board action with notice to the membership. The designation, and the migration of governance records to the new venue, are board-policy actions and do not require amendment of these bylaws. Migration shall preserve the corporate record intact and append-only.</w:t>
      </w:r>
    </w:p>
    <w:p>
      <w:pPr>
        <w:pStyle w:val="Normal"/>
        <w:spacing w:before="0" w:after="120"/>
        <w:rPr/>
      </w:pPr>
      <w:r>
        <w:rPr>
          <w:b/>
          <w:bCs/>
        </w:rPr>
        <w:t>(b) Franchise maturation and sunset.</w:t>
      </w:r>
      <w:r>
        <w:rPr/>
        <w:t xml:space="preserve"> Operator membership is adopted now at §2.7; what remains committed is its maturation. When the witnessed record layer of the architecture is operating with at least two independent witnesses, such that operator conduct and corroboration can be read from a witnessed lifecycle rather than from self-attestation, operator recognition shall shift from Board recognition to cross-operator corroboration per §2.7, and the Board shall bring to the membership a proposed amendment sunsetting the subscription qualifier of §12.2(a), leaving operator membership as the sole qualification for the franchise. Any such amendment shall preserve one person, one vote; operator status shall act as a qualifier on that single vote and never as a multiplier. The amendment is adopted, or declined, by the membership under Article IX, on the membership's own timing.</w:t>
      </w:r>
    </w:p>
    <w:p>
      <w:pPr>
        <w:pStyle w:val="Normal"/>
        <w:spacing w:before="0" w:after="120"/>
        <w:rPr/>
      </w:pPr>
      <w:r>
        <w:rPr>
          <w:b/>
          <w:bCs/>
        </w:rPr>
        <w:t>(c) Genesis stewardship.</w:t>
      </w:r>
      <w:r>
        <w:rPr/>
        <w:t xml:space="preserve"> As the architecture's layers come online, the standing representatives then in office shall constitute the Corporation's genesis operator set — the bootstrap trust root that precedes cross-operator corroboration — and shall be the Corporation's first operator members under §2.7, so that the governing body becomes the operator federation rather than being replaced by it.</w:t>
      </w:r>
    </w:p>
    <w:p>
      <w:pPr>
        <w:pStyle w:val="Heading2"/>
        <w:spacing w:before="260" w:after="120"/>
        <w:rPr/>
      </w:pPr>
      <w:r>
        <w:rPr/>
        <w:t>Section 12.4: Non-Derogation</w:t>
      </w:r>
    </w:p>
    <w:p>
      <w:pPr>
        <w:pStyle w:val="Normal"/>
        <w:spacing w:before="0" w:after="120"/>
        <w:rPr/>
      </w:pPr>
      <w:r>
        <w:rPr/>
        <w:t>Nothing in this Article modifies the Fundamental Commitments of §1.4, expands entrenchment beyond §1.4, or subordinates any vote of the membership to the architecture document. Conflicts between the architecture document and these bylaws shall be surfaced to the membership and resolved in the open, by amendment of one instrument or the other.</w:t>
      </w:r>
    </w:p>
    <w:p>
      <w:pPr>
        <w:pStyle w:val="Heading1"/>
        <w:spacing w:before="360" w:after="160"/>
        <w:rPr/>
      </w:pPr>
      <w:r>
        <w:rPr/>
        <w:t>APPENDIX A: WORKING GROUP CHARTER TEMPLATE</w:t>
      </w:r>
    </w:p>
    <w:p>
      <w:pPr>
        <w:pStyle w:val="Heading2"/>
        <w:spacing w:before="260" w:after="120"/>
        <w:rPr/>
      </w:pPr>
      <w:r>
        <w:rPr/>
        <w:t>Purpose of Working Group Charters</w:t>
      </w:r>
    </w:p>
    <w:p>
      <w:pPr>
        <w:pStyle w:val="Normal"/>
        <w:spacing w:before="0" w:after="120"/>
        <w:rPr/>
      </w:pPr>
      <w:r>
        <w:rPr/>
        <w:t>Working groups are the primary mechanism through which NTARI advances its research and development mission. Each working group focuses on a specific technical domain, protocol development effort, or research initiative. This charter template ensures consistent governance, clear objectives, and alignment with NTARI's fundamental commitments.</w:t>
      </w:r>
    </w:p>
    <w:p>
      <w:pPr>
        <w:pStyle w:val="Heading2"/>
        <w:spacing w:before="260" w:after="120"/>
        <w:rPr/>
      </w:pPr>
      <w:r>
        <w:rPr/>
        <w:t>Working Group Charter Template</w:t>
      </w:r>
    </w:p>
    <w:p>
      <w:pPr>
        <w:pStyle w:val="Normal"/>
        <w:spacing w:before="0" w:after="120"/>
        <w:rPr/>
      </w:pPr>
      <w:r>
        <w:rPr/>
        <w:t>[Working Group Name]</w:t>
      </w:r>
    </w:p>
    <w:p>
      <w:pPr>
        <w:pStyle w:val="Normal"/>
        <w:spacing w:before="0" w:after="120"/>
        <w:rPr/>
      </w:pPr>
      <w:r>
        <w:rPr/>
        <w:t>Charter Version: [Version Number] | Effective Date: [Date] | Review Date: [Annual review date] | Board Approval Date: [Date]</w:t>
      </w:r>
    </w:p>
    <w:p>
      <w:pPr>
        <w:pStyle w:val="Heading3"/>
        <w:spacing w:before="200" w:after="100"/>
        <w:rPr/>
      </w:pPr>
      <w:r>
        <w:rPr/>
        <w:t>1. Working Group Identification</w:t>
      </w:r>
    </w:p>
    <w:p>
      <w:pPr>
        <w:pStyle w:val="Normal"/>
        <w:spacing w:before="0" w:after="120"/>
        <w:rPr/>
      </w:pPr>
      <w:r>
        <w:rPr/>
        <w:t>Official Name: [Full name of working group]</w:t>
      </w:r>
    </w:p>
    <w:p>
      <w:pPr>
        <w:pStyle w:val="Normal"/>
        <w:spacing w:before="0" w:after="120"/>
        <w:rPr/>
      </w:pPr>
      <w:r>
        <w:rPr/>
        <w:t>Short Name/Acronym: [If applicable]</w:t>
      </w:r>
    </w:p>
    <w:p>
      <w:pPr>
        <w:pStyle w:val="Normal"/>
        <w:spacing w:before="0" w:after="120"/>
        <w:rPr/>
      </w:pPr>
      <w:r>
        <w:rPr/>
        <w:t>Parent Program: [NTARI program this working group supports, if applicable]</w:t>
      </w:r>
    </w:p>
    <w:p>
      <w:pPr>
        <w:pStyle w:val="Normal"/>
        <w:spacing w:before="0" w:after="120"/>
        <w:rPr/>
      </w:pPr>
      <w:r>
        <w:rPr/>
        <w:t>Charter Authority: This working group is established under NTARI Bylaws Article VI, Section 6.1.</w:t>
      </w:r>
    </w:p>
    <w:p>
      <w:pPr>
        <w:pStyle w:val="Heading3"/>
        <w:spacing w:before="200" w:after="100"/>
        <w:rPr/>
      </w:pPr>
      <w:r>
        <w:rPr/>
        <w:t>2. Mission and Scope</w:t>
      </w:r>
    </w:p>
    <w:p>
      <w:pPr>
        <w:pStyle w:val="Normal"/>
        <w:spacing w:before="0" w:after="120"/>
        <w:rPr/>
      </w:pPr>
      <w:r>
        <w:rPr/>
        <w:t>Mission Statement: [1-2 sentence statement of the working group's purpose aligned with NTARI's mission]</w:t>
      </w:r>
    </w:p>
    <w:p>
      <w:pPr>
        <w:pStyle w:val="Normal"/>
        <w:spacing w:before="0" w:after="120"/>
        <w:rPr/>
      </w:pPr>
      <w:r>
        <w:rPr/>
        <w:t>Scope of Work: [Detailed description of the technical domain, research area, or protocol development effort]</w:t>
      </w:r>
    </w:p>
    <w:p>
      <w:pPr>
        <w:pStyle w:val="Normal"/>
        <w:spacing w:before="0" w:after="120"/>
        <w:rPr/>
      </w:pPr>
      <w:r>
        <w:rPr/>
        <w:t>In Scope: [Specific topics, technologies, or problems the working group addresses; technical standards or protocols under development; research questions being investigated]</w:t>
      </w:r>
    </w:p>
    <w:p>
      <w:pPr>
        <w:pStyle w:val="Normal"/>
        <w:spacing w:before="0" w:after="120"/>
        <w:rPr/>
      </w:pPr>
      <w:r>
        <w:rPr/>
        <w:t>Out of Scope: [Topics explicitly not covered to maintain focus; boundaries with other working groups]</w:t>
      </w:r>
    </w:p>
    <w:p>
      <w:pPr>
        <w:pStyle w:val="Normal"/>
        <w:spacing w:before="0" w:after="120"/>
        <w:rPr/>
      </w:pPr>
      <w:r>
        <w:rPr/>
        <w:t>Alignment with NTARI Mission: [Explain how this working group advances NTARI's purposes: research, education, scientific advancement, or digital equity]</w:t>
      </w:r>
    </w:p>
    <w:p>
      <w:pPr>
        <w:pStyle w:val="Heading3"/>
        <w:spacing w:before="200" w:after="100"/>
        <w:rPr/>
      </w:pPr>
      <w:r>
        <w:rPr/>
        <w:t>3. Objectives and Deliverables</w:t>
      </w:r>
    </w:p>
    <w:p>
      <w:pPr>
        <w:pStyle w:val="Normal"/>
        <w:spacing w:before="0" w:after="120"/>
        <w:rPr/>
      </w:pPr>
      <w:r>
        <w:rPr/>
        <w:t>Primary Objectives: [Specific, measurable objectives]</w:t>
      </w:r>
    </w:p>
    <w:p>
      <w:pPr>
        <w:pStyle w:val="Normal"/>
        <w:spacing w:before="0" w:after="120"/>
        <w:rPr/>
      </w:pPr>
      <w:r>
        <w:rPr/>
        <w:t>Expected Deliverables: Technical Specifications; Research Publications; Open-Source Code; Educational Materials; Community Resources</w:t>
      </w:r>
    </w:p>
    <w:p>
      <w:pPr>
        <w:pStyle w:val="Normal"/>
        <w:spacing w:before="0" w:after="120"/>
        <w:rPr/>
      </w:pPr>
      <w:r>
        <w:rPr/>
        <w:t>Success Metrics: [How success will be measured]</w:t>
      </w:r>
    </w:p>
    <w:p>
      <w:pPr>
        <w:pStyle w:val="Heading3"/>
        <w:spacing w:before="200" w:after="100"/>
        <w:rPr/>
      </w:pPr>
      <w:r>
        <w:rPr/>
        <w:t>4. Membership and Participation</w:t>
      </w:r>
    </w:p>
    <w:p>
      <w:pPr>
        <w:pStyle w:val="Normal"/>
        <w:spacing w:before="0" w:after="120"/>
        <w:rPr/>
      </w:pPr>
      <w:r>
        <w:rPr/>
        <w:t>Eligibility:</w:t>
      </w:r>
    </w:p>
    <w:p>
      <w:pPr>
        <w:pStyle w:val="ListParagraph"/>
        <w:numPr>
          <w:ilvl w:val="0"/>
          <w:numId w:val="1"/>
        </w:numPr>
        <w:spacing w:before="0" w:after="60"/>
        <w:rPr/>
      </w:pPr>
      <w:r>
        <w:rPr/>
        <w:t>Open to all members of the Corporation in good standing</w:t>
      </w:r>
    </w:p>
    <w:p>
      <w:pPr>
        <w:pStyle w:val="ListParagraph"/>
        <w:numPr>
          <w:ilvl w:val="0"/>
          <w:numId w:val="1"/>
        </w:numPr>
        <w:spacing w:before="0" w:after="60"/>
        <w:rPr/>
      </w:pPr>
      <w:r>
        <w:rPr/>
        <w:t>External experts and non-members may be invited by working group leadership as observers or contributors, subject to chair approval and acknowledgment of the Contributor Covenant under Article XI</w:t>
      </w:r>
    </w:p>
    <w:p>
      <w:pPr>
        <w:pStyle w:val="Normal"/>
        <w:spacing w:before="0" w:after="120"/>
        <w:rPr/>
      </w:pPr>
      <w:r>
        <w:rPr/>
        <w:t>Participation Requirements:</w:t>
      </w:r>
    </w:p>
    <w:p>
      <w:pPr>
        <w:pStyle w:val="ListParagraph"/>
        <w:numPr>
          <w:ilvl w:val="0"/>
          <w:numId w:val="1"/>
        </w:numPr>
        <w:spacing w:before="0" w:after="60"/>
        <w:rPr/>
      </w:pPr>
      <w:r>
        <w:rPr/>
        <w:t>Attend at least 50% of scheduled working group meetings</w:t>
      </w:r>
    </w:p>
    <w:p>
      <w:pPr>
        <w:pStyle w:val="ListParagraph"/>
        <w:numPr>
          <w:ilvl w:val="0"/>
          <w:numId w:val="1"/>
        </w:numPr>
        <w:spacing w:before="0" w:after="60"/>
        <w:rPr/>
      </w:pPr>
      <w:r>
        <w:rPr/>
        <w:t>Contribute to deliverable development through code, documentation, or research</w:t>
      </w:r>
    </w:p>
    <w:p>
      <w:pPr>
        <w:pStyle w:val="ListParagraph"/>
        <w:numPr>
          <w:ilvl w:val="0"/>
          <w:numId w:val="1"/>
        </w:numPr>
        <w:spacing w:before="0" w:after="60"/>
        <w:rPr/>
      </w:pPr>
      <w:r>
        <w:rPr/>
        <w:t>Adhere to NTARI's fundamental commitments (open-source, privacy-first, no surveillance capitalism)</w:t>
      </w:r>
    </w:p>
    <w:p>
      <w:pPr>
        <w:pStyle w:val="ListParagraph"/>
        <w:numPr>
          <w:ilvl w:val="0"/>
          <w:numId w:val="1"/>
        </w:numPr>
        <w:spacing w:before="0" w:after="60"/>
        <w:rPr/>
      </w:pPr>
      <w:r>
        <w:rPr/>
        <w:t>Follow working group procedures and codes of conduct</w:t>
      </w:r>
    </w:p>
    <w:p>
      <w:pPr>
        <w:pStyle w:val="Normal"/>
        <w:spacing w:before="0" w:after="120"/>
        <w:rPr/>
      </w:pPr>
      <w:r>
        <w:rPr/>
        <w:t>Membership Application Process: [Describe how individuals join this working group]</w:t>
      </w:r>
    </w:p>
    <w:p>
      <w:pPr>
        <w:pStyle w:val="Heading3"/>
        <w:spacing w:before="200" w:after="100"/>
        <w:rPr/>
      </w:pPr>
      <w:r>
        <w:rPr/>
        <w:t>5. Leadership and Governance</w:t>
      </w:r>
    </w:p>
    <w:p>
      <w:pPr>
        <w:pStyle w:val="Normal"/>
        <w:spacing w:before="0" w:after="120"/>
        <w:rPr/>
      </w:pPr>
      <w:r>
        <w:rPr/>
        <w:t>Working Group Chair(s): Selection Process [Election by working group members, appointment by board, etc.]; Term Length [Typical: 1-2 years]; Responsibilities (facilitate meetings, ensure quality, report to Board quarterly, manage communications, resolve disputes)</w:t>
      </w:r>
    </w:p>
    <w:p>
      <w:pPr>
        <w:pStyle w:val="Normal"/>
        <w:spacing w:before="0" w:after="120"/>
        <w:rPr/>
      </w:pPr>
      <w:r>
        <w:rPr/>
        <w:t>Technical Editors (if applicable): Maintain technical documentation and specifications; coordinate review processes; ensure consistency with NTARI documentation standards</w:t>
      </w:r>
    </w:p>
    <w:p>
      <w:pPr>
        <w:pStyle w:val="Normal"/>
        <w:spacing w:before="0" w:after="120"/>
        <w:rPr/>
      </w:pPr>
      <w:r>
        <w:rPr/>
        <w:t>Subgroups: [If the working group has subcommittees or task forces, describe them here]</w:t>
      </w:r>
    </w:p>
    <w:p>
      <w:pPr>
        <w:pStyle w:val="Heading3"/>
        <w:spacing w:before="200" w:after="100"/>
        <w:rPr/>
      </w:pPr>
      <w:r>
        <w:rPr/>
        <w:t>6. Meetings and Communication</w:t>
      </w:r>
    </w:p>
    <w:p>
      <w:pPr>
        <w:pStyle w:val="Normal"/>
        <w:spacing w:before="0" w:after="120"/>
        <w:rPr/>
      </w:pPr>
      <w:r>
        <w:rPr/>
        <w:t>Meeting Frequency: [Weekly, bi-weekly, monthly — specify]</w:t>
      </w:r>
    </w:p>
    <w:p>
      <w:pPr>
        <w:pStyle w:val="Normal"/>
        <w:spacing w:before="0" w:after="120"/>
        <w:rPr/>
      </w:pPr>
      <w:r>
        <w:rPr/>
        <w:t>Meeting Format: [Virtual, in-person, hybrid]</w:t>
      </w:r>
    </w:p>
    <w:p>
      <w:pPr>
        <w:pStyle w:val="Normal"/>
        <w:spacing w:before="0" w:after="120"/>
        <w:rPr/>
      </w:pPr>
      <w:r>
        <w:rPr/>
        <w:t>Communication Channels: Mailing list; Workspace channel; GitHub repository; Meeting minutes location</w:t>
      </w:r>
    </w:p>
    <w:p>
      <w:pPr>
        <w:pStyle w:val="Normal"/>
        <w:spacing w:before="0" w:after="120"/>
        <w:rPr/>
      </w:pPr>
      <w:r>
        <w:rPr/>
        <w:t>Decision-Making Process: Rough consensus model (IETF-style) for technical decisions; formal votes when consensus cannot be reached; Chair has tiebreaking authority; appeals process to NTARI Board for significant disputes</w:t>
      </w:r>
    </w:p>
    <w:p>
      <w:pPr>
        <w:pStyle w:val="Normal"/>
        <w:spacing w:before="0" w:after="120"/>
        <w:rPr/>
      </w:pPr>
      <w:r>
        <w:rPr/>
        <w:t>Transparency Requirements: Meeting minutes published within 7 days; all technical decisions documented with rationale; draft specifications available for public comment; final deliverables published on NTARI.org</w:t>
      </w:r>
    </w:p>
    <w:p>
      <w:pPr>
        <w:pStyle w:val="Heading3"/>
        <w:spacing w:before="200" w:after="100"/>
        <w:rPr/>
      </w:pPr>
      <w:r>
        <w:rPr/>
        <w:t>7. Intellectual Property and Open Source</w:t>
      </w:r>
    </w:p>
    <w:p>
      <w:pPr>
        <w:pStyle w:val="Normal"/>
        <w:spacing w:before="0" w:after="120"/>
        <w:rPr/>
      </w:pPr>
      <w:r>
        <w:rPr/>
        <w:t>IP Policy: All working group deliverables shall be released under reciprocal copyleft licenses consistent with NTARI's fundamental commitments.</w:t>
      </w:r>
    </w:p>
    <w:p>
      <w:pPr>
        <w:pStyle w:val="Normal"/>
        <w:spacing w:before="0" w:after="120"/>
        <w:rPr/>
      </w:pPr>
      <w:r>
        <w:rPr/>
        <w:t>Software/Code: GNU Affero General Public License</w:t>
      </w:r>
    </w:p>
    <w:p>
      <w:pPr>
        <w:pStyle w:val="Normal"/>
        <w:spacing w:before="0" w:after="120"/>
        <w:rPr/>
      </w:pPr>
      <w:r>
        <w:rPr/>
        <w:t>Documentation: Creative Commons BY 4.0</w:t>
      </w:r>
    </w:p>
    <w:p>
      <w:pPr>
        <w:pStyle w:val="Normal"/>
        <w:spacing w:before="0" w:after="120"/>
        <w:rPr/>
      </w:pPr>
      <w:r>
        <w:rPr/>
        <w:t>Hardware: CERN Open Hardware License, Strong version 2</w:t>
      </w:r>
    </w:p>
    <w:p>
      <w:pPr>
        <w:pStyle w:val="Normal"/>
        <w:spacing w:before="0" w:after="120"/>
        <w:rPr/>
      </w:pPr>
      <w:r>
        <w:rPr/>
        <w:t>Contributor Agreements: All contributors must agree to license their contributions consistent with the above terms and acknowledge the Contributor Covenant under Article XI.</w:t>
      </w:r>
    </w:p>
    <w:p>
      <w:pPr>
        <w:pStyle w:val="Normal"/>
        <w:spacing w:before="0" w:after="120"/>
        <w:rPr/>
      </w:pPr>
      <w:r>
        <w:rPr/>
        <w:t>Patent Commitments: Members and contributors agree not to assert patent claims against implementations of working group deliverables.</w:t>
      </w:r>
    </w:p>
    <w:p>
      <w:pPr>
        <w:pStyle w:val="Heading3"/>
        <w:spacing w:before="200" w:after="100"/>
        <w:rPr/>
      </w:pPr>
      <w:r>
        <w:rPr/>
        <w:t>8. Relationship to NTARI</w:t>
      </w:r>
    </w:p>
    <w:p>
      <w:pPr>
        <w:pStyle w:val="Normal"/>
        <w:spacing w:before="0" w:after="120"/>
        <w:rPr/>
      </w:pPr>
      <w:r>
        <w:rPr/>
        <w:t>Reporting Requirements: Quarterly progress reports to NTARI Board; annual presentation at member meeting; inclusion in NTARI annual report</w:t>
      </w:r>
    </w:p>
    <w:p>
      <w:pPr>
        <w:pStyle w:val="Normal"/>
        <w:spacing w:before="0" w:after="120"/>
        <w:rPr/>
      </w:pPr>
      <w:r>
        <w:rPr/>
        <w:t>Resource Support from NTARI: Technical infrastructure (repositories, communication tools); meeting coordination assistance; publication and dissemination support</w:t>
      </w:r>
    </w:p>
    <w:p>
      <w:pPr>
        <w:pStyle w:val="Normal"/>
        <w:spacing w:before="0" w:after="120"/>
        <w:rPr/>
      </w:pPr>
      <w:r>
        <w:rPr/>
        <w:t>Board Oversight: Board reviews working group charter annually; Board approves major changes to scope or objectives; Board may dissolve working group if objectives completed or participation insufficient</w:t>
      </w:r>
    </w:p>
    <w:p>
      <w:pPr>
        <w:pStyle w:val="Normal"/>
        <w:spacing w:before="0" w:after="120"/>
        <w:rPr/>
      </w:pPr>
      <w:r>
        <w:rPr/>
        <w:t>Coordination with Other Working Groups: [Describe relationships with other NTARI working groups and coordination mechanisms]</w:t>
      </w:r>
    </w:p>
    <w:p>
      <w:pPr>
        <w:pStyle w:val="Heading3"/>
        <w:spacing w:before="200" w:after="100"/>
        <w:rPr/>
      </w:pPr>
      <w:r>
        <w:rPr/>
        <w:t>9. Financial Matters</w:t>
      </w:r>
    </w:p>
    <w:p>
      <w:pPr>
        <w:pStyle w:val="Normal"/>
        <w:spacing w:before="0" w:after="120"/>
        <w:rPr/>
      </w:pPr>
      <w:r>
        <w:rPr/>
        <w:t>Budget Authority: Working groups may request funding from NTARI for meeting expenses; tools and infrastructure; publication and dissemination costs; research collaboration expenses</w:t>
      </w:r>
    </w:p>
    <w:p>
      <w:pPr>
        <w:pStyle w:val="Normal"/>
        <w:spacing w:before="0" w:after="120"/>
        <w:rPr/>
      </w:pPr>
      <w:r>
        <w:rPr/>
        <w:t>Budget Approval: Budgets under $5,000 — Chair approval with Board notification. Budgets $5,000–$25,000 — Board approval required. Budgets over $25,000 — Board approval with membership notification.</w:t>
      </w:r>
    </w:p>
    <w:p>
      <w:pPr>
        <w:pStyle w:val="Normal"/>
        <w:spacing w:before="0" w:after="120"/>
        <w:rPr/>
      </w:pPr>
      <w:r>
        <w:rPr/>
        <w:t>Financial Reporting: Working group chairs report expenditures quarterly to Treasurer.</w:t>
      </w:r>
    </w:p>
    <w:p>
      <w:pPr>
        <w:pStyle w:val="Heading3"/>
        <w:spacing w:before="200" w:after="100"/>
        <w:rPr/>
      </w:pPr>
      <w:r>
        <w:rPr/>
        <w:t>10. Modification and Termination</w:t>
      </w:r>
    </w:p>
    <w:p>
      <w:pPr>
        <w:pStyle w:val="Normal"/>
        <w:spacing w:before="0" w:after="120"/>
        <w:rPr/>
      </w:pPr>
      <w:r>
        <w:rPr/>
        <w:t>Charter Amendments: Minor amendments — working group consensus with chair approval. Major amendments — working group consensus with Board approval. Changes to scope or deliverables — Board approval required.</w:t>
      </w:r>
    </w:p>
    <w:p>
      <w:pPr>
        <w:pStyle w:val="Normal"/>
        <w:spacing w:before="0" w:after="120"/>
        <w:rPr/>
      </w:pPr>
      <w:r>
        <w:rPr/>
        <w:t>Working Group Termination: Upon completion of stated objectives; due to insufficient participation; by Board resolution if misaligned with NTARI mission; by request of working group members.</w:t>
      </w:r>
    </w:p>
    <w:p>
      <w:pPr>
        <w:pStyle w:val="Normal"/>
        <w:spacing w:before="0" w:after="120"/>
        <w:rPr/>
      </w:pPr>
      <w:r>
        <w:rPr/>
        <w:t>Transition Upon Termination: Complete deliverables archived and published; ongoing work transferred to another working group or sunset gracefully; final report prepared; GitHub repositories and documentation preserved.</w:t>
      </w:r>
    </w:p>
    <w:p>
      <w:pPr>
        <w:pStyle w:val="Heading3"/>
        <w:spacing w:before="200" w:after="100"/>
        <w:rPr/>
      </w:pPr>
      <w:r>
        <w:rPr/>
        <w:t>11. Approval and Signatures</w:t>
      </w:r>
    </w:p>
    <w:p>
      <w:pPr>
        <w:pStyle w:val="Normal"/>
        <w:spacing w:before="0" w:after="120"/>
        <w:rPr/>
      </w:pPr>
      <w:r>
        <w:rPr/>
        <w:t>Charter Approved By: Jodson Graves [President], Calvin Secrest [Vice President], Grace Graves [Secretary]. Advisors: Kevin Gilhooley. Members: Venkata Sai Saketh Vaigandla.</w:t>
      </w:r>
    </w:p>
    <w:p>
      <w:pPr>
        <w:pStyle w:val="Normal"/>
        <w:spacing w:before="0" w:after="120"/>
        <w:rPr/>
      </w:pPr>
      <w:r>
        <w:rPr/>
        <w:t>NTARI Board of Directors. Date: October 10, 2025. Working Group Chair: n/a.</w:t>
      </w:r>
    </w:p>
    <w:p>
      <w:pPr>
        <w:pStyle w:val="Normal"/>
        <w:spacing w:before="0" w:after="120"/>
        <w:rPr/>
      </w:pPr>
      <w:r>
        <w:rPr/>
        <w:t>Review Schedule: This charter shall be reviewed annually during the fourth quarter in accordance with NTARI's document review procedures.</w:t>
      </w:r>
    </w:p>
    <w:p>
      <w:pPr>
        <w:pStyle w:val="Heading1"/>
        <w:spacing w:before="360" w:after="160"/>
        <w:rPr/>
      </w:pPr>
      <w:r>
        <w:rPr/>
        <w:t>APPENDIX B: PHILOSOPHICAL FOUNDATIONS</w:t>
      </w:r>
    </w:p>
    <w:p>
      <w:pPr>
        <w:pStyle w:val="Normal"/>
        <w:spacing w:before="0" w:after="120"/>
        <w:rPr/>
      </w:pPr>
      <w:r>
        <w:rPr/>
        <w:t>Incorporated by reference into Article XI (Contributor Covenant). The statements below may also be cited in connection with any deliberation conducted under Article VI, Section 6.3 (Asynchronous Discussion).</w:t>
      </w:r>
    </w:p>
    <w:p>
      <w:pPr>
        <w:pStyle w:val="Heading2"/>
        <w:spacing w:before="260" w:after="120"/>
        <w:rPr/>
      </w:pPr>
      <w:r>
        <w:rPr/>
        <w:t>B.1 Maximum Observational Diversity</w:t>
      </w:r>
    </w:p>
    <w:p>
      <w:pPr>
        <w:pStyle w:val="Normal"/>
        <w:spacing w:before="0" w:after="120"/>
        <w:rPr/>
      </w:pPr>
      <w:r>
        <w:rPr/>
        <w:t>Maximum Observational Diversity is the methodological principle that genuine emergent patterns can be distinguished from projected ones by gathering observations from maximally diverse, independent sources. When observers share cultural frameworks, communication channels, or conceptual languages, their observations can reinforce one another's projections; everyone seeing the same thing does not make it true if everyone is looking through the same lens.</w:t>
      </w:r>
    </w:p>
    <w:p>
      <w:pPr>
        <w:pStyle w:val="Normal"/>
        <w:spacing w:before="0" w:after="120"/>
        <w:rPr/>
      </w:pPr>
      <w:r>
        <w:rPr/>
        <w:t>True diversity of observation requires temporal independence (observations separated across centuries or millennia, before modern communication could synchronize perspectives), cultural independence (observations from cultures without historical contact), disciplinary independence (different fields with different methodologies), and scale independence (patterns appearing at atomic, molecular, cellular, organismal, and social scales).</w:t>
      </w:r>
    </w:p>
    <w:p>
      <w:pPr>
        <w:pStyle w:val="Normal"/>
        <w:spacing w:before="0" w:after="120"/>
        <w:rPr/>
      </w:pPr>
      <w:r>
        <w:rPr/>
        <w:t>The principle operates on a thermodynamic insight: maintaining a false or projected pattern across truly diverse observations requires exponentially more energy than maintaining a true emergent pattern. MOD makes lying thermodynamically unfavorable — not through moral pressure or social enforcement, but through the physics of information maintenance across independent observation.</w:t>
      </w:r>
    </w:p>
    <w:p>
      <w:pPr>
        <w:pStyle w:val="Normal"/>
        <w:spacing w:before="0" w:after="120"/>
        <w:rPr/>
      </w:pPr>
      <w:r>
        <w:rPr/>
        <w:t>Full statement: https://www.ntari.org/post/maximum-observational-diversity</w:t>
      </w:r>
    </w:p>
    <w:p>
      <w:pPr>
        <w:pStyle w:val="Heading2"/>
        <w:spacing w:before="260" w:after="120"/>
        <w:rPr/>
      </w:pPr>
      <w:r>
        <w:rPr/>
        <w:t>B.2 Minimum Sustainable Projection</w:t>
      </w:r>
    </w:p>
    <w:p>
      <w:pPr>
        <w:pStyle w:val="Normal"/>
        <w:spacing w:before="0" w:after="120"/>
        <w:rPr/>
      </w:pPr>
      <w:r>
        <w:rPr/>
        <w:t>Minimum Sustainable Projection is the architectural principle for building systems where truth-aligned behavior becomes the path of least resistance. Every system requires some projection — assumptions, abstractions, conventions — because we cannot build directly on raw reality. The principle is not to eliminate projection but to use only the minimum necessary, designing those projections to align with emergent patterns rather than fighting against them.</w:t>
      </w:r>
    </w:p>
    <w:p>
      <w:pPr>
        <w:pStyle w:val="Normal"/>
        <w:spacing w:before="0" w:after="120"/>
        <w:rPr/>
      </w:pPr>
      <w:r>
        <w:rPr/>
        <w:t>A projection is minimal when it cannot be removed without system collapse, when it aligns with observable emergent patterns, when it enables rather than constrains, and when it can evolve with new observations. A projection is sustainable when truth-aligned behavior costs less energy than deception, when error correction is metabolized cooperatively, when distributed observation can validate claims, and when the system reinforces its own health through feedback.</w:t>
      </w:r>
    </w:p>
    <w:p>
      <w:pPr>
        <w:pStyle w:val="Normal"/>
        <w:spacing w:before="0" w:after="120"/>
        <w:rPr/>
      </w:pPr>
      <w:r>
        <w:rPr/>
        <w:t>Applied to NTARI's technical and governance choices, MSP favors distributed validation over centralized authority, AGPL-3 transparency over proprietary opacity, user data sovereignty, and cooperative ownership. The principle is one of humility — our projections are always partial, always potentially mistaken, and the path to truth runs through doubt, distribution, and thermodynamic alignment with what already emerges from reality.</w:t>
      </w:r>
    </w:p>
    <w:p>
      <w:pPr>
        <w:pStyle w:val="Normal"/>
        <w:spacing w:before="0" w:after="120"/>
        <w:rPr/>
      </w:pPr>
      <w:r>
        <w:rPr/>
        <w:t>Full statement: https://www.ntari.org/post/minimum-sustainable-projection</w:t>
      </w:r>
    </w:p>
    <w:p>
      <w:pPr>
        <w:pStyle w:val="Heading2"/>
        <w:spacing w:before="260" w:after="120"/>
        <w:rPr/>
      </w:pPr>
      <w:r>
        <w:rPr/>
        <w:t>B.3 The Scientific Method as Necessary Ritual</w:t>
      </w:r>
    </w:p>
    <w:p>
      <w:pPr>
        <w:pStyle w:val="Normal"/>
        <w:spacing w:before="0" w:after="120"/>
        <w:rPr/>
      </w:pPr>
      <w:r>
        <w:rPr/>
        <w:t>The scientific method sits at the precise intersection of MOD and MSP. It is neither pure discovery nor pure implementation but the necessary ritual that metabolizes observations into validated knowledge through disciplined doubt, distributed observation, and thermodynamic alignment.</w:t>
      </w:r>
    </w:p>
    <w:p>
      <w:pPr>
        <w:pStyle w:val="Normal"/>
        <w:spacing w:before="0" w:after="120"/>
        <w:rPr/>
      </w:pPr>
      <w:r>
        <w:rPr/>
        <w:t>We typically call it the scientific "method" — a procedure, a technique. This framing misses something essential. It is ritual: a formalized, repeated, communal practice that maintains a relationship with something beyond individual understanding. Its ritual aspects are formalized practice (hypothesis, experiment, analysis, publication — performed the same regardless of individual belief), communal participation (peer review, replication, shared standards), repeated performance, sacred doubt (skepticism as reverence for truth beyond individual certainty), initiation and apprenticeship, and collective memory through literature and citation.</w:t>
      </w:r>
    </w:p>
    <w:p>
      <w:pPr>
        <w:pStyle w:val="Normal"/>
        <w:spacing w:before="0" w:after="120"/>
        <w:rPr/>
      </w:pPr>
      <w:r>
        <w:rPr/>
        <w:t>The ritual's core principles are doubt as sacred practice, reproducibility as distributed consensus, falsifiability as humility before truth, and community as a necessary condition — science cannot be performed in isolation. Where the ritual is corrupted by publication bias, p-hacking, funding capture, or appeals to authority, the remedy is not to abandon it but to reinvigorate its sacred core.</w:t>
      </w:r>
    </w:p>
    <w:p>
      <w:pPr>
        <w:pStyle w:val="Normal"/>
        <w:spacing w:before="0" w:after="120"/>
        <w:rPr/>
      </w:pPr>
      <w:r>
        <w:rPr/>
        <w:t>Full statement: https://www.ntari.org/post/the-scientific-method-as-necessary-ritual</w:t>
      </w:r>
    </w:p>
    <w:p>
      <w:pPr>
        <w:pStyle w:val="Heading1"/>
        <w:spacing w:before="360" w:after="160"/>
        <w:rPr/>
      </w:pPr>
      <w:r>
        <w:rPr/>
        <w:t>APPENDIX C: P1-003 CONTINUOUS BOARD MEETING POLICY</w:t>
      </w:r>
    </w:p>
    <w:p>
      <w:pPr>
        <w:pStyle w:val="Normal"/>
        <w:spacing w:before="0" w:after="120"/>
        <w:rPr/>
      </w:pPr>
      <w:r>
        <w:rPr/>
        <w:t>Submitted March 5, 2026. Adopted by board written consent under KRS 273.375. Resident in the Continuous Meeting Guide pinned to the #board-of-directors channel. Reproduced here as adopted; P1-003 is amended by board written consent under §3.13 and will require subsequent board-level updates to reflect the channel structure established in Article III.</w:t>
      </w:r>
    </w:p>
    <w:p>
      <w:pPr>
        <w:pStyle w:val="Heading2"/>
        <w:spacing w:before="260" w:after="120"/>
        <w:rPr/>
      </w:pPr>
      <w:r>
        <w:rPr/>
        <w:t>Author's Note</w:t>
      </w:r>
    </w:p>
    <w:p>
      <w:pPr>
        <w:pStyle w:val="Normal"/>
        <w:spacing w:before="0" w:after="120"/>
        <w:rPr/>
      </w:pPr>
      <w:r>
        <w:rPr/>
        <w:t>The internet gives us the opportunity to reach each other continuously, superseding the state requirement for in-person meetings. This improvement is supported by the bylaws. The following language becomes P1-003 Continuous Board Meeting Policy, residing in the Continuous Meeting Guide in the #board-of-directors channel.</w:t>
      </w:r>
    </w:p>
    <w:p>
      <w:pPr>
        <w:pStyle w:val="Heading2"/>
        <w:spacing w:before="260" w:after="120"/>
        <w:rPr/>
      </w:pPr>
      <w:r>
        <w:rPr/>
        <w:t>Designation</w:t>
      </w:r>
    </w:p>
    <w:p>
      <w:pPr>
        <w:pStyle w:val="ListParagraph"/>
        <w:numPr>
          <w:ilvl w:val="0"/>
          <w:numId w:val="1"/>
        </w:numPr>
        <w:spacing w:before="0" w:after="60"/>
        <w:rPr/>
      </w:pPr>
      <w:r>
        <w:rPr/>
        <w:t>Channel: #board-of-directors</w:t>
      </w:r>
    </w:p>
    <w:p>
      <w:pPr>
        <w:pStyle w:val="ListParagraph"/>
        <w:numPr>
          <w:ilvl w:val="0"/>
          <w:numId w:val="1"/>
        </w:numPr>
        <w:spacing w:before="0" w:after="60"/>
        <w:rPr/>
      </w:pPr>
      <w:r>
        <w:rPr/>
        <w:t>Function: Continuous Board Meeting Channel</w:t>
      </w:r>
    </w:p>
    <w:p>
      <w:pPr>
        <w:pStyle w:val="ListParagraph"/>
        <w:numPr>
          <w:ilvl w:val="0"/>
          <w:numId w:val="1"/>
        </w:numPr>
        <w:spacing w:before="0" w:after="60"/>
        <w:rPr/>
      </w:pPr>
      <w:r>
        <w:rPr/>
        <w:t>Effective: Upon board adoption as a written consent action per KRS 273.375</w:t>
      </w:r>
    </w:p>
    <w:p>
      <w:pPr>
        <w:pStyle w:val="Heading2"/>
        <w:spacing w:before="260" w:after="120"/>
        <w:rPr/>
      </w:pPr>
      <w:r>
        <w:rPr/>
        <w:t>Legal and Governance Basis</w:t>
      </w:r>
    </w:p>
    <w:p>
      <w:pPr>
        <w:pStyle w:val="Normal"/>
        <w:spacing w:before="0" w:after="120"/>
        <w:rPr/>
      </w:pPr>
      <w:r>
        <w:rPr/>
        <w:t>KRS 273.375 — Director Action Without Meeting — is the operative authority. Kentucky law permits board action outside a formal meeting when all directors provide written consent describing the action taken, filed with corporate records. A persistent, director-exclusive channel satisfies this requirement: each vote or consent posted constitutes a signed written consent, and the channel's message history serves as the corporate record. This is cleaner than KRS 273.223 (place and notice of meetings), which governs synchronous sessions.</w:t>
      </w:r>
    </w:p>
    <w:p>
      <w:pPr>
        <w:pStyle w:val="Normal"/>
        <w:spacing w:before="0" w:after="120"/>
        <w:rPr/>
      </w:pPr>
      <w:r>
        <w:rPr/>
        <w:t>NTARI Bylaws Section 3.5 establishes the quarterly minimum meeting cadence and quorum requirements (majority of directors in office). The continuous channel does not replace the quarterly requirement — it fulfills and exceeds it by enabling between-meeting governance actions that are fully documented.</w:t>
      </w:r>
    </w:p>
    <w:p>
      <w:pPr>
        <w:pStyle w:val="Heading2"/>
        <w:spacing w:before="260" w:after="120"/>
        <w:rPr/>
      </w:pPr>
      <w:r>
        <w:rPr/>
        <w:t>P2-001 Classification</w:t>
      </w:r>
    </w:p>
    <w:p>
      <w:pPr>
        <w:pStyle w:val="Normal"/>
        <w:spacing w:before="0" w:after="120"/>
        <w:rPr/>
      </w:pPr>
      <w:r>
        <w:rPr/>
        <w:t>This channel is a Priority 1 governance function: it directly supports board authority, member rights, and organizational legal status. Under P2-001's document hierarchy, all actions recorded in this channel that constitute board decisions shall be archived and preserved as corporate records per the backup requirements in P2-001 Article VI.</w:t>
      </w:r>
    </w:p>
    <w:p>
      <w:pPr>
        <w:pStyle w:val="Heading2"/>
        <w:spacing w:before="260" w:after="120"/>
        <w:rPr/>
      </w:pPr>
      <w:r>
        <w:rPr/>
        <w:t>Operating Parameters</w:t>
      </w:r>
    </w:p>
    <w:p>
      <w:pPr>
        <w:pStyle w:val="ListParagraph"/>
        <w:numPr>
          <w:ilvl w:val="0"/>
          <w:numId w:val="1"/>
        </w:numPr>
        <w:spacing w:before="0" w:after="60"/>
        <w:rPr/>
      </w:pPr>
      <w:r>
        <w:rPr/>
        <w:t>Access: Directors only.</w:t>
      </w:r>
    </w:p>
    <w:p>
      <w:pPr>
        <w:pStyle w:val="ListParagraph"/>
        <w:numPr>
          <w:ilvl w:val="0"/>
          <w:numId w:val="1"/>
        </w:numPr>
        <w:spacing w:before="0" w:after="60"/>
        <w:rPr/>
      </w:pPr>
      <w:r>
        <w:rPr/>
        <w:t>Quorum: Per Bylaws Section 3.5, a majority of directors in office (5 of 8 at full composition). For KRS 273.375 written consent actions, all directors must sign — this channel supports both modes.</w:t>
      </w:r>
    </w:p>
    <w:p>
      <w:pPr>
        <w:pStyle w:val="ListParagraph"/>
        <w:numPr>
          <w:ilvl w:val="0"/>
          <w:numId w:val="1"/>
        </w:numPr>
        <w:spacing w:before="0" w:after="60"/>
        <w:rPr/>
      </w:pPr>
      <w:r>
        <w:rPr/>
        <w:t>Notice: Per KRS 273.223, at least two days' written notice is required for director meetings. A pinned post at the top of the channel initiating a vote thread constitutes this notice. The Secretary shall @ the full board on any new agenda item post.</w:t>
      </w:r>
    </w:p>
    <w:p>
      <w:pPr>
        <w:pStyle w:val="ListParagraph"/>
        <w:numPr>
          <w:ilvl w:val="0"/>
          <w:numId w:val="1"/>
        </w:numPr>
        <w:spacing w:before="0" w:after="60"/>
        <w:rPr/>
      </w:pPr>
      <w:r>
        <w:rPr/>
        <w:t>Record of Action: Each decided item shall be pinned and referenced by the Secretary in a message formatted as: [ACTION ADOPTED — {date} — {description} — Consent: {list of directors}] before filing in minutes.</w:t>
      </w:r>
    </w:p>
    <w:p>
      <w:pPr>
        <w:pStyle w:val="ListParagraph"/>
        <w:numPr>
          <w:ilvl w:val="0"/>
          <w:numId w:val="1"/>
        </w:numPr>
        <w:spacing w:before="0" w:after="60"/>
        <w:rPr/>
      </w:pPr>
      <w:r>
        <w:rPr/>
        <w:t>Quarterly Sessions: The channel satisfies the quarterly meeting requirement when quorum is achieved and business is conducted during that quarter's calendar window, per Bylaws Section 3.5.</w:t>
      </w:r>
    </w:p>
    <w:p>
      <w:pPr>
        <w:pStyle w:val="ListParagraph"/>
        <w:numPr>
          <w:ilvl w:val="0"/>
          <w:numId w:val="1"/>
        </w:numPr>
        <w:spacing w:before="0" w:after="60"/>
        <w:rPr/>
      </w:pPr>
      <w:r>
        <w:rPr/>
        <w:t>Proposal Process: Proposals shall be submitted with edit access granted to the channel. The document body shall lead with the date submitted in dynamic Month/day/year format. Titles shall include the word "proposal" so workflow infrastructure recognizes the document as a new proposal.</w:t>
      </w:r>
    </w:p>
    <w:p>
      <w:pPr>
        <w:pStyle w:val="Heading2"/>
        <w:spacing w:before="260" w:after="120"/>
        <w:rPr/>
      </w:pPr>
      <w:r>
        <w:rPr/>
        <w:t>Channel Description</w:t>
      </w:r>
    </w:p>
    <w:p>
      <w:pPr>
        <w:pStyle w:val="Normal"/>
        <w:spacing w:before="0" w:after="120"/>
        <w:rPr/>
      </w:pPr>
      <w:r>
        <w:rPr/>
        <w:t>Continuous board meeting channel — NTARI Board of Directors. Actions taken here constitute written director consent per KRS 273.375 and are incorporated into corporate minutes by the Secretary. Public forum with director-only voting (JBG03052026).</w:t>
      </w:r>
    </w:p>
    <w:p>
      <w:pPr>
        <w:pStyle w:val="Heading2"/>
        <w:spacing w:before="260" w:after="120"/>
        <w:rPr/>
      </w:pPr>
      <w:r>
        <w:rPr/>
        <w:t>Adoption</w:t>
      </w:r>
    </w:p>
    <w:p>
      <w:pPr>
        <w:pStyle w:val="Normal"/>
        <w:spacing w:before="0" w:after="120"/>
        <w:rPr/>
      </w:pPr>
      <w:r>
        <w:rPr/>
        <w:t>This designation shall be adopted by board written consent posted in the #board-of-directors channel upon its creation, establishing the self-referential record.</w:t>
      </w:r>
    </w:p>
    <w:p>
      <w:pPr>
        <w:pStyle w:val="Heading1"/>
        <w:spacing w:before="360" w:after="160"/>
        <w:rPr/>
      </w:pPr>
      <w:r>
        <w:rPr/>
        <w:t>DOCUMENT CONTROL</w:t>
      </w:r>
    </w:p>
    <w:p>
      <w:pPr>
        <w:pStyle w:val="ListParagraph"/>
        <w:numPr>
          <w:ilvl w:val="0"/>
          <w:numId w:val="1"/>
        </w:numPr>
        <w:spacing w:before="0" w:after="60"/>
        <w:rPr/>
      </w:pPr>
      <w:r>
        <w:rPr/>
        <w:t>Document ID: P1-001 (Bylaws — Priority 1)</w:t>
      </w:r>
    </w:p>
    <w:p>
      <w:pPr>
        <w:pStyle w:val="ListParagraph"/>
        <w:numPr>
          <w:ilvl w:val="0"/>
          <w:numId w:val="1"/>
        </w:numPr>
        <w:spacing w:before="0" w:after="60"/>
        <w:rPr/>
      </w:pPr>
      <w:r>
        <w:rPr/>
        <w:t>Version: 7.0 — DRAFT</w:t>
      </w:r>
    </w:p>
    <w:p>
      <w:pPr>
        <w:pStyle w:val="ListParagraph"/>
        <w:numPr>
          <w:ilvl w:val="0"/>
          <w:numId w:val="1"/>
        </w:numPr>
        <w:spacing w:before="0" w:after="60"/>
        <w:rPr/>
      </w:pPr>
      <w:r>
        <w:rPr/>
        <w:t>Effective Date: [pending membership adoption — to be filled in upon vote]</w:t>
      </w:r>
    </w:p>
    <w:p>
      <w:pPr>
        <w:pStyle w:val="ListParagraph"/>
        <w:numPr>
          <w:ilvl w:val="0"/>
          <w:numId w:val="1"/>
        </w:numPr>
        <w:spacing w:before="0" w:after="60"/>
        <w:rPr/>
      </w:pPr>
      <w:r>
        <w:rPr/>
        <w:t>Review Schedule: Annual review required per KRS Chapter 273</w:t>
      </w:r>
    </w:p>
    <w:p>
      <w:pPr>
        <w:pStyle w:val="ListParagraph"/>
        <w:numPr>
          <w:ilvl w:val="0"/>
          <w:numId w:val="1"/>
        </w:numPr>
        <w:spacing w:before="0" w:after="60"/>
        <w:rPr/>
      </w:pPr>
      <w:r>
        <w:rPr/>
        <w:t>Secretary Coordination: Required for version control and publication per P2-001</w:t>
      </w:r>
    </w:p>
    <w:p>
      <w:pPr>
        <w:pStyle w:val="ListParagraph"/>
        <w:numPr>
          <w:ilvl w:val="0"/>
          <w:numId w:val="1"/>
        </w:numPr>
        <w:spacing w:before="0" w:after="60"/>
        <w:rPr/>
      </w:pPr>
      <w:r>
        <w:rPr/>
        <w:t>Prior version: P1-001 v6.0 (May 13, 2026) is retained in the register of governing documents per §7.3; its amendment notes travel with it.</w:t>
      </w:r>
    </w:p>
    <w:p>
      <w:pPr>
        <w:pStyle w:val="Heading2"/>
        <w:spacing w:before="260" w:after="120"/>
        <w:rPr/>
      </w:pPr>
      <w:r>
        <w:rPr/>
        <w:t>Amendment Notes — Version 7.0 (DRAFT)</w:t>
      </w:r>
    </w:p>
    <w:p>
      <w:pPr>
        <w:pStyle w:val="Normal"/>
        <w:spacing w:before="0" w:after="120"/>
        <w:rPr/>
      </w:pPr>
      <w:r>
        <w:rPr/>
        <w:t>Version 7.0 amends the bylaws for conformance to Janus-Facing Architecture, the Corporation's unified architecture document. The changes:</w:t>
      </w:r>
    </w:p>
    <w:p>
      <w:pPr>
        <w:pStyle w:val="ListParagraph"/>
        <w:numPr>
          <w:ilvl w:val="0"/>
          <w:numId w:val="1"/>
        </w:numPr>
        <w:spacing w:before="0" w:after="60"/>
        <w:rPr/>
      </w:pPr>
      <w:r>
        <w:rPr/>
        <w:t>Add §1.5 (Architectural Conformance), binding the Corporation's software to the architecture document and its governance to the interim-and-committed-exit discipline of the new Article XII, while providing that the architecture document confers no authority over any vote of the membership.</w:t>
      </w:r>
    </w:p>
    <w:p>
      <w:pPr>
        <w:pStyle w:val="ListParagraph"/>
        <w:numPr>
          <w:ilvl w:val="0"/>
          <w:numId w:val="1"/>
        </w:numPr>
        <w:spacing w:before="0" w:after="60"/>
        <w:rPr/>
      </w:pPr>
      <w:r>
        <w:rPr/>
        <w:t>Add two new membership classes at §2.1. Community Membership, free of charge, carries voice but not the governance franchise; membership is thereby decoupled from the franchise: everyone may join free, and the vote is qualified separately. Operator Membership, free of charge, carries the governance franchise qualified by operation rather than purchase, and is adopted as the Corporation's committed basis for governance. The subscription is reframed as the named interim qualifier on the franchise — a real recurring cost per account guarding against duplicate-account voting — to be sunset under Article XII once operator recognition is corroborated against the witnessed record.</w:t>
      </w:r>
    </w:p>
    <w:p>
      <w:pPr>
        <w:pStyle w:val="ListParagraph"/>
        <w:numPr>
          <w:ilvl w:val="0"/>
          <w:numId w:val="1"/>
        </w:numPr>
        <w:spacing w:before="0" w:after="60"/>
        <w:rPr/>
      </w:pPr>
      <w:r>
        <w:rPr/>
        <w:t>Add §2.7 (Operator Membership): qualification by active operation, defined by board policy, with no fee; recognition by Board action during the bootstrap (beginning from the genesis operator set) shifting to cross-operator corroboration when the witnessed record layer operates, with common-control operators excluded as corroborators; a conduct standard under which the franchise is held provided the operator is not found responsible for gaming (manufactured or manipulated exchange, reputation, or corroboration signals), tampering (rewriting or equivocating the record, obstructing witnessing), or harmful environments (adjudicated harm to the platform's users, including filing obstruction, abusive delay, or patterned dismissal); an evidence discipline (structure and adjudicated claims, never rating averages; verdict-dissatisfaction alone is not misconduct; a flag is an input, never a finding; a single adjudicated harm may suffice); and due process (co-equal raising by audit authority or open objection; notice and answer; disposition by Board majority plus two-thirds of the voting membership; the operator does not vote on their own question; annotated, never erased; restoration on terms set by the disposing bodies).</w:t>
      </w:r>
    </w:p>
    <w:p>
      <w:pPr>
        <w:pStyle w:val="ListParagraph"/>
        <w:numPr>
          <w:ilvl w:val="0"/>
          <w:numId w:val="1"/>
        </w:numPr>
        <w:spacing w:before="0" w:after="60"/>
        <w:rPr/>
      </w:pPr>
      <w:r>
        <w:rPr/>
        <w:t>Add §2.8 (Federation Membership): the Federations as the standing, layer-aligned circles of the commons (#federation-substrate, #federation-record, #federation-covenant, #federation-governance, #federation-economy-education, #federation-volunteers), with membership requiring Operator membership in good standing under §2.7 — operator status a qualifier, never a multiplier, preserving one person, one vote; channels remain open to voice and Maximum Observational Diversity observations from members of all classes; recognition follows §2.7 and Article XII through bootstrap and maturation; loss of the operator franchise ends federation membership without constituting termination under §2.6.</w:t>
      </w:r>
    </w:p>
    <w:p>
      <w:pPr>
        <w:pStyle w:val="ListParagraph"/>
        <w:numPr>
          <w:ilvl w:val="0"/>
          <w:numId w:val="1"/>
        </w:numPr>
        <w:spacing w:before="0" w:after="60"/>
        <w:rPr/>
      </w:pPr>
      <w:r>
        <w:rPr/>
        <w:t>Restate membership rights at §2.3 in tiers: rights of all members (voice, working groups, publications, events, MOD observations, records inspection); additional rights of voting members — subscribing and operator members — (electing Directors, membership votes, binding channel votes); and class tooling for subscribing members.</w:t>
      </w:r>
    </w:p>
    <w:p>
      <w:pPr>
        <w:pStyle w:val="ListParagraph"/>
        <w:numPr>
          <w:ilvl w:val="0"/>
          <w:numId w:val="1"/>
        </w:numPr>
        <w:spacing w:before="0" w:after="60"/>
        <w:rPr/>
      </w:pPr>
      <w:r>
        <w:rPr/>
        <w:t>Provide at §2.2 that onboarding verification is zero-cost, requires no purchase of any device or service, and does not rely on telephone-number verification.</w:t>
      </w:r>
    </w:p>
    <w:p>
      <w:pPr>
        <w:pStyle w:val="ListParagraph"/>
        <w:numPr>
          <w:ilvl w:val="0"/>
          <w:numId w:val="1"/>
        </w:numPr>
        <w:spacing w:before="0" w:after="60"/>
        <w:rPr/>
      </w:pPr>
      <w:r>
        <w:rPr/>
        <w:t>Convert non-payment from suspension to reversion at §2.5: a lapsed subscriber reverts to Community membership — retaining voice and the commons, losing the franchise and class tooling — rather than losing membership.</w:t>
      </w:r>
    </w:p>
    <w:p>
      <w:pPr>
        <w:pStyle w:val="ListParagraph"/>
        <w:numPr>
          <w:ilvl w:val="0"/>
          <w:numId w:val="1"/>
        </w:numPr>
        <w:spacing w:before="0" w:after="60"/>
        <w:rPr/>
      </w:pPr>
      <w:r>
        <w:rPr/>
        <w:t>Define the "Workspace" functionally at §3.1 as the Corporation's designated deliberation venue established by board policy, with the current proprietary hosted service named as an interim under Article XII; references to the proprietary service by name are removed from operative text so that the committed venue exit under §12.3(a) is a board-policy action, not a bylaws amendment.</w:t>
      </w:r>
    </w:p>
    <w:p>
      <w:pPr>
        <w:pStyle w:val="ListParagraph"/>
        <w:numPr>
          <w:ilvl w:val="0"/>
          <w:numId w:val="1"/>
        </w:numPr>
        <w:spacing w:before="0" w:after="60"/>
        <w:rPr/>
      </w:pPr>
      <w:r>
        <w:rPr/>
        <w:t>Clarify at §3.3 and §3.9 that channel deliberation is open to members of all classes while binding channel votes are cast by subscribing members and Directors, preserving the interim Sybil safeguard; extend the Maximum Observational Diversity challenge to members of all classes.</w:t>
      </w:r>
    </w:p>
    <w:p>
      <w:pPr>
        <w:pStyle w:val="ListParagraph"/>
        <w:numPr>
          <w:ilvl w:val="0"/>
          <w:numId w:val="1"/>
        </w:numPr>
        <w:spacing w:before="0" w:after="60"/>
        <w:rPr/>
      </w:pPr>
      <w:r>
        <w:rPr/>
        <w:t>Add §4.5 (Layer-Aligned Stewardship): the five offices align one-to-one with the five layers of the architecture — Workspace Administrator with the Substrate, Secretary with the Record, President with the Covenant, Vice President with Governance, and Treasurer with Economy and Education. Stewardship is answerability, not authority; it inherits the recall provisions of §3.8; no office may steward two layers, and §4.1 is amended so no person may simultaneously hold two stewardship-bearing offices.</w:t>
      </w:r>
    </w:p>
    <w:p>
      <w:pPr>
        <w:pStyle w:val="ListParagraph"/>
        <w:numPr>
          <w:ilvl w:val="0"/>
          <w:numId w:val="1"/>
        </w:numPr>
        <w:spacing w:before="0" w:after="60"/>
        <w:rPr/>
      </w:pPr>
      <w:r>
        <w:rPr/>
        <w:t>Amend the officer duties at §4.3 to state each office's layer stewardship, and to state expressly that the Vice President's audit authority is investigative, never dispositive.</w:t>
      </w:r>
    </w:p>
    <w:p>
      <w:pPr>
        <w:pStyle w:val="ListParagraph"/>
        <w:numPr>
          <w:ilvl w:val="0"/>
          <w:numId w:val="1"/>
        </w:numPr>
        <w:spacing w:before="0" w:after="60"/>
        <w:rPr/>
      </w:pPr>
      <w:r>
        <w:rPr/>
        <w:t>Add §5.7 (Platform Economies): any exchange economy on Corporation platforms conforms to the architecture — escrow-first settlement; the escrow-to-credit transition as a governed configuration change requiring Board approval, membership notice, and a completed regulatory review; credit earned, never sold, never redeemable; issuance gated by covenant and capped by a separate limit never derived from the harm distribution; sovereign, non-convertible platform units.</w:t>
      </w:r>
    </w:p>
    <w:p>
      <w:pPr>
        <w:pStyle w:val="ListParagraph"/>
        <w:numPr>
          <w:ilvl w:val="0"/>
          <w:numId w:val="1"/>
        </w:numPr>
        <w:spacing w:before="0" w:after="60"/>
        <w:rPr/>
      </w:pPr>
      <w:r>
        <w:rPr/>
        <w:t>Require at §3.7 that quarterly public reports state the status of each Article XII interim and committed transition plainly, including any stall.</w:t>
      </w:r>
    </w:p>
    <w:p>
      <w:pPr>
        <w:pStyle w:val="ListParagraph"/>
        <w:numPr>
          <w:ilvl w:val="0"/>
          <w:numId w:val="1"/>
        </w:numPr>
        <w:spacing w:before="0" w:after="60"/>
        <w:rPr/>
      </w:pPr>
      <w:r>
        <w:rPr/>
        <w:t>Add a legibility item to the operational policies at §6.2, and add to §6.3(c) the express rule that a single documented harm suffices to reopen the Phase 2 synthesis and is never averaged into it.</w:t>
      </w:r>
    </w:p>
    <w:p>
      <w:pPr>
        <w:pStyle w:val="ListParagraph"/>
        <w:numPr>
          <w:ilvl w:val="0"/>
          <w:numId w:val="1"/>
        </w:numPr>
        <w:spacing w:before="0" w:after="60"/>
        <w:rPr/>
      </w:pPr>
      <w:r>
        <w:rPr/>
        <w:t>Add at §7.3 a versioned, append-only register of governing documents and board policies with plain-language change summaries; superseded versions are retained, never erased.</w:t>
      </w:r>
    </w:p>
    <w:p>
      <w:pPr>
        <w:pStyle w:val="ListParagraph"/>
        <w:numPr>
          <w:ilvl w:val="0"/>
          <w:numId w:val="1"/>
        </w:numPr>
        <w:spacing w:before="0" w:after="60"/>
        <w:rPr/>
      </w:pPr>
      <w:r>
        <w:rPr/>
        <w:t>Add Article XII (Architectural Conformance and Committed Transitions): naming the two interims (subscription-qualified franchise; proprietary Workspace); committing the exits (venue exit to sovereign substrate by board action; operator-recognition maturation from Board recognition to witnessed cross-operator corroboration, followed by a membership amendment sunsetting the subscription qualifier so that operator membership becomes the sole franchise qualification); designating the standing representatives then in office as the genesis operator set and first operator members as the layers come online; and providing non-derogation — nothing in Article XII modifies §1.4, expands entrenchment, or subordinates any membership vote to the architecture document.</w:t>
      </w:r>
    </w:p>
    <w:p>
      <w:pPr>
        <w:pStyle w:val="ListParagraph"/>
        <w:numPr>
          <w:ilvl w:val="0"/>
          <w:numId w:val="1"/>
        </w:numPr>
        <w:spacing w:before="0" w:after="60"/>
        <w:rPr/>
      </w:pPr>
      <w:r>
        <w:rPr/>
        <w:t>Update Appendix A terminology (Workspace channel) for venue neutrality. Appendices B and C are unchanged; Appendix C reproduces P1-003 as adopted, which is amended at the board level under §3.13.</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rFonts w:ascii="Calibri" w:hAnsi="Calibri" w:eastAsia="Calibri" w:cs="Calibri"/>
      <w:b/>
      <w:bCs/>
      <w:color w:val="1F3864"/>
      <w:sz w:val="28"/>
      <w:szCs w:val="28"/>
    </w:rPr>
  </w:style>
  <w:style w:type="paragraph" w:styleId="Heading2">
    <w:name w:val="heading 2"/>
    <w:basedOn w:val="Heading"/>
    <w:qFormat/>
    <w:pPr/>
    <w:rPr>
      <w:rFonts w:ascii="Calibri" w:hAnsi="Calibri" w:eastAsia="Calibri" w:cs="Calibri"/>
      <w:b/>
      <w:bCs/>
      <w:color w:val="2E5395"/>
      <w:sz w:val="24"/>
      <w:szCs w:val="24"/>
    </w:rPr>
  </w:style>
  <w:style w:type="paragraph" w:styleId="Heading3">
    <w:name w:val="heading 3"/>
    <w:basedOn w:val="Heading"/>
    <w:qFormat/>
    <w:pPr/>
    <w:rPr>
      <w:rFonts w:ascii="Calibri" w:hAnsi="Calibri" w:eastAsia="Calibri" w:cs="Calibri"/>
      <w:b/>
      <w:bCs/>
      <w:i/>
      <w:iCs/>
      <w:color w:val="40404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LibreOffice/26.2.4.2$Windows_X86_64 LibreOffice_project/0229ac93fcf0d7cbc6376066c6f35021cef002dc</Application>
  <AppVersion>15.0000</AppVersion>
  <Pages>26</Pages>
  <Words>10217</Words>
  <Characters>62042</Characters>
  <CharactersWithSpaces>71734</CharactersWithSpaces>
  <Paragraphs>469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2026-07-12T12:03:32Z</dcterms:created>
  <dc:creator>Un-named</dc:creator>
  <dc:description/>
  <dc:language>en-US</dc:language>
  <cp:lastModifiedBy/>
  <dcterms:modified xsi:type="dcterms:W3CDTF">2026-07-21T21:30:49Z</dcterms:modified>
  <cp:revision>2</cp:revision>
  <dc:subject/>
  <dc:title/>
</cp:coreProperties>
</file>