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79398" w14:textId="15229E44" w:rsidR="00EB32B6" w:rsidRDefault="007C24F3" w:rsidP="007C24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SOLID Principles Improvement</w:t>
      </w:r>
    </w:p>
    <w:p w14:paraId="4911F045" w14:textId="40778F7A" w:rsidR="007C24F3" w:rsidRPr="007C24F3" w:rsidRDefault="007C24F3" w:rsidP="007C24F3">
      <w:pPr>
        <w:rPr>
          <w:sz w:val="28"/>
          <w:szCs w:val="28"/>
        </w:rPr>
      </w:pPr>
      <w:r w:rsidRPr="007C24F3">
        <w:rPr>
          <w:b/>
          <w:bCs/>
          <w:sz w:val="28"/>
          <w:szCs w:val="28"/>
        </w:rPr>
        <w:t>1. Single Responsibility Principle (SRP)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24F3" w14:paraId="1DF76362" w14:textId="77777777" w:rsidTr="007C24F3">
        <w:tc>
          <w:tcPr>
            <w:tcW w:w="4675" w:type="dxa"/>
            <w:shd w:val="clear" w:color="auto" w:fill="7F7F7F" w:themeFill="text1" w:themeFillTint="80"/>
          </w:tcPr>
          <w:p w14:paraId="60334CB9" w14:textId="75CC6FE8" w:rsidR="007C24F3" w:rsidRDefault="007C24F3" w:rsidP="007C24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Related Module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14:paraId="2B13497F" w14:textId="6F7D39D8" w:rsidR="007C24F3" w:rsidRDefault="007C24F3" w:rsidP="007C24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</w:t>
            </w:r>
          </w:p>
        </w:tc>
      </w:tr>
      <w:tr w:rsidR="007C24F3" w14:paraId="2E3484C0" w14:textId="77777777" w:rsidTr="007C24F3">
        <w:tc>
          <w:tcPr>
            <w:tcW w:w="4675" w:type="dxa"/>
          </w:tcPr>
          <w:p w14:paraId="36AC5CB3" w14:textId="142DFC6B" w:rsidR="007C24F3" w:rsidRDefault="007C24F3" w:rsidP="007C24F3">
            <w:pPr>
              <w:jc w:val="center"/>
              <w:rPr>
                <w:sz w:val="28"/>
                <w:szCs w:val="28"/>
              </w:rPr>
            </w:pPr>
            <w:r w:rsidRPr="007C24F3">
              <w:rPr>
                <w:sz w:val="28"/>
                <w:szCs w:val="28"/>
              </w:rPr>
              <w:t>PlaceOrderController.java</w:t>
            </w:r>
          </w:p>
        </w:tc>
        <w:tc>
          <w:tcPr>
            <w:tcW w:w="4675" w:type="dxa"/>
          </w:tcPr>
          <w:p w14:paraId="0D6D1E6A" w14:textId="562D0703" w:rsidR="007C24F3" w:rsidRDefault="007C24F3" w:rsidP="007C24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into many smaller controllers such as: validateController, typeCheckController, etc</w:t>
            </w:r>
          </w:p>
        </w:tc>
      </w:tr>
      <w:tr w:rsidR="007C24F3" w14:paraId="40A52F3F" w14:textId="77777777" w:rsidTr="007C24F3">
        <w:tc>
          <w:tcPr>
            <w:tcW w:w="4675" w:type="dxa"/>
          </w:tcPr>
          <w:p w14:paraId="2FD59517" w14:textId="0625EF96" w:rsidR="007C24F3" w:rsidRDefault="007C24F3" w:rsidP="007C24F3">
            <w:pPr>
              <w:jc w:val="center"/>
              <w:rPr>
                <w:sz w:val="28"/>
                <w:szCs w:val="28"/>
              </w:rPr>
            </w:pPr>
            <w:r w:rsidRPr="007C24F3">
              <w:rPr>
                <w:sz w:val="28"/>
                <w:szCs w:val="28"/>
              </w:rPr>
              <w:t>PlaceRushOrderController.java</w:t>
            </w:r>
          </w:p>
        </w:tc>
        <w:tc>
          <w:tcPr>
            <w:tcW w:w="4675" w:type="dxa"/>
          </w:tcPr>
          <w:p w14:paraId="2FC556F1" w14:textId="2DA43F94" w:rsidR="007C24F3" w:rsidRDefault="007C24F3" w:rsidP="007C24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as above</w:t>
            </w:r>
          </w:p>
        </w:tc>
      </w:tr>
    </w:tbl>
    <w:p w14:paraId="2B2F66AE" w14:textId="4E310176" w:rsidR="007C24F3" w:rsidRPr="007C24F3" w:rsidRDefault="007C24F3" w:rsidP="007C24F3">
      <w:pPr>
        <w:rPr>
          <w:sz w:val="28"/>
          <w:szCs w:val="28"/>
        </w:rPr>
      </w:pPr>
    </w:p>
    <w:p w14:paraId="5482DCEE" w14:textId="1FDC5D58" w:rsidR="007C24F3" w:rsidRDefault="007C24F3" w:rsidP="007C24F3">
      <w:pPr>
        <w:rPr>
          <w:sz w:val="28"/>
          <w:szCs w:val="28"/>
        </w:rPr>
      </w:pPr>
      <w:r w:rsidRPr="007C24F3">
        <w:rPr>
          <w:b/>
          <w:bCs/>
          <w:sz w:val="28"/>
          <w:szCs w:val="28"/>
        </w:rPr>
        <w:t>2. Open-Closed Principle (OCP)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24F3" w14:paraId="5BF138F5" w14:textId="77777777" w:rsidTr="001D605A">
        <w:tc>
          <w:tcPr>
            <w:tcW w:w="4675" w:type="dxa"/>
            <w:shd w:val="clear" w:color="auto" w:fill="7F7F7F" w:themeFill="text1" w:themeFillTint="80"/>
          </w:tcPr>
          <w:p w14:paraId="1BEE206C" w14:textId="77777777" w:rsidR="007C24F3" w:rsidRDefault="007C24F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Related Module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14:paraId="195E9119" w14:textId="77777777" w:rsidR="007C24F3" w:rsidRDefault="007C24F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</w:t>
            </w:r>
          </w:p>
        </w:tc>
      </w:tr>
      <w:tr w:rsidR="007C24F3" w14:paraId="1775C622" w14:textId="77777777" w:rsidTr="001D605A">
        <w:tc>
          <w:tcPr>
            <w:tcW w:w="4675" w:type="dxa"/>
          </w:tcPr>
          <w:p w14:paraId="5022F6C7" w14:textId="17AB6466" w:rsidR="007C24F3" w:rsidRDefault="00E64203" w:rsidP="001D605A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>Payment Method Implementation</w:t>
            </w:r>
          </w:p>
        </w:tc>
        <w:tc>
          <w:tcPr>
            <w:tcW w:w="4675" w:type="dxa"/>
          </w:tcPr>
          <w:p w14:paraId="68622015" w14:textId="56A04162" w:rsidR="007C24F3" w:rsidRDefault="007C24F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7C24F3">
              <w:rPr>
                <w:sz w:val="28"/>
                <w:szCs w:val="28"/>
              </w:rPr>
              <w:t>dding a new payment method in the future should be possible by just adding a new class that implements the IPayment interface, without modifying the existing VnPay class.</w:t>
            </w:r>
          </w:p>
        </w:tc>
      </w:tr>
    </w:tbl>
    <w:p w14:paraId="2DEA98A1" w14:textId="77777777" w:rsidR="007C24F3" w:rsidRPr="007C24F3" w:rsidRDefault="007C24F3" w:rsidP="007C24F3">
      <w:pPr>
        <w:rPr>
          <w:sz w:val="28"/>
          <w:szCs w:val="28"/>
        </w:rPr>
      </w:pPr>
    </w:p>
    <w:p w14:paraId="3B626762" w14:textId="581EABCC" w:rsidR="007C24F3" w:rsidRDefault="007C24F3" w:rsidP="007C24F3">
      <w:pPr>
        <w:rPr>
          <w:sz w:val="28"/>
          <w:szCs w:val="28"/>
        </w:rPr>
      </w:pPr>
      <w:r w:rsidRPr="007C24F3">
        <w:rPr>
          <w:b/>
          <w:bCs/>
          <w:sz w:val="28"/>
          <w:szCs w:val="28"/>
        </w:rPr>
        <w:t>3. Liskov Substitution Principle (LSP)</w:t>
      </w:r>
      <w:r w:rsidRPr="007C24F3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203" w14:paraId="44770746" w14:textId="77777777" w:rsidTr="001D605A">
        <w:tc>
          <w:tcPr>
            <w:tcW w:w="4675" w:type="dxa"/>
            <w:shd w:val="clear" w:color="auto" w:fill="7F7F7F" w:themeFill="text1" w:themeFillTint="80"/>
          </w:tcPr>
          <w:p w14:paraId="2344445E" w14:textId="77777777" w:rsidR="00E64203" w:rsidRDefault="00E6420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Related Module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14:paraId="0CFF9801" w14:textId="77777777" w:rsidR="00E64203" w:rsidRDefault="00E6420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</w:t>
            </w:r>
          </w:p>
        </w:tc>
      </w:tr>
      <w:tr w:rsidR="00E64203" w14:paraId="299D6036" w14:textId="77777777" w:rsidTr="001D605A">
        <w:tc>
          <w:tcPr>
            <w:tcW w:w="4675" w:type="dxa"/>
          </w:tcPr>
          <w:p w14:paraId="255EE904" w14:textId="0563B348" w:rsidR="00E64203" w:rsidRDefault="00E64203" w:rsidP="001D605A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>Media Class Hierarchy</w:t>
            </w:r>
          </w:p>
        </w:tc>
        <w:tc>
          <w:tcPr>
            <w:tcW w:w="4675" w:type="dxa"/>
          </w:tcPr>
          <w:p w14:paraId="451DF719" w14:textId="17C861E9" w:rsidR="00E64203" w:rsidRDefault="00E64203" w:rsidP="001D60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Using any of the subclasses (Book, CdAndLp, Dvd) in place of Media should be possible </w:t>
            </w:r>
            <w:r w:rsidRPr="00E64203">
              <w:rPr>
                <w:sz w:val="28"/>
                <w:szCs w:val="28"/>
              </w:rPr>
              <w:t>without causing any issues.</w:t>
            </w:r>
          </w:p>
        </w:tc>
      </w:tr>
    </w:tbl>
    <w:p w14:paraId="75218DA7" w14:textId="77777777" w:rsidR="00E64203" w:rsidRPr="007C24F3" w:rsidRDefault="00E64203" w:rsidP="007C24F3">
      <w:pPr>
        <w:rPr>
          <w:sz w:val="28"/>
          <w:szCs w:val="28"/>
        </w:rPr>
      </w:pPr>
    </w:p>
    <w:p w14:paraId="4924FB09" w14:textId="25E58E05" w:rsidR="007C24F3" w:rsidRDefault="007C24F3" w:rsidP="007C24F3">
      <w:pPr>
        <w:rPr>
          <w:sz w:val="28"/>
          <w:szCs w:val="28"/>
        </w:rPr>
      </w:pPr>
      <w:r w:rsidRPr="007C24F3">
        <w:rPr>
          <w:b/>
          <w:bCs/>
          <w:sz w:val="28"/>
          <w:szCs w:val="28"/>
        </w:rPr>
        <w:t>4. Interface Segregation Principle (ISP)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203" w14:paraId="6E6A54EE" w14:textId="77777777" w:rsidTr="00E642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51152F0A" w14:textId="77777777" w:rsidR="00E64203" w:rsidRDefault="00E64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Related Module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4BA6967" w14:textId="77777777" w:rsidR="00E64203" w:rsidRDefault="00E64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</w:t>
            </w:r>
          </w:p>
        </w:tc>
      </w:tr>
      <w:tr w:rsidR="00E64203" w14:paraId="42090E5B" w14:textId="77777777" w:rsidTr="00E642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75D" w14:textId="1D0DFEBD" w:rsidR="00E64203" w:rsidRDefault="00E64203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>Interface Implementation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09A7" w14:textId="45869BEF" w:rsidR="00E64203" w:rsidRDefault="00E64203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 xml:space="preserve">If </w:t>
            </w:r>
            <w:r>
              <w:rPr>
                <w:sz w:val="28"/>
                <w:szCs w:val="28"/>
              </w:rPr>
              <w:t>a class</w:t>
            </w:r>
            <w:r w:rsidRPr="00E64203">
              <w:rPr>
                <w:sz w:val="28"/>
                <w:szCs w:val="28"/>
              </w:rPr>
              <w:t xml:space="preserve"> is forced to implement an interface but doesn’t use most of the methods provided by the interface, it would be better to split the interface into smaller, more specific interfaces.</w:t>
            </w:r>
          </w:p>
        </w:tc>
      </w:tr>
    </w:tbl>
    <w:p w14:paraId="58EC72C1" w14:textId="77777777" w:rsidR="00E64203" w:rsidRPr="007C24F3" w:rsidRDefault="00E64203" w:rsidP="007C24F3">
      <w:pPr>
        <w:rPr>
          <w:sz w:val="28"/>
          <w:szCs w:val="28"/>
        </w:rPr>
      </w:pPr>
    </w:p>
    <w:p w14:paraId="2ABF5958" w14:textId="0C07825B" w:rsidR="007C24F3" w:rsidRDefault="007C24F3" w:rsidP="007C24F3">
      <w:pPr>
        <w:rPr>
          <w:sz w:val="28"/>
          <w:szCs w:val="28"/>
        </w:rPr>
      </w:pPr>
      <w:r w:rsidRPr="007C24F3">
        <w:rPr>
          <w:b/>
          <w:bCs/>
          <w:sz w:val="28"/>
          <w:szCs w:val="28"/>
        </w:rPr>
        <w:t>5. Dependency Inversion Principle (DIP)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203" w14:paraId="20C6914C" w14:textId="77777777" w:rsidTr="00E642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29FEC591" w14:textId="77777777" w:rsidR="00E64203" w:rsidRDefault="00E64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Related Module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2DEE0F1D" w14:textId="77777777" w:rsidR="00E64203" w:rsidRDefault="00E64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</w:t>
            </w:r>
          </w:p>
        </w:tc>
      </w:tr>
      <w:tr w:rsidR="00E64203" w14:paraId="057D8036" w14:textId="77777777" w:rsidTr="00E642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834" w14:textId="37E13595" w:rsidR="00E64203" w:rsidRDefault="00E64203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>CartService</w:t>
            </w:r>
            <w:r>
              <w:rPr>
                <w:sz w:val="28"/>
                <w:szCs w:val="28"/>
              </w:rPr>
              <w:t>.java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6A8E" w14:textId="3ABF831F" w:rsidR="00E64203" w:rsidRDefault="00E64203">
            <w:pPr>
              <w:jc w:val="center"/>
              <w:rPr>
                <w:sz w:val="28"/>
                <w:szCs w:val="28"/>
              </w:rPr>
            </w:pPr>
            <w:r w:rsidRPr="00E64203">
              <w:rPr>
                <w:sz w:val="28"/>
                <w:szCs w:val="28"/>
              </w:rPr>
              <w:t xml:space="preserve">The CartService class should not depend directly on Cart. Instead, both should </w:t>
            </w:r>
            <w:r>
              <w:rPr>
                <w:sz w:val="28"/>
                <w:szCs w:val="28"/>
              </w:rPr>
              <w:t>rely</w:t>
            </w:r>
            <w:r w:rsidRPr="00E64203">
              <w:rPr>
                <w:sz w:val="28"/>
                <w:szCs w:val="28"/>
              </w:rPr>
              <w:t xml:space="preserve"> on an abstraction (an interface).</w:t>
            </w:r>
          </w:p>
        </w:tc>
      </w:tr>
    </w:tbl>
    <w:p w14:paraId="4CFCD409" w14:textId="77777777" w:rsidR="00E64203" w:rsidRPr="007C24F3" w:rsidRDefault="00E64203" w:rsidP="007C24F3">
      <w:pPr>
        <w:rPr>
          <w:sz w:val="28"/>
          <w:szCs w:val="28"/>
        </w:rPr>
      </w:pPr>
    </w:p>
    <w:p w14:paraId="10A4A16B" w14:textId="77777777" w:rsidR="007C24F3" w:rsidRPr="007C24F3" w:rsidRDefault="007C24F3" w:rsidP="007C24F3">
      <w:pPr>
        <w:rPr>
          <w:sz w:val="28"/>
          <w:szCs w:val="28"/>
        </w:rPr>
      </w:pPr>
    </w:p>
    <w:sectPr w:rsidR="007C24F3" w:rsidRPr="007C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F3"/>
    <w:rsid w:val="00304810"/>
    <w:rsid w:val="006A5559"/>
    <w:rsid w:val="007C24F3"/>
    <w:rsid w:val="00892C4B"/>
    <w:rsid w:val="00C17A3B"/>
    <w:rsid w:val="00E64203"/>
    <w:rsid w:val="00E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9CC1F"/>
  <w15:chartTrackingRefBased/>
  <w15:docId w15:val="{CEC98AAD-CD4D-4649-B45A-73A57454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03"/>
  </w:style>
  <w:style w:type="paragraph" w:styleId="Heading1">
    <w:name w:val="heading 1"/>
    <w:basedOn w:val="Normal"/>
    <w:next w:val="Normal"/>
    <w:link w:val="Heading1Char"/>
    <w:uiPriority w:val="9"/>
    <w:qFormat/>
    <w:rsid w:val="007C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1046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Đặng</dc:creator>
  <cp:keywords/>
  <dc:description/>
  <cp:lastModifiedBy>Huy Đặng</cp:lastModifiedBy>
  <cp:revision>1</cp:revision>
  <dcterms:created xsi:type="dcterms:W3CDTF">2024-06-01T13:44:00Z</dcterms:created>
  <dcterms:modified xsi:type="dcterms:W3CDTF">2024-06-01T14:00:00Z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a1a44926-2c48-42d7-9285-a29b9b4e0120</vt:lpwstr>
  </property>
</Properties>
</file>