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Briefings de Negocio – Capacitación Arquitecto de Soluciones (Telco)</w:t>
      </w:r>
    </w:p>
    <w:p>
      <w:r>
        <w:t>Este documento contiene los briefings de negocio para cada práctica del curso.</w:t>
        <w:br/>
        <w:br/>
      </w:r>
    </w:p>
    <w:p>
      <w:pPr>
        <w:pStyle w:val="Heading2"/>
      </w:pPr>
      <w:r>
        <w:t>1. DRP Automático</w:t>
      </w:r>
    </w:p>
    <w:p>
      <w:r>
        <w:t>Contexto, restricciones, objetivos y entregables para diseñar un DRP automático en una empresa Telco.</w:t>
      </w:r>
    </w:p>
    <w:p>
      <w:pPr>
        <w:pStyle w:val="Heading2"/>
      </w:pPr>
      <w:r>
        <w:t>2. Event-Driven Architecture</w:t>
      </w:r>
    </w:p>
    <w:p>
      <w:r>
        <w:t>Diseño de arquitectura desacoplada basada en eventos.</w:t>
      </w:r>
    </w:p>
    <w:p>
      <w:pPr>
        <w:pStyle w:val="Heading2"/>
      </w:pPr>
      <w:r>
        <w:t>3. API Governance</w:t>
      </w:r>
    </w:p>
    <w:p>
      <w:r>
        <w:t>Gobierno pragmático de APIs en entornos multi-equipo.</w:t>
      </w:r>
    </w:p>
    <w:p>
      <w:pPr>
        <w:pStyle w:val="Heading2"/>
      </w:pPr>
      <w:r>
        <w:t>4. Observabilidad</w:t>
      </w:r>
    </w:p>
    <w:p>
      <w:r>
        <w:t>Observabilidad como parte integral de la arquitectura.</w:t>
      </w:r>
    </w:p>
    <w:p>
      <w:pPr>
        <w:pStyle w:val="Heading2"/>
      </w:pPr>
      <w:r>
        <w:t>5. FinOps</w:t>
      </w:r>
    </w:p>
    <w:p>
      <w:r>
        <w:t>Arquitectura orientada a costos.</w:t>
      </w:r>
    </w:p>
    <w:p>
      <w:pPr>
        <w:pStyle w:val="Heading2"/>
      </w:pPr>
      <w:r>
        <w:t>6. Multi-región / Multi-país</w:t>
      </w:r>
    </w:p>
    <w:p>
      <w:r>
        <w:t>Expansión regional con cumplimiento regulatorio.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