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Capstone Final – Arquitecto de Soluciones Telco</w:t>
      </w:r>
    </w:p>
    <w:p>
      <w:r>
        <w:t>Ejercicio integrador final del curso.</w:t>
        <w:br/>
        <w:br/>
      </w:r>
    </w:p>
    <w:p>
      <w:pPr>
        <w:pStyle w:val="Heading2"/>
      </w:pPr>
      <w:r>
        <w:t>Contexto</w:t>
      </w:r>
    </w:p>
    <w:p>
      <w:r>
        <w:t>Diseñar una plataforma Telco regional basada en microservicios y TOGAF.</w:t>
      </w:r>
    </w:p>
    <w:p>
      <w:pPr>
        <w:pStyle w:val="Heading2"/>
      </w:pPr>
      <w:r>
        <w:t>Entregables</w:t>
      </w:r>
    </w:p>
    <w:p>
      <w:r>
        <w:t>Arquitectura, gobierno, roadmap y defensa ejecutiva.</w:t>
      </w:r>
    </w:p>
    <w:p>
      <w:pPr>
        <w:pStyle w:val="Heading2"/>
      </w:pPr>
      <w:r>
        <w:t>Evaluación</w:t>
      </w:r>
    </w:p>
    <w:p>
      <w:r>
        <w:t>Rúbrica basada en alineación a negocio, decisiones y uso de TOGAF.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