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Handouts para Alumnos – Arquitecto de Soluciones</w:t>
      </w:r>
    </w:p>
    <w:p>
      <w:r>
        <w:t>Material de apoyo para los participantes del curso.</w:t>
        <w:br/>
        <w:br/>
      </w:r>
    </w:p>
    <w:p>
      <w:pPr>
        <w:pStyle w:val="Heading2"/>
      </w:pPr>
      <w:r>
        <w:t>Rol del Arquitecto de Soluciones</w:t>
      </w:r>
    </w:p>
    <w:p>
      <w:r>
        <w:t>Responsabilidades, límites y relación con negocio.</w:t>
      </w:r>
    </w:p>
    <w:p>
      <w:pPr>
        <w:pStyle w:val="Heading2"/>
      </w:pPr>
      <w:r>
        <w:t>Introducción a TOGAF</w:t>
      </w:r>
    </w:p>
    <w:p>
      <w:r>
        <w:t>TOGAF aplicado, fases ADM relevantes.</w:t>
      </w:r>
    </w:p>
    <w:p>
      <w:pPr>
        <w:pStyle w:val="Heading2"/>
      </w:pPr>
      <w:r>
        <w:t>C4 y ADR</w:t>
      </w:r>
    </w:p>
    <w:p>
      <w:r>
        <w:t>Uso práctico de diagramas y registros de decisiones.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