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DADD" w14:textId="2E269637" w:rsidR="0074504B" w:rsidRPr="0074504B" w:rsidRDefault="0074504B" w:rsidP="0074504B">
      <w:pPr>
        <w:pStyle w:val="Heading1"/>
        <w:rPr>
          <w:rStyle w:val="HTMLCode"/>
          <w:rFonts w:ascii="Times New Roman" w:eastAsiaTheme="majorEastAsia" w:hAnsi="Times New Roman" w:cstheme="majorBidi"/>
          <w:sz w:val="28"/>
          <w:szCs w:val="40"/>
        </w:rPr>
      </w:pPr>
      <w:r w:rsidRPr="0074504B">
        <w:rPr>
          <w:rStyle w:val="HTMLCode"/>
          <w:rFonts w:ascii="Times New Roman" w:eastAsiaTheme="majorEastAsia" w:hAnsi="Times New Roman" w:cstheme="majorBidi"/>
          <w:sz w:val="28"/>
          <w:szCs w:val="40"/>
        </w:rPr>
        <w:t>1 ВСТУП</w:t>
      </w:r>
    </w:p>
    <w:p w14:paraId="3F544BD3" w14:textId="77777777" w:rsidR="0074504B" w:rsidRDefault="0074504B" w:rsidP="0074504B">
      <w:pPr>
        <w:jc w:val="center"/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</w:pPr>
    </w:p>
    <w:p w14:paraId="6AB3345E" w14:textId="7FE09539" w:rsidR="0074504B" w:rsidRDefault="0074504B" w:rsidP="0074504B">
      <w:pPr>
        <w:jc w:val="both"/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</w:pPr>
      <w:r w:rsidRPr="0074504B"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  <w:t>Звичайний текст перед формулою.</w:t>
      </w:r>
    </w:p>
    <w:p w14:paraId="11B45097" w14:textId="77777777" w:rsidR="0074504B" w:rsidRPr="0074504B" w:rsidRDefault="0074504B" w:rsidP="0074504B">
      <w:pPr>
        <w:jc w:val="both"/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</w:pPr>
    </w:p>
    <w:p w14:paraId="383F6252" w14:textId="2B7457E6" w:rsidR="0074504B" w:rsidRPr="0074504B" w:rsidRDefault="0074504B" w:rsidP="0074504B">
      <w:pPr>
        <w:jc w:val="center"/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</w:pPr>
      <m:oMathPara>
        <m:oMath>
          <m:eqArr>
            <m:eqArrPr>
              <m:maxDist m:val="1"/>
              <m:ctrlPr>
                <w:rPr>
                  <w:rStyle w:val="HTMLCode"/>
                  <w:rFonts w:ascii="Cambria Math" w:eastAsiaTheme="minorHAnsi" w:hAnsi="Cambria Math"/>
                  <w:color w:val="000000"/>
                  <w:sz w:val="28"/>
                  <w:szCs w:val="28"/>
                </w:rPr>
              </m:ctrlPr>
            </m:eqArrPr>
            <m:e>
              <m:r>
                <w:rPr>
                  <w:rStyle w:val="HTMLCode"/>
                  <w:rFonts w:ascii="Cambria Math" w:eastAsiaTheme="minorHAnsi" w:hAnsi="Cambria Math"/>
                  <w:color w:val="000000"/>
                  <w:sz w:val="28"/>
                  <w:szCs w:val="28"/>
                </w:rPr>
                <m:t xml:space="preserve">E = </m:t>
              </m:r>
              <m:sSup>
                <m:sSupPr>
                  <m:ctrlPr>
                    <w:rPr>
                      <w:rStyle w:val="HTMLCode"/>
                      <w:rFonts w:ascii="Cambria Math" w:eastAsiaTheme="minorHAnsi" w:hAnsi="Cambria Math"/>
                      <w:i/>
                      <w:iCs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HTMLCode"/>
                      <w:rFonts w:ascii="Cambria Math" w:eastAsiaTheme="minorHAnsi" w:hAnsi="Cambria Math"/>
                      <w:color w:val="000000"/>
                      <w:sz w:val="28"/>
                      <w:szCs w:val="28"/>
                    </w:rPr>
                    <m:t>mc</m:t>
                  </m:r>
                </m:e>
                <m:sup>
                  <m:r>
                    <w:rPr>
                      <w:rStyle w:val="HTMLCode"/>
                      <w:rFonts w:ascii="Cambria Math" w:eastAsiaTheme="minorHAnsi" w:hAnsi="Cambria Math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HTMLCode"/>
                  <w:rFonts w:ascii="Cambria Math" w:eastAsiaTheme="minorHAnsi" w:hAnsi="Cambria Math"/>
                  <w:color w:val="000000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Style w:val="HTMLCode"/>
                      <w:rFonts w:ascii="Cambria Math" w:eastAsiaTheme="minorHAnsi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Code"/>
                      <w:rFonts w:ascii="Cambria Math" w:eastAsiaTheme="minorHAnsi" w:hAnsi="Cambria Math"/>
                      <w:color w:val="000000"/>
                      <w:sz w:val="28"/>
                      <w:szCs w:val="28"/>
                    </w:rPr>
                    <m:t>1.1</m:t>
                  </m:r>
                </m:e>
              </m:d>
              <m:ctrlPr>
                <w:rPr>
                  <w:rStyle w:val="HTMLCode"/>
                  <w:rFonts w:ascii="Cambria Math" w:eastAsiaTheme="minorHAnsi" w:hAnsi="Cambria Math"/>
                  <w:i/>
                  <w:color w:val="000000"/>
                  <w:sz w:val="28"/>
                  <w:szCs w:val="28"/>
                </w:rPr>
              </m:ctrlPr>
            </m:e>
          </m:eqArr>
        </m:oMath>
      </m:oMathPara>
    </w:p>
    <w:p w14:paraId="69B991AE" w14:textId="70B8B2FE" w:rsidR="0074504B" w:rsidRDefault="0074504B" w:rsidP="0074504B">
      <w:pPr>
        <w:jc w:val="both"/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</w:pPr>
      <w:r w:rsidRPr="0074504B">
        <w:rPr>
          <w:rStyle w:val="HTMLCode"/>
          <w:rFonts w:asciiTheme="minorHAnsi" w:eastAsiaTheme="minorEastAsia" w:hAnsiTheme="minorHAnsi" w:cstheme="minorBidi"/>
          <w:color w:val="000000"/>
          <w:sz w:val="28"/>
          <w:szCs w:val="28"/>
          <w:lang w:val="uk-UA"/>
        </w:rPr>
        <w:t>де E — енергія;</w:t>
      </w:r>
    </w:p>
    <w:p w14:paraId="438F72D1" w14:textId="5393FBF2" w:rsidR="0074504B" w:rsidRDefault="0074504B" w:rsidP="0074504B">
      <w:pPr>
        <w:jc w:val="both"/>
        <w:rPr>
          <w:rFonts w:eastAsiaTheme="minorEastAsia"/>
          <w:color w:val="000000"/>
          <w:sz w:val="20"/>
          <w:szCs w:val="20"/>
          <w:lang w:val="uk-UA"/>
        </w:rPr>
      </w:pPr>
      <w:r w:rsidRPr="0074504B">
        <w:rPr>
          <w:rFonts w:eastAsiaTheme="minorEastAsia"/>
          <w:color w:val="000000"/>
          <w:sz w:val="20"/>
          <w:szCs w:val="20"/>
          <w:lang w:val="uk-UA"/>
        </w:rPr>
        <w:t>m — маса;</w:t>
      </w:r>
    </w:p>
    <w:p w14:paraId="662EBDEB" w14:textId="16B212DE" w:rsidR="0074504B" w:rsidRDefault="0074504B" w:rsidP="0074504B">
      <w:pPr>
        <w:jc w:val="both"/>
        <w:rPr>
          <w:rFonts w:eastAsiaTheme="minorEastAsia"/>
          <w:color w:val="000000"/>
          <w:sz w:val="20"/>
          <w:szCs w:val="20"/>
          <w:lang w:val="uk-UA"/>
        </w:rPr>
      </w:pPr>
      <w:r w:rsidRPr="0074504B">
        <w:rPr>
          <w:rFonts w:eastAsiaTheme="minorEastAsia"/>
          <w:color w:val="000000"/>
          <w:sz w:val="20"/>
          <w:szCs w:val="20"/>
          <w:lang w:val="uk-UA"/>
        </w:rPr>
        <w:t>c — швидкість світла.</w:t>
      </w:r>
    </w:p>
    <w:p w14:paraId="457D22F1" w14:textId="77777777" w:rsidR="0074504B" w:rsidRDefault="0074504B" w:rsidP="0074504B">
      <w:pPr>
        <w:jc w:val="both"/>
        <w:rPr>
          <w:rFonts w:eastAsiaTheme="minorEastAsia"/>
          <w:color w:val="000000"/>
          <w:sz w:val="20"/>
          <w:szCs w:val="20"/>
          <w:lang w:val="uk-UA"/>
        </w:rPr>
      </w:pPr>
    </w:p>
    <w:p w14:paraId="12BABA8B" w14:textId="457FE1B8" w:rsidR="0074504B" w:rsidRPr="0074504B" w:rsidRDefault="0074504B" w:rsidP="0074504B">
      <w:pPr>
        <w:jc w:val="both"/>
        <w:rPr>
          <w:rFonts w:eastAsiaTheme="minorEastAsia"/>
          <w:color w:val="000000"/>
          <w:sz w:val="20"/>
          <w:szCs w:val="20"/>
          <w:lang w:val="en-US"/>
        </w:rPr>
      </w:pPr>
      <w:r w:rsidRPr="0074504B">
        <w:rPr>
          <w:rFonts w:eastAsiaTheme="minorEastAsia"/>
          <w:color w:val="000000"/>
          <w:sz w:val="20"/>
          <w:szCs w:val="20"/>
          <w:lang w:val="uk-UA"/>
        </w:rPr>
        <w:t>Звичайний текст після формули та пояснень.</w:t>
      </w:r>
    </w:p>
    <w:sectPr w:rsidR="0074504B" w:rsidRPr="00745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4B"/>
    <w:rsid w:val="0074504B"/>
    <w:rsid w:val="00E2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08EC4A"/>
  <w15:chartTrackingRefBased/>
  <w15:docId w15:val="{1FA8C922-C9BD-534F-A17A-B508634F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4B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4B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4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504B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74504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45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2026-07-15T14:46:00Z</dcterms:created>
  <dcterms:modified xsi:type="dcterms:W3CDTF">2026-07-15T14:51:00Z</dcterms:modified>
</cp:coreProperties>
</file>