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D94" w:rsidRPr="00677836" w:rsidRDefault="00FE64F0" w:rsidP="009D7D94">
      <w:pPr>
        <w:rPr>
          <w:b/>
        </w:rPr>
      </w:pPr>
      <w:r w:rsidRPr="00677836">
        <w:rPr>
          <w:rFonts w:hint="eastAsia"/>
          <w:b/>
        </w:rPr>
        <w:t>一、</w:t>
      </w:r>
      <w:r w:rsidR="00D20AE7" w:rsidRPr="00677836">
        <w:rPr>
          <w:rFonts w:hint="eastAsia"/>
          <w:b/>
        </w:rPr>
        <w:t>方法與模型</w:t>
      </w:r>
      <w:r w:rsidR="009D7D94" w:rsidRPr="00677836">
        <w:rPr>
          <w:rFonts w:hint="eastAsia"/>
          <w:b/>
        </w:rPr>
        <w:t>說明：</w:t>
      </w:r>
    </w:p>
    <w:p w:rsidR="00B04D72" w:rsidRDefault="00B04D72" w:rsidP="009D7D94"/>
    <w:p w:rsidR="00A322DC" w:rsidRDefault="00A322DC" w:rsidP="00A322DC">
      <w:r>
        <w:rPr>
          <w:rFonts w:hint="eastAsia"/>
        </w:rPr>
        <w:t xml:space="preserve">    </w:t>
      </w:r>
      <w:r>
        <w:rPr>
          <w:rFonts w:hint="eastAsia"/>
        </w:rPr>
        <w:t>本研究資料採用網路非隨機抽樣，並試圖在北中南東各地區分層抽樣，以期較好反應全台各區學生勞動與收支情形，而在過去資料付之闕如下，本研究雖然在方法上有所缺漏，</w:t>
      </w:r>
      <w:r w:rsidR="00471414">
        <w:rPr>
          <w:rFonts w:hint="eastAsia"/>
        </w:rPr>
        <w:t>公私立大學的分層比例未能接近現實，研究生問卷比例高於大學生，</w:t>
      </w:r>
      <w:r>
        <w:rPr>
          <w:rFonts w:hint="eastAsia"/>
        </w:rPr>
        <w:t>但</w:t>
      </w:r>
      <w:r w:rsidR="00471414">
        <w:rPr>
          <w:rFonts w:hint="eastAsia"/>
        </w:rPr>
        <w:t>由於在此之前並沒有全國的大學勞動調查，所以希望能藉這份研究</w:t>
      </w:r>
      <w:r>
        <w:rPr>
          <w:rFonts w:hint="eastAsia"/>
        </w:rPr>
        <w:t>，邁出重要一步</w:t>
      </w:r>
      <w:r w:rsidR="00471414">
        <w:rPr>
          <w:rFonts w:hint="eastAsia"/>
        </w:rPr>
        <w:t>；未來也希望後續研究能在母體分層加權份數、隨機抽樣上，有更好的處理</w:t>
      </w:r>
      <w:r>
        <w:rPr>
          <w:rFonts w:hint="eastAsia"/>
        </w:rPr>
        <w:t>。</w:t>
      </w:r>
    </w:p>
    <w:p w:rsidR="00A322DC" w:rsidRDefault="00A322DC" w:rsidP="00A322DC">
      <w:r>
        <w:rPr>
          <w:rFonts w:hint="eastAsia"/>
        </w:rPr>
        <w:t xml:space="preserve">    </w:t>
      </w:r>
      <w:r>
        <w:rPr>
          <w:rFonts w:hint="eastAsia"/>
        </w:rPr>
        <w:t>而本研究認為</w:t>
      </w:r>
      <w:r>
        <w:rPr>
          <w:rFonts w:hint="eastAsia"/>
        </w:rPr>
        <w:t>4</w:t>
      </w:r>
      <w:r>
        <w:rPr>
          <w:rFonts w:hint="eastAsia"/>
        </w:rPr>
        <w:t>個重要原因</w:t>
      </w:r>
      <w:r w:rsidR="00471414">
        <w:rPr>
          <w:rFonts w:hint="eastAsia"/>
        </w:rPr>
        <w:t>：大學公私立與否、地區、研究生或大學生、勞動條件</w:t>
      </w:r>
      <w:r>
        <w:rPr>
          <w:rFonts w:hint="eastAsia"/>
        </w:rPr>
        <w:t>，左右了收入、勞</w:t>
      </w:r>
      <w:r w:rsidR="00471414">
        <w:rPr>
          <w:rFonts w:hint="eastAsia"/>
        </w:rPr>
        <w:t>動情形。</w:t>
      </w:r>
    </w:p>
    <w:p w:rsidR="0080538D" w:rsidRDefault="0080538D" w:rsidP="00A322DC">
      <w:bookmarkStart w:id="0" w:name="_GoBack"/>
      <w:bookmarkEnd w:id="0"/>
      <w:r>
        <w:rPr>
          <w:rFonts w:hint="eastAsia"/>
        </w:rPr>
        <w:t xml:space="preserve">    </w:t>
      </w:r>
      <w:r>
        <w:rPr>
          <w:rFonts w:hint="eastAsia"/>
        </w:rPr>
        <w:t>考量公立大學和私立大學的學雜費巨大落差，以及研究生需要多負擔學分費的情形，很明顯的這兩點都反映於模型一上。</w:t>
      </w:r>
    </w:p>
    <w:p w:rsidR="00FA3482" w:rsidRPr="009C0BF3" w:rsidRDefault="0080538D" w:rsidP="0080538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而在原先考量中，收入與支出可能存在內生性問題，究竟是為了開銷而努力賺錢工作，還是因為收入提高了才增加消費，兩者本有難以拆解的因果，所以本文使用總工作時數、總工作份數，作為總收入的</w:t>
      </w:r>
      <w:proofErr w:type="gramStart"/>
      <w:r>
        <w:rPr>
          <w:rFonts w:hint="eastAsia"/>
        </w:rPr>
        <w:t>工具變量</w:t>
      </w:r>
      <w:proofErr w:type="gramEnd"/>
      <w:r>
        <w:rPr>
          <w:rFonts w:hint="eastAsia"/>
        </w:rPr>
        <w:t>，打斷當</w:t>
      </w:r>
      <w:r w:rsidR="009C0BF3">
        <w:rPr>
          <w:rFonts w:hint="eastAsia"/>
        </w:rPr>
        <w:t>中內生關係。然而結果反映收入和支出並沒有顯著的關聯，因此在模型二之後</w:t>
      </w:r>
      <w:r>
        <w:rPr>
          <w:rFonts w:hint="eastAsia"/>
        </w:rPr>
        <w:t>分析上，不使用</w:t>
      </w:r>
      <w:proofErr w:type="gramStart"/>
      <w:r>
        <w:rPr>
          <w:rFonts w:hint="eastAsia"/>
        </w:rPr>
        <w:t>工具變量</w:t>
      </w:r>
      <w:proofErr w:type="gramEnd"/>
      <w:r>
        <w:rPr>
          <w:rFonts w:hint="eastAsia"/>
        </w:rPr>
        <w:t>。</w:t>
      </w:r>
    </w:p>
    <w:p w:rsidR="00FA3482" w:rsidRDefault="00FA3482" w:rsidP="0080538D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C0BF3" w:rsidRDefault="009C0BF3" w:rsidP="0080538D">
      <w:r>
        <w:rPr>
          <w:rFonts w:hint="eastAsia"/>
        </w:rPr>
        <w:t>圖一</w:t>
      </w:r>
      <w:r>
        <w:tab/>
      </w:r>
      <w:r>
        <w:rPr>
          <w:rFonts w:hint="eastAsia"/>
        </w:rPr>
        <w:t>二階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歸模型示意圖</w:t>
      </w:r>
    </w:p>
    <w:p w:rsidR="009C0BF3" w:rsidRDefault="009C0BF3" w:rsidP="0080538D">
      <w:pPr>
        <w:rPr>
          <w:rFonts w:hint="eastAsia"/>
        </w:rPr>
      </w:pPr>
    </w:p>
    <w:p w:rsidR="00FA3482" w:rsidRDefault="00FA3482" w:rsidP="0080538D"/>
    <w:p w:rsidR="00FA3482" w:rsidRDefault="00FA3482" w:rsidP="0080538D"/>
    <w:p w:rsidR="00FA3482" w:rsidRDefault="00FA3482" w:rsidP="0080538D"/>
    <w:p w:rsidR="00FA3482" w:rsidRDefault="00FA3482" w:rsidP="0080538D"/>
    <w:p w:rsidR="00FA3482" w:rsidRDefault="00FA3482" w:rsidP="0080538D">
      <w:pPr>
        <w:rPr>
          <w:rFonts w:hint="eastAsia"/>
        </w:rPr>
      </w:pPr>
    </w:p>
    <w:p w:rsidR="006F2F02" w:rsidRPr="00677836" w:rsidRDefault="00CE3E76" w:rsidP="0080538D">
      <w:pPr>
        <w:rPr>
          <w:b/>
        </w:rPr>
      </w:pPr>
      <w:r w:rsidRPr="00677836">
        <w:rPr>
          <w:rFonts w:hint="eastAsia"/>
          <w:b/>
        </w:rPr>
        <w:t>二、</w:t>
      </w:r>
      <w:r w:rsidR="00D20AE7" w:rsidRPr="00677836">
        <w:rPr>
          <w:rFonts w:hint="eastAsia"/>
          <w:b/>
        </w:rPr>
        <w:t>模型結果</w:t>
      </w:r>
      <w:r w:rsidR="006F2F02" w:rsidRPr="00677836">
        <w:rPr>
          <w:rFonts w:hint="eastAsia"/>
          <w:b/>
        </w:rPr>
        <w:t>：</w:t>
      </w:r>
    </w:p>
    <w:p w:rsidR="00DD3C52" w:rsidRDefault="00DD3C52" w:rsidP="0080538D"/>
    <w:p w:rsidR="00DD3C52" w:rsidRDefault="007D31DC" w:rsidP="0080538D">
      <w:r>
        <w:rPr>
          <w:rFonts w:hint="eastAsia"/>
        </w:rPr>
        <w:t>依據表一，</w:t>
      </w:r>
      <w:r w:rsidR="00DD3C52">
        <w:rPr>
          <w:rFonts w:hint="eastAsia"/>
        </w:rPr>
        <w:t>在加入學雜費支出的模型上，我們可以發現影響總支出最顯著的差異就是出在學雜費上，公私立大學的學雜費落差顯著的影響受調查同學每月的開支，而研究生的開支多過於大學生，這與研究生得多付學分費有關。</w:t>
      </w:r>
    </w:p>
    <w:p w:rsidR="00DD3C52" w:rsidRDefault="00DD3C52" w:rsidP="0080538D">
      <w:pPr>
        <w:rPr>
          <w:rFonts w:hint="eastAsia"/>
        </w:rPr>
      </w:pPr>
    </w:p>
    <w:p w:rsidR="0054798F" w:rsidRDefault="00DD3C52" w:rsidP="0080538D">
      <w:pPr>
        <w:rPr>
          <w:rFonts w:hint="eastAsia"/>
        </w:rPr>
      </w:pPr>
      <w:r>
        <w:rPr>
          <w:rFonts w:hint="eastAsia"/>
        </w:rPr>
        <w:t>而在是否有工作低於基本工資的狀況上，我們則發現國立大學明顯的待遇較好，鮮少有工作低於基本工資，但這也反映了相較國立大學，私校在工讀待遇上的窘境，可以這麼說</w:t>
      </w:r>
      <w:r w:rsidR="00261823">
        <w:rPr>
          <w:rFonts w:hint="eastAsia"/>
        </w:rPr>
        <w:t>，</w:t>
      </w:r>
      <w:r>
        <w:rPr>
          <w:rFonts w:hint="eastAsia"/>
        </w:rPr>
        <w:t>如</w:t>
      </w:r>
      <w:r w:rsidR="0054798F">
        <w:rPr>
          <w:rFonts w:hint="eastAsia"/>
        </w:rPr>
        <w:t>果有在薪資上剝削兼任助理、工讀生，私立學校的機會遠大於公立學校。</w:t>
      </w:r>
    </w:p>
    <w:p w:rsidR="00DD3C52" w:rsidRDefault="00DD3C52" w:rsidP="0080538D"/>
    <w:p w:rsidR="00DD3C52" w:rsidRPr="006F2F02" w:rsidRDefault="00261823" w:rsidP="0080538D">
      <w:pPr>
        <w:rPr>
          <w:rFonts w:hint="eastAsia"/>
        </w:rPr>
      </w:pPr>
      <w:r>
        <w:rPr>
          <w:rFonts w:hint="eastAsia"/>
        </w:rPr>
        <w:t>在收入模型上，地區因素大於學校公私立的影響，除了北部之外，事實上各地區和高的工讀收入呈現負相關，</w:t>
      </w:r>
      <w:r w:rsidR="00FF272E">
        <w:rPr>
          <w:rFonts w:hint="eastAsia"/>
        </w:rPr>
        <w:t>展現了教育經濟資源高度集中北部的不均</w:t>
      </w:r>
      <w:r>
        <w:rPr>
          <w:rFonts w:hint="eastAsia"/>
        </w:rPr>
        <w:t>；而本模型也清晰的點出，願意給同學好的工作待遇，如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健保、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雇契約的工作，收入也相當不錯；反之在勞動條件上非常糟糕的，只有獎助生、臨時工、研究計畫補助的同學，往往不會有太好的經濟來源。</w:t>
      </w:r>
    </w:p>
    <w:p w:rsidR="0080538D" w:rsidRPr="00DD3C52" w:rsidRDefault="0080538D" w:rsidP="00A322DC"/>
    <w:p w:rsidR="009D7D94" w:rsidRDefault="007D31DC" w:rsidP="009D7D94">
      <w:r>
        <w:rPr>
          <w:rFonts w:hint="eastAsia"/>
        </w:rPr>
        <w:t>表二</w:t>
      </w:r>
      <w:r w:rsidR="00FF272E">
        <w:rPr>
          <w:rFonts w:hint="eastAsia"/>
        </w:rPr>
        <w:t>模型四探討校外有簽勞動契約的狀況，我們發現較高的收入和校外店家願意簽</w:t>
      </w:r>
      <w:proofErr w:type="gramStart"/>
      <w:r w:rsidR="00FF272E">
        <w:rPr>
          <w:rFonts w:hint="eastAsia"/>
        </w:rPr>
        <w:t>勞</w:t>
      </w:r>
      <w:proofErr w:type="gramEnd"/>
      <w:r w:rsidR="00FF272E">
        <w:rPr>
          <w:rFonts w:hint="eastAsia"/>
        </w:rPr>
        <w:t>雇契約的</w:t>
      </w:r>
      <w:r w:rsidR="00D20AE7">
        <w:rPr>
          <w:rFonts w:hint="eastAsia"/>
        </w:rPr>
        <w:t>情形，有互為因果的關係；相較於一些傳統上</w:t>
      </w:r>
      <w:proofErr w:type="gramStart"/>
      <w:r w:rsidR="00D20AE7">
        <w:rPr>
          <w:rFonts w:hint="eastAsia"/>
        </w:rPr>
        <w:t>不</w:t>
      </w:r>
      <w:proofErr w:type="gramEnd"/>
      <w:r w:rsidR="00D20AE7">
        <w:rPr>
          <w:rFonts w:hint="eastAsia"/>
        </w:rPr>
        <w:t>認知為勞工的家教、臨時工讀而言，本研究可以指出</w:t>
      </w:r>
      <w:r w:rsidR="00FF272E">
        <w:rPr>
          <w:rFonts w:hint="eastAsia"/>
        </w:rPr>
        <w:t>，一份有穩定、合法保障的校外工讀，其實也意味著更好的待遇。</w:t>
      </w:r>
    </w:p>
    <w:p w:rsidR="00FF272E" w:rsidRDefault="00FF272E" w:rsidP="009D7D94"/>
    <w:p w:rsidR="000F6D8E" w:rsidRDefault="000F6D8E" w:rsidP="009D7D94">
      <w:pPr>
        <w:rPr>
          <w:rFonts w:hint="eastAsia"/>
        </w:rPr>
      </w:pPr>
      <w:r>
        <w:rPr>
          <w:rFonts w:hint="eastAsia"/>
        </w:rPr>
        <w:t>模型五討論校內</w:t>
      </w:r>
      <w:proofErr w:type="gramStart"/>
      <w:r>
        <w:rPr>
          <w:rFonts w:hint="eastAsia"/>
        </w:rPr>
        <w:t>勞僱</w:t>
      </w:r>
      <w:proofErr w:type="gramEnd"/>
      <w:r>
        <w:rPr>
          <w:rFonts w:hint="eastAsia"/>
        </w:rPr>
        <w:t>型契約的份數，我們好奇的是什麼情況下，大學行政處室、教授會願意提供</w:t>
      </w:r>
      <w:proofErr w:type="gramStart"/>
      <w:r>
        <w:rPr>
          <w:rFonts w:hint="eastAsia"/>
        </w:rPr>
        <w:t>勞僱</w:t>
      </w:r>
      <w:proofErr w:type="gramEnd"/>
      <w:r>
        <w:rPr>
          <w:rFonts w:hint="eastAsia"/>
        </w:rPr>
        <w:t>契約，而具體而言，我們發現絕大多數學校都沒有積極提供</w:t>
      </w:r>
      <w:proofErr w:type="gramStart"/>
      <w:r>
        <w:rPr>
          <w:rFonts w:hint="eastAsia"/>
        </w:rPr>
        <w:t>勞僱</w:t>
      </w:r>
      <w:proofErr w:type="gramEnd"/>
      <w:r>
        <w:rPr>
          <w:rFonts w:hint="eastAsia"/>
        </w:rPr>
        <w:t>契約的誘因，而薪水遲發的</w:t>
      </w:r>
      <w:r w:rsidR="00D20AE7">
        <w:rPr>
          <w:rFonts w:hint="eastAsia"/>
        </w:rPr>
        <w:t>違法狀況</w:t>
      </w:r>
      <w:r>
        <w:rPr>
          <w:rFonts w:hint="eastAsia"/>
        </w:rPr>
        <w:t>，</w:t>
      </w:r>
      <w:r w:rsidR="00D20AE7">
        <w:rPr>
          <w:rFonts w:hint="eastAsia"/>
        </w:rPr>
        <w:t>也伴隨著</w:t>
      </w:r>
      <w:r>
        <w:rPr>
          <w:rFonts w:hint="eastAsia"/>
        </w:rPr>
        <w:t>非</w:t>
      </w:r>
      <w:proofErr w:type="gramStart"/>
      <w:r w:rsidR="00105B79">
        <w:rPr>
          <w:rFonts w:hint="eastAsia"/>
        </w:rPr>
        <w:t>勞僱</w:t>
      </w:r>
      <w:proofErr w:type="gramEnd"/>
      <w:r w:rsidR="00105B79">
        <w:rPr>
          <w:rFonts w:hint="eastAsia"/>
        </w:rPr>
        <w:t>型的</w:t>
      </w:r>
      <w:r>
        <w:rPr>
          <w:rFonts w:hint="eastAsia"/>
        </w:rPr>
        <w:t>契約</w:t>
      </w:r>
      <w:r w:rsidR="00105B79">
        <w:rPr>
          <w:rFonts w:hint="eastAsia"/>
        </w:rPr>
        <w:t>簽署。</w:t>
      </w:r>
    </w:p>
    <w:p w:rsidR="00105B79" w:rsidRPr="00D20AE7" w:rsidRDefault="00105B79" w:rsidP="009D7D94"/>
    <w:p w:rsidR="00D20AE7" w:rsidRDefault="00105B79" w:rsidP="009D7D94">
      <w:r>
        <w:rPr>
          <w:rFonts w:hint="eastAsia"/>
        </w:rPr>
        <w:t>模型六我們探討什麼樣的狀況下，大學工讀的薪水會遲發，</w:t>
      </w:r>
      <w:r w:rsidR="00CE3E76">
        <w:rPr>
          <w:rFonts w:hint="eastAsia"/>
        </w:rPr>
        <w:t>一如前面控制變項，</w:t>
      </w:r>
      <w:proofErr w:type="gramStart"/>
      <w:r w:rsidR="00CE3E76">
        <w:rPr>
          <w:rFonts w:hint="eastAsia"/>
        </w:rPr>
        <w:t>兼越多</w:t>
      </w:r>
      <w:proofErr w:type="gramEnd"/>
      <w:r w:rsidR="00CE3E76">
        <w:rPr>
          <w:rFonts w:hint="eastAsia"/>
        </w:rPr>
        <w:t>份工作收入越高，也有越大的機會</w:t>
      </w:r>
      <w:proofErr w:type="gramStart"/>
      <w:r w:rsidR="00CE3E76">
        <w:rPr>
          <w:rFonts w:hint="eastAsia"/>
        </w:rPr>
        <w:t>採</w:t>
      </w:r>
      <w:proofErr w:type="gramEnd"/>
      <w:r w:rsidR="00CE3E76">
        <w:rPr>
          <w:rFonts w:hint="eastAsia"/>
        </w:rPr>
        <w:t>到地雷，碰上遲發薪水的工作，然而</w:t>
      </w:r>
      <w:r w:rsidR="00D20AE7">
        <w:rPr>
          <w:rFonts w:hint="eastAsia"/>
        </w:rPr>
        <w:t>除了這個合理的控制外，</w:t>
      </w:r>
      <w:r w:rsidR="00CE3E76">
        <w:rPr>
          <w:rFonts w:hint="eastAsia"/>
        </w:rPr>
        <w:t>一份工作擁有合理完善的保障，尤其是校內的兼任助理工作，顯然更不容易碰上行政處室、教授欺負學生而遲發薪水的窘</w:t>
      </w:r>
      <w:r w:rsidR="00D20AE7">
        <w:rPr>
          <w:rFonts w:hint="eastAsia"/>
        </w:rPr>
        <w:t>境。</w:t>
      </w:r>
    </w:p>
    <w:p w:rsidR="00D20AE7" w:rsidRDefault="00D20AE7" w:rsidP="009D7D94"/>
    <w:p w:rsidR="00105B79" w:rsidRDefault="00CE3E76" w:rsidP="009D7D94">
      <w:r>
        <w:rPr>
          <w:rFonts w:hint="eastAsia"/>
        </w:rPr>
        <w:t>這也說明了爭取一份有合理工作保障的兼任助理工作，對於在大學校內工讀的同學有多麼重要，在教授、行政處室有著不能違反勞基法的保障下，對於同學的待遇自然給得更合情合理，且顯著的少有積欠薪水的狀況發生。</w:t>
      </w:r>
    </w:p>
    <w:p w:rsidR="00CE3E76" w:rsidRDefault="00CE3E76" w:rsidP="009D7D94"/>
    <w:p w:rsidR="009D7D94" w:rsidRPr="00D20AE7" w:rsidRDefault="00CE3E76" w:rsidP="009D7D94">
      <w:pPr>
        <w:rPr>
          <w:rFonts w:hint="eastAsia"/>
        </w:rPr>
      </w:pPr>
      <w:r>
        <w:rPr>
          <w:rFonts w:hint="eastAsia"/>
        </w:rPr>
        <w:t>總結而言，我們可以指出，爭取校內外符合勞基法的工作契約與保障，對於大學生與研究生的收入、薪資待遇、薪水按時發，都有重要的意義，也只有法律明文強制的規範，才能阻止大學和周邊店家，剝削工讀生；而除了勞動條件是我們的重要論證核心外，我們也發現</w:t>
      </w:r>
      <w:r w:rsidR="00D20AE7">
        <w:rPr>
          <w:rFonts w:hint="eastAsia"/>
        </w:rPr>
        <w:t>地區這一變項，背後隱含</w:t>
      </w:r>
      <w:r>
        <w:rPr>
          <w:rFonts w:hint="eastAsia"/>
        </w:rPr>
        <w:t>教育資源與經濟的分配不均，會影響著勞動條件的</w:t>
      </w:r>
      <w:r w:rsidR="00D20AE7">
        <w:rPr>
          <w:rFonts w:hint="eastAsia"/>
        </w:rPr>
        <w:t>合理程度：只有北部地區的店家和學校，能明確地給出高於基本工資的工讀生待遇。</w:t>
      </w:r>
    </w:p>
    <w:p w:rsidR="009D7D94" w:rsidRDefault="009D7D94" w:rsidP="009D7D94"/>
    <w:p w:rsidR="009D7D94" w:rsidRDefault="009D7D94" w:rsidP="009D7D94">
      <w:pPr>
        <w:rPr>
          <w:rFonts w:hint="eastAsia"/>
        </w:rPr>
      </w:pPr>
    </w:p>
    <w:p w:rsidR="009D7D94" w:rsidRDefault="009D7D94" w:rsidP="009D7D94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tab/>
      </w:r>
      <w:r>
        <w:rPr>
          <w:rFonts w:hint="eastAsia"/>
        </w:rPr>
        <w:t>大學勞動調查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歸模型</w:t>
      </w:r>
    </w:p>
    <w:tbl>
      <w:tblPr>
        <w:tblW w:w="11736" w:type="dxa"/>
        <w:tblInd w:w="-1310" w:type="dxa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  <w:gridCol w:w="2016"/>
        <w:gridCol w:w="2016"/>
      </w:tblGrid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C0BF3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模型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階段穩健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迴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歸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C0BF3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模型二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邏輯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迴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歸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C0BF3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模型三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穩健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迴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歸</w:t>
            </w: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P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9D7D94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應變項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總支出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是否有工作低於</w:t>
            </w:r>
          </w:p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基本工資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總收入</w:t>
            </w:r>
          </w:p>
        </w:tc>
      </w:tr>
      <w:tr w:rsidR="009D7D94" w:rsidTr="00471414">
        <w:tc>
          <w:tcPr>
            <w:tcW w:w="1173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213AD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大學公私立與否</w:t>
            </w: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國立大學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-3190.4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國立大學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-0.444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國立大學與否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908.1</w:t>
            </w:r>
          </w:p>
        </w:tc>
      </w:tr>
      <w:tr w:rsidR="009D7D94" w:rsidTr="00471414">
        <w:tc>
          <w:tcPr>
            <w:tcW w:w="1173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D7D94" w:rsidRPr="009213AD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9213AD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地區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東部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1752.1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東部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-0.0832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東部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-5245.5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北部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1795.5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北部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-0.977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北部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-2395.9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南部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544.2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南部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-0.139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南部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-3485.5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中部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758.7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中部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-0.501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中部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-3015.2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</w:tr>
      <w:tr w:rsidR="009D7D94" w:rsidTr="00471414">
        <w:tc>
          <w:tcPr>
            <w:tcW w:w="1173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7D94" w:rsidRPr="009213AD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9213AD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研究生或大學生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研究生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大學生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1387.6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研究生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大學生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-0.130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研究生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大學生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2197.9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9D7D94" w:rsidTr="00471414">
        <w:tc>
          <w:tcPr>
            <w:tcW w:w="1173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7D94" w:rsidRPr="009213AD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9213AD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勞動條件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校外工作簽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勞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雇契約份數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0.777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校外工作簽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勞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雇契約份數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0.0000819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校外有勞保工作份數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4212.7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校內工作有勞健保份數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13.14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校內工作有勞健保份數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校內外工作份數合計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2744.4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是否有工作低於基本工資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162.5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內外遲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發薪工作數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0.228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低於基本工資份數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-1693.0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遲發薪水份數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-1.381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校外工作有勞保份數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0.275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總支出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0.0343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校外工作有保勞保份數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718.4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總收入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-0.0000790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校外有勞動約工作份數</w:t>
            </w:r>
          </w:p>
        </w:tc>
        <w:tc>
          <w:tcPr>
            <w:tcW w:w="2016" w:type="dxa"/>
            <w:tcBorders>
              <w:top w:val="nil"/>
              <w:left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1.049</w:t>
            </w:r>
          </w:p>
        </w:tc>
      </w:tr>
      <w:tr w:rsidR="009D7D94" w:rsidTr="00471414">
        <w:tc>
          <w:tcPr>
            <w:tcW w:w="1656" w:type="dxa"/>
            <w:tcBorders>
              <w:lef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總收入</w:t>
            </w:r>
          </w:p>
        </w:tc>
        <w:tc>
          <w:tcPr>
            <w:tcW w:w="2016" w:type="dxa"/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0.0141</w:t>
            </w:r>
          </w:p>
        </w:tc>
        <w:tc>
          <w:tcPr>
            <w:tcW w:w="2016" w:type="dxa"/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工作總份數</w:t>
            </w:r>
          </w:p>
        </w:tc>
        <w:tc>
          <w:tcPr>
            <w:tcW w:w="2016" w:type="dxa"/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-0.335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兼任助理工作份數</w:t>
            </w:r>
          </w:p>
        </w:tc>
        <w:tc>
          <w:tcPr>
            <w:tcW w:w="2016" w:type="dxa"/>
            <w:tcBorders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820.7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</w:tr>
      <w:tr w:rsidR="009D7D94" w:rsidTr="00471414">
        <w:tc>
          <w:tcPr>
            <w:tcW w:w="1656" w:type="dxa"/>
            <w:tcBorders>
              <w:left w:val="single" w:sz="4" w:space="0" w:color="auto"/>
              <w:bottom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截距</w:t>
            </w:r>
            <w:proofErr w:type="gramEnd"/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17967.7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截距</w:t>
            </w:r>
            <w:proofErr w:type="gramEnd"/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1.115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截距</w:t>
            </w:r>
            <w:proofErr w:type="gramEnd"/>
          </w:p>
        </w:tc>
        <w:tc>
          <w:tcPr>
            <w:tcW w:w="2016" w:type="dxa"/>
            <w:tcBorders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4322.7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689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689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689</w:t>
            </w: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0.054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0.386</w:t>
            </w: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pseudo 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pseudo 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0.089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pseudo 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AIC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AIC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792.0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AIC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13846.9</w:t>
            </w: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chi-squared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38.95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chi-squared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74.60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hi-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squared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24.2</w:t>
            </w: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-383.0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9D7D94" w:rsidRDefault="009D7D94" w:rsidP="009D7D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statistics in parentheses</w:t>
      </w:r>
    </w:p>
    <w:p w:rsidR="009D7D94" w:rsidRDefault="009D7D94" w:rsidP="009D7D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0.001</w:t>
      </w:r>
    </w:p>
    <w:p w:rsidR="009D7D94" w:rsidRDefault="009D7D94" w:rsidP="009D7D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9D7D94" w:rsidRDefault="009D7D94" w:rsidP="009D7D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研究方法說明：模型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使用總工作時數和總工作份數，作為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工具變量以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進行二階段穩健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迴歸解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，決支出與收入的內生性問題，而在確認收入與支出並無明顯的因果關係後，遂在模型三不以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工具變量處理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兩者關係。</w:t>
      </w:r>
    </w:p>
    <w:p w:rsidR="009175D7" w:rsidRDefault="009175D7" w:rsidP="009D7D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9175D7" w:rsidRDefault="009175D7" w:rsidP="009D7D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9175D7" w:rsidRDefault="009175D7" w:rsidP="009D7D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ab/>
      </w:r>
      <w:r>
        <w:rPr>
          <w:rFonts w:ascii="Times New Roman" w:hAnsi="Times New Roman" w:cs="Times New Roman"/>
          <w:kern w:val="0"/>
          <w:szCs w:val="24"/>
        </w:rPr>
        <w:tab/>
      </w:r>
      <w:r>
        <w:rPr>
          <w:rFonts w:ascii="Times New Roman" w:hAnsi="Times New Roman" w:cs="Times New Roman"/>
          <w:kern w:val="0"/>
          <w:szCs w:val="24"/>
        </w:rPr>
        <w:tab/>
      </w:r>
      <w:r>
        <w:rPr>
          <w:rFonts w:ascii="Times New Roman" w:hAnsi="Times New Roman" w:cs="Times New Roman"/>
          <w:kern w:val="0"/>
          <w:szCs w:val="24"/>
        </w:rPr>
        <w:tab/>
      </w:r>
      <w:r>
        <w:rPr>
          <w:rFonts w:ascii="Times New Roman" w:hAnsi="Times New Roman" w:cs="Times New Roman" w:hint="eastAsia"/>
          <w:kern w:val="0"/>
          <w:szCs w:val="24"/>
        </w:rPr>
        <w:t>表二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Cs w:val="24"/>
        </w:rPr>
        <w:t>大學勞動調查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迴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歸模型</w:t>
      </w:r>
    </w:p>
    <w:tbl>
      <w:tblPr>
        <w:tblW w:w="11736" w:type="dxa"/>
        <w:tblInd w:w="-1542" w:type="dxa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  <w:gridCol w:w="2016"/>
        <w:gridCol w:w="2016"/>
      </w:tblGrid>
      <w:tr w:rsidR="009175D7" w:rsidTr="009175D7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C0BF3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模型四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穩健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迴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歸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C0BF3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模型五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穩健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迴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歸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C0BF3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模型六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穩健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迴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歸</w:t>
            </w:r>
          </w:p>
        </w:tc>
      </w:tr>
      <w:tr w:rsidR="009175D7" w:rsidTr="009175D7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校外工作有簽勞動契約份數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校內工作有勞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僱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型契約份數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遲發薪水過的工作份數</w:t>
            </w:r>
          </w:p>
        </w:tc>
      </w:tr>
      <w:tr w:rsidR="009175D7" w:rsidTr="009175D7">
        <w:tc>
          <w:tcPr>
            <w:tcW w:w="1173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175D7" w:rsidRP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9175D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大學公私立與否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國立或私立大學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0.981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259D6">
              <w:rPr>
                <w:rFonts w:ascii="Times New Roman" w:hAnsi="Times New Roman" w:cs="Times New Roman" w:hint="eastAsia"/>
                <w:kern w:val="0"/>
                <w:szCs w:val="24"/>
              </w:rPr>
              <w:t>國立或私立大學</w:t>
            </w:r>
            <w:r w:rsidRPr="00D259D6"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-0.0653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259D6">
              <w:rPr>
                <w:rFonts w:ascii="Times New Roman" w:hAnsi="Times New Roman" w:cs="Times New Roman" w:hint="eastAsia"/>
                <w:kern w:val="0"/>
                <w:szCs w:val="24"/>
              </w:rPr>
              <w:t>國立或私立大學</w:t>
            </w:r>
            <w:r w:rsidRPr="00D259D6"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0.124</w:t>
            </w:r>
          </w:p>
        </w:tc>
      </w:tr>
      <w:tr w:rsidR="009175D7" w:rsidTr="009175D7">
        <w:tc>
          <w:tcPr>
            <w:tcW w:w="1173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213AD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地區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東部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-78.06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東部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0.241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東部</w:t>
            </w:r>
          </w:p>
        </w:tc>
        <w:tc>
          <w:tcPr>
            <w:tcW w:w="2016" w:type="dxa"/>
            <w:tcBorders>
              <w:top w:val="nil"/>
              <w:bottom w:val="nil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0.0744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北部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-20.00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北部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-0.0765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北部</w:t>
            </w:r>
          </w:p>
        </w:tc>
        <w:tc>
          <w:tcPr>
            <w:tcW w:w="2016" w:type="dxa"/>
            <w:tcBorders>
              <w:top w:val="nil"/>
              <w:bottom w:val="nil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-0.0220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南部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-31.43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南部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0.136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南部</w:t>
            </w:r>
          </w:p>
        </w:tc>
        <w:tc>
          <w:tcPr>
            <w:tcW w:w="2016" w:type="dxa"/>
            <w:tcBorders>
              <w:top w:val="nil"/>
              <w:bottom w:val="nil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0.132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中部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-90.32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中部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-0.123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中部</w:t>
            </w:r>
          </w:p>
        </w:tc>
        <w:tc>
          <w:tcPr>
            <w:tcW w:w="2016" w:type="dxa"/>
            <w:tcBorders>
              <w:top w:val="nil"/>
              <w:bottom w:val="nil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0.213</w:t>
            </w:r>
          </w:p>
        </w:tc>
      </w:tr>
      <w:tr w:rsidR="009175D7" w:rsidTr="009175D7">
        <w:tc>
          <w:tcPr>
            <w:tcW w:w="1173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213AD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研究生或大學生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研究生或大學生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36.24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研究生或大學生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-0.0473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研究生或大學生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-0.0497</w:t>
            </w:r>
          </w:p>
        </w:tc>
      </w:tr>
      <w:tr w:rsidR="009175D7" w:rsidTr="009175D7">
        <w:tc>
          <w:tcPr>
            <w:tcW w:w="1173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213AD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勞動條件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校內兼任助理份數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-66.90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遲發過薪水的工作份數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-0.0954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校外有勞健保工作份數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0.459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遲發過薪水的工作份數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-11.59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校外有勞健保工作份數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-0.358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總收入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0.0000297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校外有勞健保工作份數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-113.6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總收入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0.0000147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0.162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總收入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0.00567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0.221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工作是否低於基本工資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0.0864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59.54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工作是否低於基本工資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-0.00690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校外簽勞動契約工作份數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-0.0000349</w:t>
            </w:r>
          </w:p>
        </w:tc>
      </w:tr>
      <w:tr w:rsidR="009175D7" w:rsidTr="009175D7">
        <w:tc>
          <w:tcPr>
            <w:tcW w:w="1656" w:type="dxa"/>
            <w:tcBorders>
              <w:left w:val="single" w:sz="4" w:space="0" w:color="auto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F966CA">
              <w:rPr>
                <w:rFonts w:ascii="Times New Roman" w:hAnsi="Times New Roman" w:cs="Times New Roman" w:hint="eastAsia"/>
                <w:kern w:val="0"/>
                <w:szCs w:val="24"/>
              </w:rPr>
              <w:t>工作是否低於基本工資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16.01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是否有就學貸款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-0.0533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校內兼任助理份數</w:t>
            </w:r>
          </w:p>
        </w:tc>
        <w:tc>
          <w:tcPr>
            <w:tcW w:w="2016" w:type="dxa"/>
            <w:tcBorders>
              <w:left w:val="nil"/>
              <w:bottom w:val="nil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-0.0967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44.83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0.397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-0.0510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175D7" w:rsidTr="009175D7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689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689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689</w:t>
            </w:r>
          </w:p>
        </w:tc>
      </w:tr>
      <w:tr w:rsidR="009175D7" w:rsidTr="009175D7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0.050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0.145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0.287</w:t>
            </w:r>
          </w:p>
        </w:tc>
      </w:tr>
      <w:tr w:rsidR="009175D7" w:rsidTr="009175D7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AIC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10187.7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AIC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1451.9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AIC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1428.9</w:t>
            </w:r>
          </w:p>
        </w:tc>
      </w:tr>
    </w:tbl>
    <w:p w:rsidR="009175D7" w:rsidRDefault="009175D7" w:rsidP="009175D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statistics in parentheses</w:t>
      </w:r>
    </w:p>
    <w:p w:rsidR="009175D7" w:rsidRDefault="009175D7" w:rsidP="009175D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0.001</w:t>
      </w:r>
    </w:p>
    <w:p w:rsidR="009175D7" w:rsidRDefault="009175D7" w:rsidP="009D7D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9D7D94" w:rsidRDefault="009D7D94" w:rsidP="009D7D94"/>
    <w:p w:rsidR="00FE64F0" w:rsidRDefault="00FE64F0" w:rsidP="009D7D94"/>
    <w:p w:rsidR="00FE64F0" w:rsidRPr="009D7D94" w:rsidRDefault="00FE64F0" w:rsidP="009D7D94"/>
    <w:sectPr w:rsidR="00FE64F0" w:rsidRPr="009D7D94">
      <w:footerReference w:type="defaul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B3F" w:rsidRDefault="009B6B3F">
      <w:r>
        <w:separator/>
      </w:r>
    </w:p>
  </w:endnote>
  <w:endnote w:type="continuationSeparator" w:id="0">
    <w:p w:rsidR="009B6B3F" w:rsidRDefault="009B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72E" w:rsidRDefault="00FF272E">
    <w:pPr>
      <w:autoSpaceDE w:val="0"/>
      <w:autoSpaceDN w:val="0"/>
      <w:adjustRightInd w:val="0"/>
      <w:jc w:val="center"/>
      <w:rPr>
        <w:rFonts w:ascii="Times New Roman" w:hAnsi="Times New Roman" w:cs="Times New Roman"/>
        <w:kern w:val="0"/>
        <w:szCs w:val="24"/>
      </w:rPr>
    </w:pPr>
    <w:r>
      <w:rPr>
        <w:rFonts w:ascii="Times New Roman" w:hAnsi="Times New Roman" w:cs="Times New Roman"/>
        <w:kern w:val="0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B3F" w:rsidRDefault="009B6B3F">
      <w:r>
        <w:separator/>
      </w:r>
    </w:p>
  </w:footnote>
  <w:footnote w:type="continuationSeparator" w:id="0">
    <w:p w:rsidR="009B6B3F" w:rsidRDefault="009B6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20"/>
    <w:rsid w:val="000F6D8E"/>
    <w:rsid w:val="00105B79"/>
    <w:rsid w:val="00247537"/>
    <w:rsid w:val="00261823"/>
    <w:rsid w:val="003E257C"/>
    <w:rsid w:val="00471414"/>
    <w:rsid w:val="0054798F"/>
    <w:rsid w:val="006108CB"/>
    <w:rsid w:val="00640F20"/>
    <w:rsid w:val="00677836"/>
    <w:rsid w:val="006F2F02"/>
    <w:rsid w:val="007D31DC"/>
    <w:rsid w:val="0080538D"/>
    <w:rsid w:val="008B1550"/>
    <w:rsid w:val="009175D7"/>
    <w:rsid w:val="009213AD"/>
    <w:rsid w:val="009B6B3F"/>
    <w:rsid w:val="009C0BF3"/>
    <w:rsid w:val="009D7D94"/>
    <w:rsid w:val="00A322DC"/>
    <w:rsid w:val="00B04D72"/>
    <w:rsid w:val="00BB266D"/>
    <w:rsid w:val="00CE3E76"/>
    <w:rsid w:val="00D20AE7"/>
    <w:rsid w:val="00DD3C52"/>
    <w:rsid w:val="00E47E62"/>
    <w:rsid w:val="00F051DD"/>
    <w:rsid w:val="00FA3482"/>
    <w:rsid w:val="00FE64F0"/>
    <w:rsid w:val="00F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872CEF"/>
  <w14:defaultImageDpi w14:val="0"/>
  <w15:docId w15:val="{E1AA0CE9-A896-452E-A861-58771557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0F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0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0F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A97B36-2FD5-49E4-BD6C-05AE1D2F62A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5D38E73-68B3-45BD-AB70-E2306774DD82}">
      <dgm:prSet phldrT="[文字]"/>
      <dgm:spPr/>
      <dgm:t>
        <a:bodyPr/>
        <a:lstStyle/>
        <a:p>
          <a:r>
            <a:rPr lang="zh-TW" altLang="en-US"/>
            <a:t>總支出</a:t>
          </a:r>
        </a:p>
      </dgm:t>
    </dgm:pt>
    <dgm:pt modelId="{26A0F273-C325-42A1-B8A0-6F86E6B27CB4}" type="parTrans" cxnId="{4620E8A7-4043-49B7-A9C4-DED066E6A167}">
      <dgm:prSet/>
      <dgm:spPr/>
      <dgm:t>
        <a:bodyPr/>
        <a:lstStyle/>
        <a:p>
          <a:endParaRPr lang="zh-TW" altLang="en-US"/>
        </a:p>
      </dgm:t>
    </dgm:pt>
    <dgm:pt modelId="{7EE9CC9D-5FC1-450A-921C-D51CAA702706}" type="sibTrans" cxnId="{4620E8A7-4043-49B7-A9C4-DED066E6A167}">
      <dgm:prSet/>
      <dgm:spPr/>
      <dgm:t>
        <a:bodyPr/>
        <a:lstStyle/>
        <a:p>
          <a:endParaRPr lang="zh-TW" altLang="en-US"/>
        </a:p>
      </dgm:t>
    </dgm:pt>
    <dgm:pt modelId="{7FB1FE79-98AB-4739-AEB7-B3576DB03E29}">
      <dgm:prSet phldrT="[文字]"/>
      <dgm:spPr/>
      <dgm:t>
        <a:bodyPr/>
        <a:lstStyle/>
        <a:p>
          <a:r>
            <a:rPr lang="zh-TW" altLang="en-US"/>
            <a:t>總收入</a:t>
          </a:r>
          <a:endParaRPr lang="en-US" altLang="zh-TW"/>
        </a:p>
        <a:p>
          <a:r>
            <a:rPr lang="en-US" altLang="zh-TW"/>
            <a:t>(</a:t>
          </a:r>
          <a:r>
            <a:rPr lang="zh-TW" altLang="en-US"/>
            <a:t>總收入轉成一階迴歸係數乘以總工時、工作份數的和</a:t>
          </a:r>
          <a:r>
            <a:rPr lang="en-US" altLang="zh-TW"/>
            <a:t>)</a:t>
          </a:r>
          <a:endParaRPr lang="zh-TW" altLang="en-US"/>
        </a:p>
      </dgm:t>
    </dgm:pt>
    <dgm:pt modelId="{CC5A451D-934D-42D7-8EC2-9EAEDF70CEDE}" type="parTrans" cxnId="{85ADF407-F2A1-444A-8F4A-A08BB995E2CD}">
      <dgm:prSet/>
      <dgm:spPr>
        <a:ln>
          <a:headEnd type="stealth"/>
        </a:ln>
      </dgm:spPr>
      <dgm:t>
        <a:bodyPr/>
        <a:lstStyle/>
        <a:p>
          <a:endParaRPr lang="zh-TW" altLang="en-US"/>
        </a:p>
      </dgm:t>
    </dgm:pt>
    <dgm:pt modelId="{E7C58A99-93F7-44FE-95A6-3B30ABF0FE6A}" type="sibTrans" cxnId="{85ADF407-F2A1-444A-8F4A-A08BB995E2CD}">
      <dgm:prSet/>
      <dgm:spPr/>
      <dgm:t>
        <a:bodyPr/>
        <a:lstStyle/>
        <a:p>
          <a:endParaRPr lang="zh-TW" altLang="en-US"/>
        </a:p>
      </dgm:t>
    </dgm:pt>
    <dgm:pt modelId="{FAA3B94D-BD1B-46E6-9E69-30FA670B4517}">
      <dgm:prSet phldrT="[文字]"/>
      <dgm:spPr/>
      <dgm:t>
        <a:bodyPr/>
        <a:lstStyle/>
        <a:p>
          <a:r>
            <a:rPr lang="zh-TW" altLang="en-US"/>
            <a:t>工作份數</a:t>
          </a:r>
          <a:r>
            <a:rPr lang="en-US" altLang="zh-TW"/>
            <a:t>(</a:t>
          </a:r>
          <a:r>
            <a:rPr lang="zh-TW" altLang="en-US"/>
            <a:t>工具變量</a:t>
          </a:r>
          <a:r>
            <a:rPr lang="en-US" altLang="zh-TW"/>
            <a:t>)</a:t>
          </a:r>
          <a:endParaRPr lang="zh-TW" altLang="en-US"/>
        </a:p>
      </dgm:t>
    </dgm:pt>
    <dgm:pt modelId="{AB60CEAB-15D6-40B5-B65B-FAC1E1828F95}" type="parTrans" cxnId="{E2095C77-0E3C-4D56-BD7C-83ED6C0D46DB}">
      <dgm:prSet/>
      <dgm:spPr>
        <a:ln>
          <a:headEnd type="triangle"/>
        </a:ln>
      </dgm:spPr>
      <dgm:t>
        <a:bodyPr/>
        <a:lstStyle/>
        <a:p>
          <a:endParaRPr lang="zh-TW" altLang="en-US"/>
        </a:p>
      </dgm:t>
    </dgm:pt>
    <dgm:pt modelId="{96813C09-E4AE-43DF-BAEF-5BF4ADD366B1}" type="sibTrans" cxnId="{E2095C77-0E3C-4D56-BD7C-83ED6C0D46DB}">
      <dgm:prSet/>
      <dgm:spPr/>
      <dgm:t>
        <a:bodyPr/>
        <a:lstStyle/>
        <a:p>
          <a:endParaRPr lang="zh-TW" altLang="en-US"/>
        </a:p>
      </dgm:t>
    </dgm:pt>
    <dgm:pt modelId="{75C9CBD0-67BC-4C27-9CD8-57ECD471D074}">
      <dgm:prSet phldrT="[文字]"/>
      <dgm:spPr/>
      <dgm:t>
        <a:bodyPr/>
        <a:lstStyle/>
        <a:p>
          <a:r>
            <a:rPr lang="zh-TW" altLang="en-US"/>
            <a:t>控制變量</a:t>
          </a:r>
        </a:p>
      </dgm:t>
    </dgm:pt>
    <dgm:pt modelId="{256FF9A9-D7E2-4FDB-A131-6518F5A16E61}" type="parTrans" cxnId="{AE2596AC-BA3D-415D-8AB3-91DB8EFBD7F9}">
      <dgm:prSet/>
      <dgm:spPr>
        <a:ln>
          <a:headEnd type="triangle"/>
        </a:ln>
      </dgm:spPr>
      <dgm:t>
        <a:bodyPr/>
        <a:lstStyle/>
        <a:p>
          <a:endParaRPr lang="zh-TW" altLang="en-US"/>
        </a:p>
      </dgm:t>
    </dgm:pt>
    <dgm:pt modelId="{4AEF928A-17A4-4BEC-B694-C68754950B5A}" type="sibTrans" cxnId="{AE2596AC-BA3D-415D-8AB3-91DB8EFBD7F9}">
      <dgm:prSet/>
      <dgm:spPr/>
      <dgm:t>
        <a:bodyPr/>
        <a:lstStyle/>
        <a:p>
          <a:endParaRPr lang="zh-TW" altLang="en-US"/>
        </a:p>
      </dgm:t>
    </dgm:pt>
    <dgm:pt modelId="{989BE2BA-8CB1-46AB-A6F5-C3B2ECB0BD77}">
      <dgm:prSet phldrT="[文字]"/>
      <dgm:spPr/>
      <dgm:t>
        <a:bodyPr/>
        <a:lstStyle/>
        <a:p>
          <a:r>
            <a:rPr lang="zh-TW" altLang="en-US"/>
            <a:t>總工時</a:t>
          </a:r>
          <a:r>
            <a:rPr lang="en-US" altLang="zh-TW"/>
            <a:t>(</a:t>
          </a:r>
          <a:r>
            <a:rPr lang="zh-TW" altLang="en-US"/>
            <a:t>工具變量</a:t>
          </a:r>
          <a:r>
            <a:rPr lang="en-US" altLang="zh-TW"/>
            <a:t>)</a:t>
          </a:r>
          <a:endParaRPr lang="zh-TW" altLang="en-US"/>
        </a:p>
      </dgm:t>
    </dgm:pt>
    <dgm:pt modelId="{EB830CF2-5B1E-4557-B9D1-B0A0CA2D51C1}" type="sibTrans" cxnId="{8DEF6E6C-BF21-4889-BE00-EB7E388D1B85}">
      <dgm:prSet/>
      <dgm:spPr/>
      <dgm:t>
        <a:bodyPr/>
        <a:lstStyle/>
        <a:p>
          <a:endParaRPr lang="zh-TW" altLang="en-US"/>
        </a:p>
      </dgm:t>
    </dgm:pt>
    <dgm:pt modelId="{45468F69-C77C-45A7-9C27-F97606853328}" type="parTrans" cxnId="{8DEF6E6C-BF21-4889-BE00-EB7E388D1B85}">
      <dgm:prSet/>
      <dgm:spPr>
        <a:ln>
          <a:headEnd type="triangle"/>
        </a:ln>
      </dgm:spPr>
      <dgm:t>
        <a:bodyPr/>
        <a:lstStyle/>
        <a:p>
          <a:endParaRPr lang="zh-TW" altLang="en-US"/>
        </a:p>
      </dgm:t>
    </dgm:pt>
    <dgm:pt modelId="{B7EB5C3C-F7AF-4070-9F49-9AA465618A22}" type="pres">
      <dgm:prSet presAssocID="{76A97B36-2FD5-49E4-BD6C-05AE1D2F62A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5F82547-9082-4DEA-B9AD-3A1208A7DDD2}" type="pres">
      <dgm:prSet presAssocID="{E5D38E73-68B3-45BD-AB70-E2306774DD82}" presName="root1" presStyleCnt="0"/>
      <dgm:spPr/>
    </dgm:pt>
    <dgm:pt modelId="{3A3DC408-1D20-4DFC-A2F5-CF59B1E5C7EE}" type="pres">
      <dgm:prSet presAssocID="{E5D38E73-68B3-45BD-AB70-E2306774DD82}" presName="LevelOneTextNode" presStyleLbl="node0" presStyleIdx="0" presStyleCnt="1">
        <dgm:presLayoutVars>
          <dgm:chPref val="3"/>
        </dgm:presLayoutVars>
      </dgm:prSet>
      <dgm:spPr/>
    </dgm:pt>
    <dgm:pt modelId="{149AA6EC-D1C7-403B-A9AB-D8D73A3A4E8B}" type="pres">
      <dgm:prSet presAssocID="{E5D38E73-68B3-45BD-AB70-E2306774DD82}" presName="level2hierChild" presStyleCnt="0"/>
      <dgm:spPr/>
    </dgm:pt>
    <dgm:pt modelId="{DEA980FF-5629-4CE7-A44F-79B8F9543BBC}" type="pres">
      <dgm:prSet presAssocID="{CC5A451D-934D-42D7-8EC2-9EAEDF70CEDE}" presName="conn2-1" presStyleLbl="parChTrans1D2" presStyleIdx="0" presStyleCnt="2"/>
      <dgm:spPr/>
    </dgm:pt>
    <dgm:pt modelId="{11C913FF-A814-4824-B88D-D272FAE3B88A}" type="pres">
      <dgm:prSet presAssocID="{CC5A451D-934D-42D7-8EC2-9EAEDF70CEDE}" presName="connTx" presStyleLbl="parChTrans1D2" presStyleIdx="0" presStyleCnt="2"/>
      <dgm:spPr/>
    </dgm:pt>
    <dgm:pt modelId="{CFC7D3AF-D457-46B5-AC50-6C5C6436A325}" type="pres">
      <dgm:prSet presAssocID="{7FB1FE79-98AB-4739-AEB7-B3576DB03E29}" presName="root2" presStyleCnt="0"/>
      <dgm:spPr/>
    </dgm:pt>
    <dgm:pt modelId="{DCD92CB5-6F7F-4FA3-86C4-9C84401B4D18}" type="pres">
      <dgm:prSet presAssocID="{7FB1FE79-98AB-4739-AEB7-B3576DB03E29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E3FC4F-6BBC-4070-9350-99EFE5939E98}" type="pres">
      <dgm:prSet presAssocID="{7FB1FE79-98AB-4739-AEB7-B3576DB03E29}" presName="level3hierChild" presStyleCnt="0"/>
      <dgm:spPr/>
    </dgm:pt>
    <dgm:pt modelId="{4E8391C7-D324-4FCF-B016-8E62893190C6}" type="pres">
      <dgm:prSet presAssocID="{45468F69-C77C-45A7-9C27-F97606853328}" presName="conn2-1" presStyleLbl="parChTrans1D3" presStyleIdx="0" presStyleCnt="2"/>
      <dgm:spPr/>
    </dgm:pt>
    <dgm:pt modelId="{359793D0-6FFA-4E8B-A856-CD2B8C19597E}" type="pres">
      <dgm:prSet presAssocID="{45468F69-C77C-45A7-9C27-F97606853328}" presName="connTx" presStyleLbl="parChTrans1D3" presStyleIdx="0" presStyleCnt="2"/>
      <dgm:spPr/>
    </dgm:pt>
    <dgm:pt modelId="{E2A9D146-11D0-4F5B-93CE-0979A2DA4FA7}" type="pres">
      <dgm:prSet presAssocID="{989BE2BA-8CB1-46AB-A6F5-C3B2ECB0BD77}" presName="root2" presStyleCnt="0"/>
      <dgm:spPr/>
    </dgm:pt>
    <dgm:pt modelId="{6627077B-AACD-40DE-892B-5F9E6F9B12D9}" type="pres">
      <dgm:prSet presAssocID="{989BE2BA-8CB1-46AB-A6F5-C3B2ECB0BD77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E14B09D-C417-4CBC-9483-755899308B43}" type="pres">
      <dgm:prSet presAssocID="{989BE2BA-8CB1-46AB-A6F5-C3B2ECB0BD77}" presName="level3hierChild" presStyleCnt="0"/>
      <dgm:spPr/>
    </dgm:pt>
    <dgm:pt modelId="{2E5052E0-B01F-4F87-83F6-C05DC20EAE22}" type="pres">
      <dgm:prSet presAssocID="{AB60CEAB-15D6-40B5-B65B-FAC1E1828F95}" presName="conn2-1" presStyleLbl="parChTrans1D3" presStyleIdx="1" presStyleCnt="2"/>
      <dgm:spPr/>
    </dgm:pt>
    <dgm:pt modelId="{41828620-FECF-4BC8-B061-EBC21557A42F}" type="pres">
      <dgm:prSet presAssocID="{AB60CEAB-15D6-40B5-B65B-FAC1E1828F95}" presName="connTx" presStyleLbl="parChTrans1D3" presStyleIdx="1" presStyleCnt="2"/>
      <dgm:spPr/>
    </dgm:pt>
    <dgm:pt modelId="{FB055E21-8FD4-4389-993E-829C5E2D314E}" type="pres">
      <dgm:prSet presAssocID="{FAA3B94D-BD1B-46E6-9E69-30FA670B4517}" presName="root2" presStyleCnt="0"/>
      <dgm:spPr/>
    </dgm:pt>
    <dgm:pt modelId="{724B5716-8E3D-43E4-BAFF-92E54192609A}" type="pres">
      <dgm:prSet presAssocID="{FAA3B94D-BD1B-46E6-9E69-30FA670B4517}" presName="LevelTwoTextNode" presStyleLbl="node3" presStyleIdx="1" presStyleCnt="2">
        <dgm:presLayoutVars>
          <dgm:chPref val="3"/>
        </dgm:presLayoutVars>
      </dgm:prSet>
      <dgm:spPr/>
    </dgm:pt>
    <dgm:pt modelId="{8DEB993A-8874-44C4-9434-A123C47F04BE}" type="pres">
      <dgm:prSet presAssocID="{FAA3B94D-BD1B-46E6-9E69-30FA670B4517}" presName="level3hierChild" presStyleCnt="0"/>
      <dgm:spPr/>
    </dgm:pt>
    <dgm:pt modelId="{13FDD363-04E6-4308-8207-62C7F2CA2673}" type="pres">
      <dgm:prSet presAssocID="{256FF9A9-D7E2-4FDB-A131-6518F5A16E61}" presName="conn2-1" presStyleLbl="parChTrans1D2" presStyleIdx="1" presStyleCnt="2"/>
      <dgm:spPr/>
    </dgm:pt>
    <dgm:pt modelId="{8FA7BF7B-5D6F-49C8-A41E-495965F367CB}" type="pres">
      <dgm:prSet presAssocID="{256FF9A9-D7E2-4FDB-A131-6518F5A16E61}" presName="connTx" presStyleLbl="parChTrans1D2" presStyleIdx="1" presStyleCnt="2"/>
      <dgm:spPr/>
    </dgm:pt>
    <dgm:pt modelId="{EE93A634-8B08-49BF-9439-F7E5151EDB9F}" type="pres">
      <dgm:prSet presAssocID="{75C9CBD0-67BC-4C27-9CD8-57ECD471D074}" presName="root2" presStyleCnt="0"/>
      <dgm:spPr/>
    </dgm:pt>
    <dgm:pt modelId="{0038BA13-AF90-4298-AE74-30A0DE3C8FA7}" type="pres">
      <dgm:prSet presAssocID="{75C9CBD0-67BC-4C27-9CD8-57ECD471D07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7958F12-F22D-48B9-AB1C-353F768B7F54}" type="pres">
      <dgm:prSet presAssocID="{75C9CBD0-67BC-4C27-9CD8-57ECD471D074}" presName="level3hierChild" presStyleCnt="0"/>
      <dgm:spPr/>
    </dgm:pt>
  </dgm:ptLst>
  <dgm:cxnLst>
    <dgm:cxn modelId="{E592D4F0-43D6-4736-BC10-8A87971C1DF2}" type="presOf" srcId="{45468F69-C77C-45A7-9C27-F97606853328}" destId="{4E8391C7-D324-4FCF-B016-8E62893190C6}" srcOrd="0" destOrd="0" presId="urn:microsoft.com/office/officeart/2005/8/layout/hierarchy2"/>
    <dgm:cxn modelId="{2E27F63A-E3F8-436E-9AAF-6739506AB2C4}" type="presOf" srcId="{45468F69-C77C-45A7-9C27-F97606853328}" destId="{359793D0-6FFA-4E8B-A856-CD2B8C19597E}" srcOrd="1" destOrd="0" presId="urn:microsoft.com/office/officeart/2005/8/layout/hierarchy2"/>
    <dgm:cxn modelId="{E03A49B1-2609-4A23-BC22-4988332938A5}" type="presOf" srcId="{CC5A451D-934D-42D7-8EC2-9EAEDF70CEDE}" destId="{11C913FF-A814-4824-B88D-D272FAE3B88A}" srcOrd="1" destOrd="0" presId="urn:microsoft.com/office/officeart/2005/8/layout/hierarchy2"/>
    <dgm:cxn modelId="{68F48C4D-A3B7-4365-91D8-F8604948F437}" type="presOf" srcId="{256FF9A9-D7E2-4FDB-A131-6518F5A16E61}" destId="{8FA7BF7B-5D6F-49C8-A41E-495965F367CB}" srcOrd="1" destOrd="0" presId="urn:microsoft.com/office/officeart/2005/8/layout/hierarchy2"/>
    <dgm:cxn modelId="{BE0EC73E-5233-40DF-8CAE-5830E68364B6}" type="presOf" srcId="{AB60CEAB-15D6-40B5-B65B-FAC1E1828F95}" destId="{41828620-FECF-4BC8-B061-EBC21557A42F}" srcOrd="1" destOrd="0" presId="urn:microsoft.com/office/officeart/2005/8/layout/hierarchy2"/>
    <dgm:cxn modelId="{D4A1AF57-FC80-462A-94CD-B4198055038B}" type="presOf" srcId="{989BE2BA-8CB1-46AB-A6F5-C3B2ECB0BD77}" destId="{6627077B-AACD-40DE-892B-5F9E6F9B12D9}" srcOrd="0" destOrd="0" presId="urn:microsoft.com/office/officeart/2005/8/layout/hierarchy2"/>
    <dgm:cxn modelId="{60342629-936B-482D-B7F9-F8881A0015B1}" type="presOf" srcId="{AB60CEAB-15D6-40B5-B65B-FAC1E1828F95}" destId="{2E5052E0-B01F-4F87-83F6-C05DC20EAE22}" srcOrd="0" destOrd="0" presId="urn:microsoft.com/office/officeart/2005/8/layout/hierarchy2"/>
    <dgm:cxn modelId="{73D1F743-84A5-467D-8F26-27C227C8F371}" type="presOf" srcId="{CC5A451D-934D-42D7-8EC2-9EAEDF70CEDE}" destId="{DEA980FF-5629-4CE7-A44F-79B8F9543BBC}" srcOrd="0" destOrd="0" presId="urn:microsoft.com/office/officeart/2005/8/layout/hierarchy2"/>
    <dgm:cxn modelId="{F11CDF12-597A-427C-B2A2-599550CFF251}" type="presOf" srcId="{7FB1FE79-98AB-4739-AEB7-B3576DB03E29}" destId="{DCD92CB5-6F7F-4FA3-86C4-9C84401B4D18}" srcOrd="0" destOrd="0" presId="urn:microsoft.com/office/officeart/2005/8/layout/hierarchy2"/>
    <dgm:cxn modelId="{4620E8A7-4043-49B7-A9C4-DED066E6A167}" srcId="{76A97B36-2FD5-49E4-BD6C-05AE1D2F62AA}" destId="{E5D38E73-68B3-45BD-AB70-E2306774DD82}" srcOrd="0" destOrd="0" parTransId="{26A0F273-C325-42A1-B8A0-6F86E6B27CB4}" sibTransId="{7EE9CC9D-5FC1-450A-921C-D51CAA702706}"/>
    <dgm:cxn modelId="{E2095C77-0E3C-4D56-BD7C-83ED6C0D46DB}" srcId="{7FB1FE79-98AB-4739-AEB7-B3576DB03E29}" destId="{FAA3B94D-BD1B-46E6-9E69-30FA670B4517}" srcOrd="1" destOrd="0" parTransId="{AB60CEAB-15D6-40B5-B65B-FAC1E1828F95}" sibTransId="{96813C09-E4AE-43DF-BAEF-5BF4ADD366B1}"/>
    <dgm:cxn modelId="{C94133FD-2122-4850-9EED-18921C74AFEB}" type="presOf" srcId="{FAA3B94D-BD1B-46E6-9E69-30FA670B4517}" destId="{724B5716-8E3D-43E4-BAFF-92E54192609A}" srcOrd="0" destOrd="0" presId="urn:microsoft.com/office/officeart/2005/8/layout/hierarchy2"/>
    <dgm:cxn modelId="{8DEF6E6C-BF21-4889-BE00-EB7E388D1B85}" srcId="{7FB1FE79-98AB-4739-AEB7-B3576DB03E29}" destId="{989BE2BA-8CB1-46AB-A6F5-C3B2ECB0BD77}" srcOrd="0" destOrd="0" parTransId="{45468F69-C77C-45A7-9C27-F97606853328}" sibTransId="{EB830CF2-5B1E-4557-B9D1-B0A0CA2D51C1}"/>
    <dgm:cxn modelId="{F61511EF-BE4D-4B58-AAFD-EE159B410D50}" type="presOf" srcId="{256FF9A9-D7E2-4FDB-A131-6518F5A16E61}" destId="{13FDD363-04E6-4308-8207-62C7F2CA2673}" srcOrd="0" destOrd="0" presId="urn:microsoft.com/office/officeart/2005/8/layout/hierarchy2"/>
    <dgm:cxn modelId="{F53CC191-9F53-4ADE-8619-5F4BF2F3C136}" type="presOf" srcId="{76A97B36-2FD5-49E4-BD6C-05AE1D2F62AA}" destId="{B7EB5C3C-F7AF-4070-9F49-9AA465618A22}" srcOrd="0" destOrd="0" presId="urn:microsoft.com/office/officeart/2005/8/layout/hierarchy2"/>
    <dgm:cxn modelId="{85ADF407-F2A1-444A-8F4A-A08BB995E2CD}" srcId="{E5D38E73-68B3-45BD-AB70-E2306774DD82}" destId="{7FB1FE79-98AB-4739-AEB7-B3576DB03E29}" srcOrd="0" destOrd="0" parTransId="{CC5A451D-934D-42D7-8EC2-9EAEDF70CEDE}" sibTransId="{E7C58A99-93F7-44FE-95A6-3B30ABF0FE6A}"/>
    <dgm:cxn modelId="{2717462F-A4D9-46C4-9BC7-42D62954ECD4}" type="presOf" srcId="{75C9CBD0-67BC-4C27-9CD8-57ECD471D074}" destId="{0038BA13-AF90-4298-AE74-30A0DE3C8FA7}" srcOrd="0" destOrd="0" presId="urn:microsoft.com/office/officeart/2005/8/layout/hierarchy2"/>
    <dgm:cxn modelId="{AE2596AC-BA3D-415D-8AB3-91DB8EFBD7F9}" srcId="{E5D38E73-68B3-45BD-AB70-E2306774DD82}" destId="{75C9CBD0-67BC-4C27-9CD8-57ECD471D074}" srcOrd="1" destOrd="0" parTransId="{256FF9A9-D7E2-4FDB-A131-6518F5A16E61}" sibTransId="{4AEF928A-17A4-4BEC-B694-C68754950B5A}"/>
    <dgm:cxn modelId="{64B99C00-2C98-47B8-A432-C0F0E34A3D1A}" type="presOf" srcId="{E5D38E73-68B3-45BD-AB70-E2306774DD82}" destId="{3A3DC408-1D20-4DFC-A2F5-CF59B1E5C7EE}" srcOrd="0" destOrd="0" presId="urn:microsoft.com/office/officeart/2005/8/layout/hierarchy2"/>
    <dgm:cxn modelId="{9F90C7F6-5AE7-412B-93D4-5872E15A400B}" type="presParOf" srcId="{B7EB5C3C-F7AF-4070-9F49-9AA465618A22}" destId="{25F82547-9082-4DEA-B9AD-3A1208A7DDD2}" srcOrd="0" destOrd="0" presId="urn:microsoft.com/office/officeart/2005/8/layout/hierarchy2"/>
    <dgm:cxn modelId="{F5544429-8F57-4A25-B4FF-6673B28DB5E8}" type="presParOf" srcId="{25F82547-9082-4DEA-B9AD-3A1208A7DDD2}" destId="{3A3DC408-1D20-4DFC-A2F5-CF59B1E5C7EE}" srcOrd="0" destOrd="0" presId="urn:microsoft.com/office/officeart/2005/8/layout/hierarchy2"/>
    <dgm:cxn modelId="{7F9AD966-11AF-4FED-84C8-4E822B41B9AC}" type="presParOf" srcId="{25F82547-9082-4DEA-B9AD-3A1208A7DDD2}" destId="{149AA6EC-D1C7-403B-A9AB-D8D73A3A4E8B}" srcOrd="1" destOrd="0" presId="urn:microsoft.com/office/officeart/2005/8/layout/hierarchy2"/>
    <dgm:cxn modelId="{CD40224F-D43A-4D56-A37D-A025EDAA2BC0}" type="presParOf" srcId="{149AA6EC-D1C7-403B-A9AB-D8D73A3A4E8B}" destId="{DEA980FF-5629-4CE7-A44F-79B8F9543BBC}" srcOrd="0" destOrd="0" presId="urn:microsoft.com/office/officeart/2005/8/layout/hierarchy2"/>
    <dgm:cxn modelId="{DF8AD140-8BC1-4E29-BFB2-C38BAB5DD4AE}" type="presParOf" srcId="{DEA980FF-5629-4CE7-A44F-79B8F9543BBC}" destId="{11C913FF-A814-4824-B88D-D272FAE3B88A}" srcOrd="0" destOrd="0" presId="urn:microsoft.com/office/officeart/2005/8/layout/hierarchy2"/>
    <dgm:cxn modelId="{E63D590D-49CE-4D46-827F-F881EA3EA4DA}" type="presParOf" srcId="{149AA6EC-D1C7-403B-A9AB-D8D73A3A4E8B}" destId="{CFC7D3AF-D457-46B5-AC50-6C5C6436A325}" srcOrd="1" destOrd="0" presId="urn:microsoft.com/office/officeart/2005/8/layout/hierarchy2"/>
    <dgm:cxn modelId="{E65E5F1D-9E9D-45BF-9923-394EE384BEFA}" type="presParOf" srcId="{CFC7D3AF-D457-46B5-AC50-6C5C6436A325}" destId="{DCD92CB5-6F7F-4FA3-86C4-9C84401B4D18}" srcOrd="0" destOrd="0" presId="urn:microsoft.com/office/officeart/2005/8/layout/hierarchy2"/>
    <dgm:cxn modelId="{573655A8-E8D7-42D8-8655-4532A81FCAB2}" type="presParOf" srcId="{CFC7D3AF-D457-46B5-AC50-6C5C6436A325}" destId="{C8E3FC4F-6BBC-4070-9350-99EFE5939E98}" srcOrd="1" destOrd="0" presId="urn:microsoft.com/office/officeart/2005/8/layout/hierarchy2"/>
    <dgm:cxn modelId="{48A37B30-7C8E-41AF-9DCF-470CC7F7C2E2}" type="presParOf" srcId="{C8E3FC4F-6BBC-4070-9350-99EFE5939E98}" destId="{4E8391C7-D324-4FCF-B016-8E62893190C6}" srcOrd="0" destOrd="0" presId="urn:microsoft.com/office/officeart/2005/8/layout/hierarchy2"/>
    <dgm:cxn modelId="{8ADCBC5C-AE33-4DC9-8803-9A1E6971AC51}" type="presParOf" srcId="{4E8391C7-D324-4FCF-B016-8E62893190C6}" destId="{359793D0-6FFA-4E8B-A856-CD2B8C19597E}" srcOrd="0" destOrd="0" presId="urn:microsoft.com/office/officeart/2005/8/layout/hierarchy2"/>
    <dgm:cxn modelId="{7E6628ED-FC9D-4C41-80FC-9137A439750F}" type="presParOf" srcId="{C8E3FC4F-6BBC-4070-9350-99EFE5939E98}" destId="{E2A9D146-11D0-4F5B-93CE-0979A2DA4FA7}" srcOrd="1" destOrd="0" presId="urn:microsoft.com/office/officeart/2005/8/layout/hierarchy2"/>
    <dgm:cxn modelId="{1BF1DA24-DAD0-47EA-92CF-E1D9BDF5FB97}" type="presParOf" srcId="{E2A9D146-11D0-4F5B-93CE-0979A2DA4FA7}" destId="{6627077B-AACD-40DE-892B-5F9E6F9B12D9}" srcOrd="0" destOrd="0" presId="urn:microsoft.com/office/officeart/2005/8/layout/hierarchy2"/>
    <dgm:cxn modelId="{1699FAAC-3EA5-463A-AC72-545A61FA40A6}" type="presParOf" srcId="{E2A9D146-11D0-4F5B-93CE-0979A2DA4FA7}" destId="{EE14B09D-C417-4CBC-9483-755899308B43}" srcOrd="1" destOrd="0" presId="urn:microsoft.com/office/officeart/2005/8/layout/hierarchy2"/>
    <dgm:cxn modelId="{60243C40-F318-4867-86AC-344920113975}" type="presParOf" srcId="{C8E3FC4F-6BBC-4070-9350-99EFE5939E98}" destId="{2E5052E0-B01F-4F87-83F6-C05DC20EAE22}" srcOrd="2" destOrd="0" presId="urn:microsoft.com/office/officeart/2005/8/layout/hierarchy2"/>
    <dgm:cxn modelId="{0644FC6D-E57B-4B6E-B536-E06559BBE580}" type="presParOf" srcId="{2E5052E0-B01F-4F87-83F6-C05DC20EAE22}" destId="{41828620-FECF-4BC8-B061-EBC21557A42F}" srcOrd="0" destOrd="0" presId="urn:microsoft.com/office/officeart/2005/8/layout/hierarchy2"/>
    <dgm:cxn modelId="{6642CB6D-75C8-4E94-85A0-B8E29BB9E3B0}" type="presParOf" srcId="{C8E3FC4F-6BBC-4070-9350-99EFE5939E98}" destId="{FB055E21-8FD4-4389-993E-829C5E2D314E}" srcOrd="3" destOrd="0" presId="urn:microsoft.com/office/officeart/2005/8/layout/hierarchy2"/>
    <dgm:cxn modelId="{EA470B56-3757-4BA0-8AFC-8DDE1A9EE4B2}" type="presParOf" srcId="{FB055E21-8FD4-4389-993E-829C5E2D314E}" destId="{724B5716-8E3D-43E4-BAFF-92E54192609A}" srcOrd="0" destOrd="0" presId="urn:microsoft.com/office/officeart/2005/8/layout/hierarchy2"/>
    <dgm:cxn modelId="{D482F60F-3A89-4564-BC9B-B368977EEE22}" type="presParOf" srcId="{FB055E21-8FD4-4389-993E-829C5E2D314E}" destId="{8DEB993A-8874-44C4-9434-A123C47F04BE}" srcOrd="1" destOrd="0" presId="urn:microsoft.com/office/officeart/2005/8/layout/hierarchy2"/>
    <dgm:cxn modelId="{F3DC3638-898D-4FE2-B0B4-0DF67D73F8ED}" type="presParOf" srcId="{149AA6EC-D1C7-403B-A9AB-D8D73A3A4E8B}" destId="{13FDD363-04E6-4308-8207-62C7F2CA2673}" srcOrd="2" destOrd="0" presId="urn:microsoft.com/office/officeart/2005/8/layout/hierarchy2"/>
    <dgm:cxn modelId="{14C2FB23-F79C-4784-BF1C-48CCD6F6DB8D}" type="presParOf" srcId="{13FDD363-04E6-4308-8207-62C7F2CA2673}" destId="{8FA7BF7B-5D6F-49C8-A41E-495965F367CB}" srcOrd="0" destOrd="0" presId="urn:microsoft.com/office/officeart/2005/8/layout/hierarchy2"/>
    <dgm:cxn modelId="{21726D4A-59C0-471B-85C0-9A2FBBD28AA3}" type="presParOf" srcId="{149AA6EC-D1C7-403B-A9AB-D8D73A3A4E8B}" destId="{EE93A634-8B08-49BF-9439-F7E5151EDB9F}" srcOrd="3" destOrd="0" presId="urn:microsoft.com/office/officeart/2005/8/layout/hierarchy2"/>
    <dgm:cxn modelId="{972AB919-C093-489F-813F-D1864BB383AF}" type="presParOf" srcId="{EE93A634-8B08-49BF-9439-F7E5151EDB9F}" destId="{0038BA13-AF90-4298-AE74-30A0DE3C8FA7}" srcOrd="0" destOrd="0" presId="urn:microsoft.com/office/officeart/2005/8/layout/hierarchy2"/>
    <dgm:cxn modelId="{4B96177F-3EE1-453A-BC38-AC5FA6AEB80F}" type="presParOf" srcId="{EE93A634-8B08-49BF-9439-F7E5151EDB9F}" destId="{E7958F12-F22D-48B9-AB1C-353F768B7F5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3DC408-1D20-4DFC-A2F5-CF59B1E5C7EE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總支出</a:t>
          </a:r>
        </a:p>
      </dsp:txBody>
      <dsp:txXfrm>
        <a:off x="23824" y="1468071"/>
        <a:ext cx="1400121" cy="678937"/>
      </dsp:txXfrm>
    </dsp:sp>
    <dsp:sp modelId="{DEA980FF-5629-4CE7-A44F-79B8F9543BBC}">
      <dsp:nvSpPr>
        <dsp:cNvPr id="0" name=""/>
        <dsp:cNvSpPr/>
      </dsp:nvSpPr>
      <dsp:spPr>
        <a:xfrm rot="19457599">
          <a:off x="1378286" y="157991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stealth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5779" y="1582437"/>
        <a:ext cx="35525" cy="35525"/>
      </dsp:txXfrm>
    </dsp:sp>
    <dsp:sp modelId="{DCD92CB5-6F7F-4FA3-86C4-9C84401B4D18}">
      <dsp:nvSpPr>
        <dsp:cNvPr id="0" name=""/>
        <dsp:cNvSpPr/>
      </dsp:nvSpPr>
      <dsp:spPr>
        <a:xfrm>
          <a:off x="2022016" y="103226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總收入</a:t>
          </a:r>
          <a:endParaRPr lang="en-US" altLang="zh-TW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(</a:t>
          </a:r>
          <a:r>
            <a:rPr lang="zh-TW" altLang="en-US" sz="1000" kern="1200"/>
            <a:t>總收入轉成一階迴歸係數乘以總工時、工作份數的和</a:t>
          </a:r>
          <a:r>
            <a:rPr lang="en-US" altLang="zh-TW" sz="1000" kern="1200"/>
            <a:t>)</a:t>
          </a:r>
          <a:endParaRPr lang="zh-TW" altLang="en-US" sz="1000" kern="1200"/>
        </a:p>
      </dsp:txBody>
      <dsp:txXfrm>
        <a:off x="2043139" y="1053390"/>
        <a:ext cx="1400121" cy="678937"/>
      </dsp:txXfrm>
    </dsp:sp>
    <dsp:sp modelId="{4E8391C7-D324-4FCF-B016-8E62893190C6}">
      <dsp:nvSpPr>
        <dsp:cNvPr id="0" name=""/>
        <dsp:cNvSpPr/>
      </dsp:nvSpPr>
      <dsp:spPr>
        <a:xfrm rot="19457599">
          <a:off x="3397601" y="116523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735094" y="1167756"/>
        <a:ext cx="35525" cy="35525"/>
      </dsp:txXfrm>
    </dsp:sp>
    <dsp:sp modelId="{6627077B-AACD-40DE-892B-5F9E6F9B12D9}">
      <dsp:nvSpPr>
        <dsp:cNvPr id="0" name=""/>
        <dsp:cNvSpPr/>
      </dsp:nvSpPr>
      <dsp:spPr>
        <a:xfrm>
          <a:off x="4041330" y="61758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總工時</a:t>
          </a:r>
          <a:r>
            <a:rPr lang="en-US" altLang="zh-TW" sz="1000" kern="1200"/>
            <a:t>(</a:t>
          </a:r>
          <a:r>
            <a:rPr lang="zh-TW" altLang="en-US" sz="1000" kern="1200"/>
            <a:t>工具變量</a:t>
          </a:r>
          <a:r>
            <a:rPr lang="en-US" altLang="zh-TW" sz="1000" kern="1200"/>
            <a:t>)</a:t>
          </a:r>
          <a:endParaRPr lang="zh-TW" altLang="en-US" sz="1000" kern="1200"/>
        </a:p>
      </dsp:txBody>
      <dsp:txXfrm>
        <a:off x="4062453" y="638709"/>
        <a:ext cx="1400121" cy="678937"/>
      </dsp:txXfrm>
    </dsp:sp>
    <dsp:sp modelId="{2E5052E0-B01F-4F87-83F6-C05DC20EAE22}">
      <dsp:nvSpPr>
        <dsp:cNvPr id="0" name=""/>
        <dsp:cNvSpPr/>
      </dsp:nvSpPr>
      <dsp:spPr>
        <a:xfrm rot="2142401">
          <a:off x="3397601" y="157991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735094" y="1582437"/>
        <a:ext cx="35525" cy="35525"/>
      </dsp:txXfrm>
    </dsp:sp>
    <dsp:sp modelId="{724B5716-8E3D-43E4-BAFF-92E54192609A}">
      <dsp:nvSpPr>
        <dsp:cNvPr id="0" name=""/>
        <dsp:cNvSpPr/>
      </dsp:nvSpPr>
      <dsp:spPr>
        <a:xfrm>
          <a:off x="4041330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工作份數</a:t>
          </a:r>
          <a:r>
            <a:rPr lang="en-US" altLang="zh-TW" sz="1000" kern="1200"/>
            <a:t>(</a:t>
          </a:r>
          <a:r>
            <a:rPr lang="zh-TW" altLang="en-US" sz="1000" kern="1200"/>
            <a:t>工具變量</a:t>
          </a:r>
          <a:r>
            <a:rPr lang="en-US" altLang="zh-TW" sz="1000" kern="1200"/>
            <a:t>)</a:t>
          </a:r>
          <a:endParaRPr lang="zh-TW" altLang="en-US" sz="1000" kern="1200"/>
        </a:p>
      </dsp:txBody>
      <dsp:txXfrm>
        <a:off x="4062453" y="1468071"/>
        <a:ext cx="1400121" cy="678937"/>
      </dsp:txXfrm>
    </dsp:sp>
    <dsp:sp modelId="{13FDD363-04E6-4308-8207-62C7F2CA2673}">
      <dsp:nvSpPr>
        <dsp:cNvPr id="0" name=""/>
        <dsp:cNvSpPr/>
      </dsp:nvSpPr>
      <dsp:spPr>
        <a:xfrm rot="2142401">
          <a:off x="1378286" y="199459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5779" y="1997117"/>
        <a:ext cx="35525" cy="35525"/>
      </dsp:txXfrm>
    </dsp:sp>
    <dsp:sp modelId="{0038BA13-AF90-4298-AE74-30A0DE3C8FA7}">
      <dsp:nvSpPr>
        <dsp:cNvPr id="0" name=""/>
        <dsp:cNvSpPr/>
      </dsp:nvSpPr>
      <dsp:spPr>
        <a:xfrm>
          <a:off x="2022016" y="186162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控制變量</a:t>
          </a:r>
        </a:p>
      </dsp:txBody>
      <dsp:txXfrm>
        <a:off x="2043139" y="188275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518</Words>
  <Characters>2956</Characters>
  <Application>Microsoft Office Word</Application>
  <DocSecurity>0</DocSecurity>
  <Lines>24</Lines>
  <Paragraphs>6</Paragraphs>
  <ScaleCrop>false</ScaleCrop>
  <Company>.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iiooiioou</cp:lastModifiedBy>
  <cp:revision>3</cp:revision>
  <cp:lastPrinted>2018-11-17T08:59:00Z</cp:lastPrinted>
  <dcterms:created xsi:type="dcterms:W3CDTF">2018-11-17T08:58:00Z</dcterms:created>
  <dcterms:modified xsi:type="dcterms:W3CDTF">2018-11-17T09:23:00Z</dcterms:modified>
</cp:coreProperties>
</file>