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onsolas" w:hAnsi="Consolas"/>
          <w:b/>
          <w:color w:val="128A8A"/>
          <w:sz w:val="17"/>
          <w:spacing w:val="30"/>
        </w:rPr>
        <w:t>NT WORLD INK  /  ALICE SPRINGS ARN  /  ZSCV009</w:t>
      </w:r>
    </w:p>
    <w:p>
      <w:pPr>
        <w:spacing w:after="120"/>
        <w:pBdr>
          <w:bottom w:val="single" w:sz="14" w:space="4" w:color="128A8A"/>
        </w:pBdr>
      </w:pPr>
      <w:r>
        <w:rPr>
          <w:rFonts w:ascii="Georgia" w:hAnsi="Georgia"/>
          <w:b/>
          <w:color w:val="162A30"/>
          <w:sz w:val="40"/>
        </w:rPr>
        <w:t>AI in the Research Role</w:t>
      </w:r>
    </w:p>
    <w:p>
      <w:pPr>
        <w:spacing w:before="80" w:after="160"/>
      </w:pPr>
      <w:r>
        <w:rPr>
          <w:rFonts w:ascii="Calibri" w:hAnsi="Calibri"/>
          <w:i/>
          <w:color w:val="5A5A5A"/>
          <w:sz w:val="21"/>
        </w:rPr>
        <w:t>What AI tools are for in research, where they help, and where they fail in ways that matter.</w:t>
      </w:r>
    </w:p>
    <w:p>
      <w:pPr>
        <w:keepNext/>
        <w:spacing w:before="220" w:after="80"/>
        <w:pBdr>
          <w:bottom w:val="single" w:sz="6" w:space="4" w:color="128A8A"/>
        </w:pBdr>
      </w:pPr>
      <w:r>
        <w:rPr>
          <w:rFonts w:ascii="Georgia" w:hAnsi="Georgia"/>
          <w:b/>
          <w:color w:val="128A8A"/>
          <w:sz w:val="27"/>
        </w:rPr>
        <w:t>What it is</w:t>
      </w:r>
    </w:p>
    <w:p>
      <w:pPr>
        <w:spacing w:after="120"/>
      </w:pPr>
      <w:r>
        <w:rPr>
          <w:rFonts w:ascii="Calibri" w:hAnsi="Calibri"/>
          <w:color w:val="1A1A1A"/>
          <w:sz w:val="21"/>
        </w:rPr>
        <w:t>A model that predicts likely text. It generates, it does not look up, and it tends to agree with what you put in your prompt. That single fact explains its strengths and its failures.</w:t>
      </w:r>
    </w:p>
    <w:p>
      <w:pPr>
        <w:keepNext/>
        <w:spacing w:before="220" w:after="80"/>
        <w:pBdr>
          <w:bottom w:val="single" w:sz="6" w:space="4" w:color="128A8A"/>
        </w:pBdr>
      </w:pPr>
      <w:r>
        <w:rPr>
          <w:rFonts w:ascii="Georgia" w:hAnsi="Georgia"/>
          <w:b/>
          <w:color w:val="128A8A"/>
          <w:sz w:val="27"/>
        </w:rPr>
        <w:t>Where it helps</w:t>
      </w:r>
    </w:p>
    <w:p>
      <w:pPr>
        <w:spacing w:after="80"/>
        <w:ind w:left="432" w:hanging="259"/>
      </w:pPr>
      <w:r>
        <w:rPr>
          <w:rFonts w:ascii="Calibri" w:hAnsi="Calibri"/>
          <w:color w:val="128A8A"/>
          <w:sz w:val="21"/>
        </w:rPr>
        <w:t xml:space="preserve">•  </w:t>
      </w:r>
      <w:r>
        <w:rPr>
          <w:rFonts w:ascii="Calibri" w:hAnsi="Calibri"/>
          <w:b/>
          <w:color w:val="1A1A1A"/>
          <w:sz w:val="21"/>
        </w:rPr>
        <w:t xml:space="preserve">Understanding:  </w:t>
      </w:r>
      <w:r>
        <w:rPr>
          <w:rFonts w:ascii="Calibri" w:hAnsi="Calibri"/>
          <w:color w:val="1A1A1A"/>
          <w:sz w:val="21"/>
        </w:rPr>
        <w:t>plain-language explanations of dense papers, stats and policy.</w:t>
      </w:r>
    </w:p>
    <w:p>
      <w:pPr>
        <w:spacing w:after="80"/>
        <w:ind w:left="432" w:hanging="259"/>
      </w:pPr>
      <w:r>
        <w:rPr>
          <w:rFonts w:ascii="Calibri" w:hAnsi="Calibri"/>
          <w:color w:val="128A8A"/>
          <w:sz w:val="21"/>
        </w:rPr>
        <w:t xml:space="preserve">•  </w:t>
      </w:r>
      <w:r>
        <w:rPr>
          <w:rFonts w:ascii="Calibri" w:hAnsi="Calibri"/>
          <w:b/>
          <w:color w:val="1A1A1A"/>
          <w:sz w:val="21"/>
        </w:rPr>
        <w:t xml:space="preserve">Drafting:  </w:t>
      </w:r>
      <w:r>
        <w:rPr>
          <w:rFonts w:ascii="Calibri" w:hAnsi="Calibri"/>
          <w:color w:val="1A1A1A"/>
          <w:sz w:val="21"/>
        </w:rPr>
        <w:t>first drafts of summaries, reports, grant sections and letters.</w:t>
      </w:r>
    </w:p>
    <w:p>
      <w:pPr>
        <w:spacing w:after="80"/>
        <w:ind w:left="432" w:hanging="259"/>
      </w:pPr>
      <w:r>
        <w:rPr>
          <w:rFonts w:ascii="Calibri" w:hAnsi="Calibri"/>
          <w:color w:val="128A8A"/>
          <w:sz w:val="21"/>
        </w:rPr>
        <w:t xml:space="preserve">•  </w:t>
      </w:r>
      <w:r>
        <w:rPr>
          <w:rFonts w:ascii="Calibri" w:hAnsi="Calibri"/>
          <w:b/>
          <w:color w:val="1A1A1A"/>
          <w:sz w:val="21"/>
        </w:rPr>
        <w:t xml:space="preserve">Summarising:  </w:t>
      </w:r>
      <w:r>
        <w:rPr>
          <w:rFonts w:ascii="Calibri" w:hAnsi="Calibri"/>
          <w:color w:val="1A1A1A"/>
          <w:sz w:val="21"/>
        </w:rPr>
        <w:t>condensing material you paste in.</w:t>
      </w:r>
    </w:p>
    <w:p>
      <w:pPr>
        <w:spacing w:after="80"/>
        <w:ind w:left="432" w:hanging="259"/>
      </w:pPr>
      <w:r>
        <w:rPr>
          <w:rFonts w:ascii="Calibri" w:hAnsi="Calibri"/>
          <w:color w:val="128A8A"/>
          <w:sz w:val="21"/>
        </w:rPr>
        <w:t xml:space="preserve">•  </w:t>
      </w:r>
      <w:r>
        <w:rPr>
          <w:rFonts w:ascii="Calibri" w:hAnsi="Calibri"/>
          <w:b/>
          <w:color w:val="1A1A1A"/>
          <w:sz w:val="21"/>
        </w:rPr>
        <w:t xml:space="preserve">Data and admin:  </w:t>
      </w:r>
      <w:r>
        <w:rPr>
          <w:rFonts w:ascii="Calibri" w:hAnsi="Calibri"/>
          <w:color w:val="1A1A1A"/>
          <w:sz w:val="21"/>
        </w:rPr>
        <w:t>cleaning and charting uploaded data; meeting notes and the everyday writing.</w:t>
      </w:r>
    </w:p>
    <w:p>
      <w:pPr>
        <w:keepNext/>
        <w:spacing w:before="220" w:after="80"/>
        <w:pBdr>
          <w:bottom w:val="single" w:sz="6" w:space="4" w:color="128A8A"/>
        </w:pBdr>
      </w:pPr>
      <w:r>
        <w:rPr>
          <w:rFonts w:ascii="Georgia" w:hAnsi="Georgia"/>
          <w:b/>
          <w:color w:val="128A8A"/>
          <w:sz w:val="27"/>
        </w:rPr>
        <w:t>Where it fails</w:t>
      </w:r>
    </w:p>
    <w:p>
      <w:pPr>
        <w:spacing w:after="80"/>
        <w:ind w:left="432" w:hanging="259"/>
      </w:pPr>
      <w:r>
        <w:rPr>
          <w:rFonts w:ascii="Calibri" w:hAnsi="Calibri"/>
          <w:color w:val="128A8A"/>
          <w:sz w:val="21"/>
        </w:rPr>
        <w:t xml:space="preserve">•  </w:t>
      </w:r>
      <w:r>
        <w:rPr>
          <w:rFonts w:ascii="Calibri" w:hAnsi="Calibri"/>
          <w:b/>
          <w:color w:val="1A1A1A"/>
          <w:sz w:val="21"/>
        </w:rPr>
        <w:t xml:space="preserve">Invents references:  </w:t>
      </w:r>
      <w:r>
        <w:rPr>
          <w:rFonts w:ascii="Calibri" w:hAnsi="Calibri"/>
          <w:color w:val="1A1A1A"/>
          <w:sz w:val="21"/>
        </w:rPr>
        <w:t>nearly two-thirds were fabricated or wrong in one 2025 study (JMIR Mental Health). Check every one.</w:t>
      </w:r>
    </w:p>
    <w:p>
      <w:pPr>
        <w:spacing w:after="80"/>
        <w:ind w:left="432" w:hanging="259"/>
      </w:pPr>
      <w:r>
        <w:rPr>
          <w:rFonts w:ascii="Calibri" w:hAnsi="Calibri"/>
          <w:color w:val="128A8A"/>
          <w:sz w:val="21"/>
        </w:rPr>
        <w:t xml:space="preserve">•  </w:t>
      </w:r>
      <w:r>
        <w:rPr>
          <w:rFonts w:ascii="Calibri" w:hAnsi="Calibri"/>
          <w:b/>
          <w:color w:val="1A1A1A"/>
          <w:sz w:val="21"/>
        </w:rPr>
        <w:t xml:space="preserve">Makes things up:  </w:t>
      </w:r>
      <w:r>
        <w:rPr>
          <w:rFonts w:ascii="Calibri" w:hAnsi="Calibri"/>
          <w:color w:val="1A1A1A"/>
          <w:sz w:val="21"/>
        </w:rPr>
        <w:t>hallucination is built in, not a bug; low is not zero.</w:t>
      </w:r>
    </w:p>
    <w:p>
      <w:pPr>
        <w:spacing w:after="80"/>
        <w:ind w:left="432" w:hanging="259"/>
      </w:pPr>
      <w:r>
        <w:rPr>
          <w:rFonts w:ascii="Calibri" w:hAnsi="Calibri"/>
          <w:color w:val="128A8A"/>
          <w:sz w:val="21"/>
        </w:rPr>
        <w:t xml:space="preserve">•  </w:t>
      </w:r>
      <w:r>
        <w:rPr>
          <w:rFonts w:ascii="Calibri" w:hAnsi="Calibri"/>
          <w:b/>
          <w:color w:val="1A1A1A"/>
          <w:sz w:val="21"/>
        </w:rPr>
        <w:t xml:space="preserve">Not reproducible:  </w:t>
      </w:r>
      <w:r>
        <w:rPr>
          <w:rFonts w:ascii="Calibri" w:hAnsi="Calibri"/>
          <w:color w:val="1A1A1A"/>
          <w:sz w:val="21"/>
        </w:rPr>
        <w:t>same prompt, different answer; record tool, version, date, prompt.</w:t>
      </w:r>
    </w:p>
    <w:p>
      <w:pPr>
        <w:spacing w:after="80"/>
        <w:ind w:left="432" w:hanging="259"/>
      </w:pPr>
      <w:r>
        <w:rPr>
          <w:rFonts w:ascii="Calibri" w:hAnsi="Calibri"/>
          <w:color w:val="128A8A"/>
          <w:sz w:val="21"/>
        </w:rPr>
        <w:t xml:space="preserve">•  </w:t>
      </w:r>
      <w:r>
        <w:rPr>
          <w:rFonts w:ascii="Calibri" w:hAnsi="Calibri"/>
          <w:b/>
          <w:color w:val="1A1A1A"/>
          <w:sz w:val="21"/>
        </w:rPr>
        <w:t xml:space="preserve">Thin on local knowledge:  </w:t>
      </w:r>
      <w:r>
        <w:rPr>
          <w:rFonts w:ascii="Calibri" w:hAnsi="Calibri"/>
          <w:color w:val="1A1A1A"/>
          <w:sz w:val="21"/>
        </w:rPr>
        <w:t>confidently wrong on people, places, language and community detail.</w:t>
      </w:r>
    </w:p>
    <w:tbl>
      <w:tblPr>
        <w:tblW w:type="auto" w:w="0"/>
        <w:jc w:val="center"/>
        <w:tblLayout w:type="fixed"/>
        <w:tblLook w:firstColumn="1" w:firstRow="1" w:lastColumn="0" w:lastRow="0" w:noHBand="0" w:noVBand="1" w:val="04A0"/>
      </w:tblPr>
      <w:tblGrid>
        <w:gridCol w:w="10224"/>
      </w:tblGrid>
      <w:tr>
        <w:tc>
          <w:tcPr>
            <w:tcW w:type="dxa" w:w="10224"/>
            <w:shd w:val="clear" w:color="auto" w:fill="FBF1DA"/>
            <w:tcBorders>
              <w:left w:val="single" w:sz="18" w:space="0" w:color="C9911A"/>
            </w:tcBorders>
          </w:tcPr>
          <w:p>
            <w:pPr>
              <w:spacing w:after="40"/>
            </w:pPr>
            <w:r>
              <w:rPr>
                <w:rFonts w:ascii="Georgia" w:hAnsi="Georgia"/>
                <w:b/>
                <w:color w:val="162A30"/>
                <w:sz w:val="23"/>
              </w:rPr>
              <w:t>Helpful is not the same as truthful</w:t>
            </w:r>
          </w:p>
          <w:p>
            <w:r>
              <w:rPr>
                <w:rFonts w:ascii="Calibri" w:hAnsi="Calibri"/>
                <w:color w:val="1A1A1A"/>
                <w:sz w:val="20"/>
              </w:rPr>
              <w:t>These tools are built to be helpful assistants. Being helpful does not make them correct. If the answer matters, verify it.</w:t>
            </w:r>
          </w:p>
        </w:tc>
      </w:tr>
    </w:tbl>
    <w:p>
      <w:pPr>
        <w:spacing w:after="40"/>
      </w:pPr>
    </w:p>
    <w:p>
      <w:pPr>
        <w:keepNext/>
        <w:spacing w:before="220" w:after="80"/>
        <w:pBdr>
          <w:bottom w:val="single" w:sz="6" w:space="4" w:color="128A8A"/>
        </w:pBdr>
      </w:pPr>
      <w:r>
        <w:rPr>
          <w:rFonts w:ascii="Georgia" w:hAnsi="Georgia"/>
          <w:b/>
          <w:color w:val="128A8A"/>
          <w:sz w:val="27"/>
        </w:rPr>
        <w:t>Tools and your data</w:t>
      </w:r>
    </w:p>
    <w:p>
      <w:pPr>
        <w:spacing w:after="80"/>
        <w:ind w:left="432" w:hanging="259"/>
      </w:pPr>
      <w:r>
        <w:rPr>
          <w:rFonts w:ascii="Calibri" w:hAnsi="Calibri"/>
          <w:color w:val="128A8A"/>
          <w:sz w:val="21"/>
        </w:rPr>
        <w:t xml:space="preserve">•  </w:t>
      </w:r>
      <w:r>
        <w:rPr>
          <w:rFonts w:ascii="Calibri" w:hAnsi="Calibri"/>
          <w:color w:val="1A1A1A"/>
          <w:sz w:val="21"/>
        </w:rPr>
        <w:t>Match the tool to the sensitivity. Use a workplace-approved tool for work data.</w:t>
      </w:r>
    </w:p>
    <w:p>
      <w:pPr>
        <w:spacing w:after="80"/>
        <w:ind w:left="432" w:hanging="259"/>
      </w:pPr>
      <w:r>
        <w:rPr>
          <w:rFonts w:ascii="Calibri" w:hAnsi="Calibri"/>
          <w:color w:val="128A8A"/>
          <w:sz w:val="21"/>
        </w:rPr>
        <w:t xml:space="preserve">•  </w:t>
      </w:r>
      <w:r>
        <w:rPr>
          <w:rFonts w:ascii="Calibri" w:hAnsi="Calibri"/>
          <w:color w:val="1A1A1A"/>
          <w:sz w:val="21"/>
        </w:rPr>
        <w:t>Never put community, cultural or identifying data into a public tool. (See the data and ICIP pages.)</w:t>
      </w:r>
    </w:p>
    <w:p>
      <w:pPr>
        <w:spacing w:before="120" w:after="200"/>
        <w:ind w:left="216"/>
        <w:pBdr>
          <w:left w:val="single" w:sz="18" w:space="10" w:color="128A8A"/>
        </w:pBdr>
      </w:pPr>
      <w:r>
        <w:rPr>
          <w:rFonts w:ascii="Georgia" w:hAnsi="Georgia"/>
          <w:i/>
          <w:color w:val="162A30"/>
          <w:sz w:val="26"/>
        </w:rPr>
        <w:t>AI is a fast assistant, not a reliable authority.</w:t>
      </w:r>
    </w:p>
    <w:p>
      <w:pPr>
        <w:spacing w:before="120"/>
      </w:pPr>
    </w:p>
    <w:p>
      <w:pPr>
        <w:pBdr>
          <w:bottom w:val="single" w:sz="4" w:space="4" w:color="128A8A"/>
        </w:pBdr>
      </w:pPr>
    </w:p>
    <w:p>
      <w:r>
        <w:rPr>
          <w:rFonts w:ascii="Consolas" w:hAnsi="Consolas"/>
          <w:color w:val="5A5A5A"/>
          <w:sz w:val="16"/>
        </w:rPr>
        <w:t>ntworldink.com   ·   AI &amp; Cyber Essentials   ·   AI in the Research Role   ·   Free to print and share</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