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nsolas" w:hAnsi="Consolas"/>
          <w:b/>
          <w:color w:val="128A8A"/>
          <w:sz w:val="17"/>
          <w:spacing w:val="30"/>
        </w:rPr>
        <w:t>NT WORLD INK  /  ALICE SPRINGS ARN  /  ZSCV009</w:t>
      </w:r>
    </w:p>
    <w:p>
      <w:pPr>
        <w:spacing w:after="120"/>
        <w:pBdr>
          <w:bottom w:val="single" w:sz="14" w:space="4" w:color="128A8A"/>
        </w:pBdr>
      </w:pPr>
      <w:r>
        <w:rPr>
          <w:rFonts w:ascii="Georgia" w:hAnsi="Georgia"/>
          <w:b/>
          <w:color w:val="162A30"/>
          <w:sz w:val="40"/>
        </w:rPr>
        <w:t>Data Sovereignty, ICIP &amp; Ethics</w:t>
      </w:r>
    </w:p>
    <w:p>
      <w:pPr>
        <w:spacing w:before="80" w:after="160"/>
      </w:pPr>
      <w:r>
        <w:rPr>
          <w:rFonts w:ascii="Calibri" w:hAnsi="Calibri"/>
          <w:i/>
          <w:color w:val="5A5A5A"/>
          <w:sz w:val="21"/>
        </w:rPr>
        <w:t>Frameworks and questions, so decisions can be made well. The decisions themselves sit with Aboriginal and Torres Strait Islander people.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7F6F6"/>
            <w:tcBorders>
              <w:left w:val="single" w:sz="18" w:space="0" w:color="128A8A"/>
            </w:tcBorders>
          </w:tcPr>
          <w:p>
            <w:pPr>
              <w:spacing w:after="40"/>
            </w:pPr>
            <w:r>
              <w:rPr>
                <w:rFonts w:ascii="Georgia" w:hAnsi="Georgia"/>
                <w:b/>
                <w:color w:val="162A30"/>
                <w:sz w:val="23"/>
              </w:rPr>
              <w:t>Where this sits</w:t>
            </w:r>
          </w:p>
          <w:p>
            <w:r>
              <w:rPr>
                <w:rFonts w:ascii="Calibri" w:hAnsi="Calibri"/>
                <w:color w:val="1A1A1A"/>
                <w:sz w:val="20"/>
              </w:rPr>
              <w:t>This is a reference to the frameworks, not advice on cultural protocol. Where a question touches culture, knowledge or community authority, it goes to Aboriginal and Torres Strait Islander leadership, the ARN, CAAHSN and community, not to a tool.</w:t>
            </w:r>
          </w:p>
        </w:tc>
      </w:tr>
    </w:tbl>
    <w:p>
      <w:pPr>
        <w:spacing w:after="40"/>
      </w:pPr>
    </w:p>
    <w:p>
      <w:pPr>
        <w:keepNext/>
        <w:spacing w:before="220" w:after="80"/>
        <w:pBdr>
          <w:bottom w:val="single" w:sz="6" w:space="4" w:color="128A8A"/>
        </w:pBdr>
      </w:pPr>
      <w:r>
        <w:rPr>
          <w:rFonts w:ascii="Georgia" w:hAnsi="Georgia"/>
          <w:b/>
          <w:color w:val="128A8A"/>
          <w:sz w:val="27"/>
        </w:rPr>
        <w:t>The frameworks (full sources in the library)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CARE Principles:  </w:t>
      </w:r>
      <w:r>
        <w:rPr>
          <w:rFonts w:ascii="Calibri" w:hAnsi="Calibri"/>
          <w:color w:val="1A1A1A"/>
          <w:sz w:val="21"/>
        </w:rPr>
        <w:t>Collective benefit, Authority to control, Responsibility, Ethics.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Maiam nayri Wingara:  </w:t>
      </w:r>
      <w:r>
        <w:rPr>
          <w:rFonts w:ascii="Calibri" w:hAnsi="Calibri"/>
          <w:color w:val="1A1A1A"/>
          <w:sz w:val="21"/>
        </w:rPr>
        <w:t>Indigenous control of the data ecosystem; data disaggregated to community level.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AIATSIS Code of Ethics:  </w:t>
      </w:r>
      <w:r>
        <w:rPr>
          <w:rFonts w:ascii="Calibri" w:hAnsi="Calibri"/>
          <w:color w:val="1A1A1A"/>
          <w:sz w:val="21"/>
        </w:rPr>
        <w:t>consent, benefit, and a data management plan covering secondary use.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True Tracks (ICIP):  </w:t>
      </w:r>
      <w:r>
        <w:rPr>
          <w:rFonts w:ascii="Calibri" w:hAnsi="Calibri"/>
          <w:color w:val="1A1A1A"/>
          <w:sz w:val="21"/>
        </w:rPr>
        <w:t>free, prior and informed consent, attribution, integrity, benefit sharing.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NHMRC:  </w:t>
      </w:r>
      <w:r>
        <w:rPr>
          <w:rFonts w:ascii="Calibri" w:hAnsi="Calibri"/>
          <w:color w:val="1A1A1A"/>
          <w:sz w:val="21"/>
        </w:rPr>
        <w:t>National Statement Ch 4.7; AI to summarise literature is routine, AI on participant data is not.</w:t>
      </w:r>
    </w:p>
    <w:p>
      <w:pPr>
        <w:keepNext/>
        <w:spacing w:before="220" w:after="80"/>
        <w:pBdr>
          <w:bottom w:val="single" w:sz="6" w:space="4" w:color="128A8A"/>
        </w:pBdr>
      </w:pPr>
      <w:r>
        <w:rPr>
          <w:rFonts w:ascii="Georgia" w:hAnsi="Georgia"/>
          <w:b/>
          <w:color w:val="128A8A"/>
          <w:sz w:val="27"/>
        </w:rPr>
        <w:t>Questions you might ask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color w:val="1A1A1A"/>
          <w:sz w:val="21"/>
        </w:rPr>
        <w:t>Whose data is this, and who has the authority to decide how it is used?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color w:val="1A1A1A"/>
          <w:sz w:val="21"/>
        </w:rPr>
        <w:t>Was the community engaged from the start, not just asked to approve at the end?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color w:val="1A1A1A"/>
          <w:sz w:val="21"/>
        </w:rPr>
        <w:t>Is entering this into an AI tool a new, unconsented secondary use?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color w:val="1A1A1A"/>
          <w:sz w:val="21"/>
        </w:rPr>
        <w:t>Who benefits, and is that benefit defined by the community itself?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color w:val="1A1A1A"/>
          <w:sz w:val="21"/>
        </w:rPr>
        <w:t>Could a person be identified, and where would the data actually go?</w:t>
      </w:r>
    </w:p>
    <w:p>
      <w:pPr>
        <w:spacing w:before="120"/>
      </w:pPr>
    </w:p>
    <w:p>
      <w:pPr>
        <w:pBdr>
          <w:bottom w:val="single" w:sz="4" w:space="4" w:color="128A8A"/>
        </w:pBdr>
      </w:pPr>
    </w:p>
    <w:p>
      <w:r>
        <w:rPr>
          <w:rFonts w:ascii="Consolas" w:hAnsi="Consolas"/>
          <w:color w:val="5A5A5A"/>
          <w:sz w:val="16"/>
        </w:rPr>
        <w:t>ntworldink.com   ·   AI &amp; Cyber Essentials   ·   Indigenous Data Sovereignty, ICIP &amp; Research Ethics   ·   Free to print and share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