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ZSCV009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Handling Data Responsibly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What you can and cannot put into an AI tool in a research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The test that travels everywhere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If you would not put it on a public noticeboard, do not paste it into a public AI tool.</w:t>
            </w:r>
          </w:p>
        </w:tc>
      </w:tr>
    </w:tbl>
    <w:p>
      <w:pPr>
        <w:spacing w:after="40"/>
      </w:pP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Which account you use matters most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Free public tools:  </w:t>
      </w:r>
      <w:r>
        <w:rPr>
          <w:rFonts w:ascii="Calibri" w:hAnsi="Calibri"/>
          <w:color w:val="1A1A1A"/>
          <w:sz w:val="21"/>
        </w:rPr>
        <w:t>least protection; assume inputs may be stored and used for training.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Paid personal tiers:  </w:t>
      </w:r>
      <w:r>
        <w:rPr>
          <w:rFonts w:ascii="Calibri" w:hAnsi="Calibri"/>
          <w:color w:val="1A1A1A"/>
          <w:sz w:val="21"/>
        </w:rPr>
        <w:t>sometimes do not train on inputs; check, do not assume.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Workplace / enterprise:  </w:t>
      </w:r>
      <w:r>
        <w:rPr>
          <w:rFonts w:ascii="Calibri" w:hAnsi="Calibri"/>
          <w:color w:val="1A1A1A"/>
          <w:sz w:val="21"/>
        </w:rPr>
        <w:t>built so data stays inside; the safe choice for work data.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Never put in a public tool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Identifiable or health information; community, cultural, sacred or restricted material.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Confidential documents; other people's details; passwords or keys.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De-identify, with care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Replace specifics with placeholders ([name], [address]) before pasting.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Small numbers re-identify; “a 54-year-old man from [town]” can still name someone.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AI can infer identity; stripping the obvious fields is not a guarantee.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The rules, in short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Privacy Act 1988 (health is sensitive; 2024 reforms add AI transparency from late 2026).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NT Information Act 2002 sets privacy principles for NT Government agencies.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NHMRC: AI on participant data needs ethical assessment and a lawful basis.</w:t>
      </w: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Cyber Essentials   ·   Handling Data Responsibly with AI Tools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